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1535" w14:textId="77777777" w:rsidR="00114D2B" w:rsidRDefault="00114D2B" w:rsidP="00394DCB">
      <w:pPr>
        <w:spacing w:after="120"/>
        <w:rPr>
          <w:rFonts w:ascii="Verdana" w:hAnsi="Verdana" w:cs="Arial"/>
        </w:rPr>
      </w:pPr>
    </w:p>
    <w:p w14:paraId="4907F25F" w14:textId="6BDCEE0E" w:rsidR="002E410C" w:rsidRPr="00DF630A" w:rsidRDefault="002E410C" w:rsidP="00394DCB">
      <w:pPr>
        <w:spacing w:after="120"/>
        <w:rPr>
          <w:rFonts w:ascii="Verdana" w:hAnsi="Verdana" w:cs="Arial"/>
          <w:b/>
          <w:bCs/>
        </w:rPr>
      </w:pPr>
      <w:r w:rsidRPr="00DF630A">
        <w:rPr>
          <w:rFonts w:ascii="Verdana" w:hAnsi="Verdana" w:cs="Arial"/>
        </w:rPr>
        <w:t xml:space="preserve">Report of </w:t>
      </w:r>
      <w:r w:rsidRPr="00DF630A">
        <w:rPr>
          <w:rFonts w:ascii="Verdana" w:hAnsi="Verdana" w:cs="Arial"/>
          <w:b/>
          <w:bCs/>
        </w:rPr>
        <w:t>SPMG Subgroup Chair</w:t>
      </w:r>
      <w:r w:rsidR="00ED7657" w:rsidRPr="00DF630A">
        <w:rPr>
          <w:rFonts w:ascii="Verdana" w:hAnsi="Verdana" w:cs="Arial"/>
        </w:rPr>
        <w:t xml:space="preserve"> in relation to the </w:t>
      </w:r>
      <w:r w:rsidR="00D12492">
        <w:rPr>
          <w:rFonts w:ascii="Verdana" w:hAnsi="Verdana" w:cs="Arial"/>
        </w:rPr>
        <w:t xml:space="preserve">update for the </w:t>
      </w:r>
      <w:r w:rsidR="00ED7657" w:rsidRPr="00DF630A">
        <w:rPr>
          <w:rFonts w:ascii="Verdana" w:hAnsi="Verdana" w:cs="Arial"/>
        </w:rPr>
        <w:t xml:space="preserve">meeting </w:t>
      </w:r>
      <w:r w:rsidR="00D1061B">
        <w:rPr>
          <w:rFonts w:ascii="Verdana" w:hAnsi="Verdana" w:cs="Arial"/>
        </w:rPr>
        <w:t xml:space="preserve">held on </w:t>
      </w:r>
      <w:r w:rsidR="00D1061B" w:rsidRPr="00D1061B">
        <w:rPr>
          <w:rFonts w:ascii="Verdana" w:hAnsi="Verdana" w:cs="Arial"/>
          <w:b/>
          <w:bCs/>
        </w:rPr>
        <w:t>29</w:t>
      </w:r>
      <w:r w:rsidR="00D1061B" w:rsidRPr="00D1061B">
        <w:rPr>
          <w:rFonts w:ascii="Verdana" w:hAnsi="Verdana" w:cs="Arial"/>
          <w:b/>
          <w:bCs/>
          <w:vertAlign w:val="superscript"/>
        </w:rPr>
        <w:t>th</w:t>
      </w:r>
      <w:r w:rsidR="00D1061B" w:rsidRPr="00D1061B">
        <w:rPr>
          <w:rFonts w:ascii="Verdana" w:hAnsi="Verdana" w:cs="Arial"/>
          <w:b/>
          <w:bCs/>
        </w:rPr>
        <w:t xml:space="preserve"> November</w:t>
      </w:r>
      <w:r w:rsidR="00D1061B">
        <w:rPr>
          <w:rFonts w:ascii="Verdana" w:hAnsi="Verdana" w:cs="Arial"/>
        </w:rPr>
        <w:t xml:space="preserve"> </w:t>
      </w:r>
      <w:r w:rsidR="003718D4">
        <w:rPr>
          <w:rFonts w:ascii="Verdana" w:hAnsi="Verdana" w:cs="Arial"/>
          <w:b/>
          <w:bCs/>
        </w:rPr>
        <w:t>2022</w:t>
      </w:r>
      <w:r w:rsidR="00D1061B">
        <w:rPr>
          <w:rFonts w:ascii="Verdana" w:hAnsi="Verdana" w:cs="Arial"/>
          <w:b/>
          <w:bCs/>
        </w:rPr>
        <w:t>.</w:t>
      </w:r>
    </w:p>
    <w:p w14:paraId="74F098EF" w14:textId="3657AEAA" w:rsidR="00114D2B" w:rsidRPr="008B42D4" w:rsidRDefault="003A18F6">
      <w:pPr>
        <w:rPr>
          <w:rFonts w:ascii="Verdana" w:hAnsi="Verdana" w:cs="Arial"/>
          <w:b/>
          <w:bCs/>
          <w:color w:val="FF0000"/>
        </w:rPr>
      </w:pPr>
      <w:r w:rsidRPr="00DF630A">
        <w:rPr>
          <w:rFonts w:ascii="Verdana" w:hAnsi="Verdana" w:cs="Arial"/>
          <w:b/>
          <w:bCs/>
        </w:rPr>
        <w:t xml:space="preserve">For: </w:t>
      </w:r>
      <w:r w:rsidR="00E86903" w:rsidRPr="008B42D4">
        <w:rPr>
          <w:rFonts w:ascii="Verdana" w:hAnsi="Verdana" w:cs="Arial"/>
          <w:color w:val="000000" w:themeColor="text1"/>
        </w:rPr>
        <w:t>(I)</w:t>
      </w:r>
      <w:r w:rsidRPr="008B42D4">
        <w:rPr>
          <w:rFonts w:ascii="Verdana" w:hAnsi="Verdana" w:cs="Arial"/>
          <w:color w:val="000000" w:themeColor="text1"/>
        </w:rPr>
        <w:t xml:space="preserve"> Information</w:t>
      </w:r>
      <w:r w:rsidR="009F73E8" w:rsidRPr="00DF630A">
        <w:rPr>
          <w:rFonts w:ascii="Verdana" w:hAnsi="Verdana" w:cs="Arial"/>
          <w:color w:val="C00000"/>
        </w:rPr>
        <w:tab/>
      </w:r>
      <w:r w:rsidR="00617C44" w:rsidRPr="00114D2B">
        <w:rPr>
          <w:rFonts w:ascii="Verdana" w:hAnsi="Verdana" w:cs="Arial"/>
        </w:rPr>
        <w:tab/>
      </w:r>
      <w:r w:rsidR="00D75FAA" w:rsidRPr="00114D2B">
        <w:rPr>
          <w:rFonts w:ascii="Verdana" w:hAnsi="Verdana" w:cs="Arial"/>
        </w:rPr>
        <w:t>(R)</w:t>
      </w:r>
      <w:r w:rsidR="009F73E8" w:rsidRPr="00114D2B">
        <w:rPr>
          <w:rFonts w:ascii="Verdana" w:hAnsi="Verdana" w:cs="Arial"/>
        </w:rPr>
        <w:t xml:space="preserve"> Ratification</w:t>
      </w:r>
      <w:r w:rsidR="00617C44" w:rsidRPr="00DF630A">
        <w:rPr>
          <w:rFonts w:ascii="Verdana" w:hAnsi="Verdana" w:cs="Arial"/>
          <w:color w:val="FF0000"/>
        </w:rPr>
        <w:tab/>
      </w:r>
      <w:r w:rsidR="00617C44" w:rsidRPr="00DF630A">
        <w:rPr>
          <w:rFonts w:ascii="Verdana" w:hAnsi="Verdana" w:cs="Arial"/>
        </w:rPr>
        <w:tab/>
      </w:r>
      <w:r w:rsidR="00455A4D" w:rsidRPr="00180870">
        <w:rPr>
          <w:rFonts w:ascii="Verdana" w:hAnsi="Verdana" w:cs="Arial"/>
        </w:rPr>
        <w:t>(D)</w:t>
      </w:r>
      <w:r w:rsidR="00617C44" w:rsidRPr="00180870">
        <w:rPr>
          <w:rFonts w:ascii="Verdana" w:hAnsi="Verdana" w:cs="Arial"/>
        </w:rPr>
        <w:t xml:space="preserve"> </w:t>
      </w:r>
      <w:r w:rsidR="00617C44" w:rsidRPr="008B42D4">
        <w:rPr>
          <w:rFonts w:ascii="Verdana" w:hAnsi="Verdana" w:cs="Arial"/>
          <w:color w:val="FF0000"/>
        </w:rPr>
        <w:t>Discussion and decision</w:t>
      </w:r>
    </w:p>
    <w:p w14:paraId="7DA5C557" w14:textId="6D054FB2" w:rsidR="002E0B30" w:rsidRPr="00DF630A" w:rsidRDefault="00FD2200">
      <w:pPr>
        <w:rPr>
          <w:rFonts w:ascii="Verdana" w:hAnsi="Verdana" w:cs="Arial"/>
          <w:b/>
          <w:bCs/>
        </w:rPr>
      </w:pPr>
      <w:r w:rsidRPr="00DF630A">
        <w:rPr>
          <w:rFonts w:ascii="Verdana" w:hAnsi="Verdana" w:cs="Arial"/>
          <w:b/>
          <w:bCs/>
        </w:rPr>
        <w:t>Key agenda items discussed:</w:t>
      </w:r>
      <w:r w:rsidR="00C30420">
        <w:rPr>
          <w:rFonts w:ascii="Verdana" w:hAnsi="Verdana" w:cs="Arial"/>
          <w:b/>
          <w:bCs/>
        </w:rPr>
        <w:t xml:space="preserve">  </w:t>
      </w:r>
    </w:p>
    <w:tbl>
      <w:tblPr>
        <w:tblStyle w:val="TableGrid"/>
        <w:tblW w:w="0" w:type="auto"/>
        <w:tblLook w:val="04A0" w:firstRow="1" w:lastRow="0" w:firstColumn="1" w:lastColumn="0" w:noHBand="0" w:noVBand="1"/>
      </w:tblPr>
      <w:tblGrid>
        <w:gridCol w:w="9322"/>
      </w:tblGrid>
      <w:tr w:rsidR="00181AB0" w:rsidRPr="00DF630A" w14:paraId="3569C2EC" w14:textId="77777777" w:rsidTr="00181AB0">
        <w:tc>
          <w:tcPr>
            <w:tcW w:w="9322" w:type="dxa"/>
          </w:tcPr>
          <w:p w14:paraId="7A1C982B" w14:textId="7EAE932E" w:rsidR="00AE6E23" w:rsidRDefault="00AE6E23" w:rsidP="00D12492">
            <w:pPr>
              <w:shd w:val="clear" w:color="auto" w:fill="FFFFFF"/>
              <w:rPr>
                <w:rFonts w:cstheme="minorHAnsi"/>
                <w:color w:val="0070C0"/>
                <w:sz w:val="24"/>
                <w:szCs w:val="24"/>
              </w:rPr>
            </w:pPr>
            <w:r>
              <w:rPr>
                <w:rFonts w:cstheme="minorHAnsi"/>
                <w:color w:val="0070C0"/>
                <w:sz w:val="24"/>
                <w:szCs w:val="24"/>
              </w:rPr>
              <w:t>BEIS Bi-Annual Submissions:</w:t>
            </w:r>
          </w:p>
          <w:p w14:paraId="3B863FBF" w14:textId="6F956D2C" w:rsidR="00AE6E23" w:rsidRPr="00AE6E23" w:rsidRDefault="00AE6E23" w:rsidP="00D12492">
            <w:pPr>
              <w:pStyle w:val="ListParagraph"/>
              <w:numPr>
                <w:ilvl w:val="0"/>
                <w:numId w:val="25"/>
              </w:numPr>
              <w:shd w:val="clear" w:color="auto" w:fill="FFFFFF"/>
              <w:rPr>
                <w:rFonts w:cstheme="minorHAnsi"/>
                <w:sz w:val="24"/>
                <w:szCs w:val="24"/>
              </w:rPr>
            </w:pPr>
            <w:r>
              <w:rPr>
                <w:rFonts w:cstheme="minorHAnsi"/>
                <w:sz w:val="24"/>
                <w:szCs w:val="24"/>
              </w:rPr>
              <w:t>SPMG Members were informed that both GBF and LGF BEIS Bi-Annual returns had been submitted. SPMG members were presented with a summary of outputs, match funding and remaining grant allocations that had been reported during Q1&amp;2 22/23</w:t>
            </w:r>
            <w:r w:rsidR="00011AA7">
              <w:rPr>
                <w:rFonts w:cstheme="minorHAnsi"/>
                <w:sz w:val="24"/>
                <w:szCs w:val="24"/>
              </w:rPr>
              <w:t xml:space="preserve"> (</w:t>
            </w:r>
            <w:r w:rsidR="00B27527">
              <w:rPr>
                <w:rFonts w:cstheme="minorHAnsi"/>
                <w:sz w:val="24"/>
                <w:szCs w:val="24"/>
              </w:rPr>
              <w:t>A</w:t>
            </w:r>
            <w:r w:rsidR="00011AA7">
              <w:rPr>
                <w:rFonts w:cstheme="minorHAnsi"/>
                <w:sz w:val="24"/>
                <w:szCs w:val="24"/>
              </w:rPr>
              <w:t xml:space="preserve">ttached Appendix </w:t>
            </w:r>
            <w:r w:rsidR="00B27527">
              <w:rPr>
                <w:rFonts w:cstheme="minorHAnsi"/>
                <w:sz w:val="24"/>
                <w:szCs w:val="24"/>
              </w:rPr>
              <w:t>X</w:t>
            </w:r>
            <w:r w:rsidR="00011AA7">
              <w:rPr>
                <w:rFonts w:cstheme="minorHAnsi"/>
                <w:sz w:val="24"/>
                <w:szCs w:val="24"/>
              </w:rPr>
              <w:t>&amp;</w:t>
            </w:r>
            <w:r w:rsidR="00B27527">
              <w:rPr>
                <w:rFonts w:cstheme="minorHAnsi"/>
                <w:sz w:val="24"/>
                <w:szCs w:val="24"/>
              </w:rPr>
              <w:t>X</w:t>
            </w:r>
            <w:r w:rsidR="00011AA7">
              <w:rPr>
                <w:rFonts w:cstheme="minorHAnsi"/>
                <w:sz w:val="24"/>
                <w:szCs w:val="24"/>
              </w:rPr>
              <w:t>)</w:t>
            </w:r>
            <w:r>
              <w:rPr>
                <w:rFonts w:cstheme="minorHAnsi"/>
                <w:sz w:val="24"/>
                <w:szCs w:val="24"/>
              </w:rPr>
              <w:t xml:space="preserve">. </w:t>
            </w:r>
          </w:p>
          <w:p w14:paraId="729E71BB" w14:textId="77777777" w:rsidR="00AE6E23" w:rsidRDefault="00AE6E23" w:rsidP="00D12492">
            <w:pPr>
              <w:shd w:val="clear" w:color="auto" w:fill="FFFFFF"/>
              <w:rPr>
                <w:rFonts w:cstheme="minorHAnsi"/>
                <w:color w:val="0070C0"/>
                <w:sz w:val="24"/>
                <w:szCs w:val="24"/>
              </w:rPr>
            </w:pPr>
          </w:p>
          <w:p w14:paraId="366C0F78" w14:textId="3E022050" w:rsidR="00AE6E23" w:rsidRDefault="00AE6E23" w:rsidP="00D12492">
            <w:pPr>
              <w:shd w:val="clear" w:color="auto" w:fill="FFFFFF"/>
              <w:rPr>
                <w:rFonts w:cstheme="minorHAnsi"/>
                <w:color w:val="0070C0"/>
                <w:sz w:val="24"/>
                <w:szCs w:val="24"/>
              </w:rPr>
            </w:pPr>
            <w:r>
              <w:rPr>
                <w:rFonts w:cstheme="minorHAnsi"/>
                <w:color w:val="0070C0"/>
                <w:sz w:val="24"/>
                <w:szCs w:val="24"/>
              </w:rPr>
              <w:t>Key Issues:</w:t>
            </w:r>
          </w:p>
          <w:p w14:paraId="4515BF24" w14:textId="36069AC4" w:rsidR="00D12492" w:rsidRPr="00344956" w:rsidRDefault="00D12492" w:rsidP="00D12492">
            <w:pPr>
              <w:shd w:val="clear" w:color="auto" w:fill="FFFFFF"/>
              <w:rPr>
                <w:rFonts w:cstheme="minorHAnsi"/>
                <w:color w:val="0070C0"/>
                <w:sz w:val="24"/>
                <w:szCs w:val="24"/>
              </w:rPr>
            </w:pPr>
            <w:r w:rsidRPr="00344956">
              <w:rPr>
                <w:rFonts w:cstheme="minorHAnsi"/>
                <w:color w:val="0070C0"/>
                <w:sz w:val="24"/>
                <w:szCs w:val="24"/>
              </w:rPr>
              <w:t>Getting Building Fund</w:t>
            </w:r>
          </w:p>
          <w:p w14:paraId="2FD72041" w14:textId="6AE1CFA8" w:rsidR="00D12492" w:rsidRDefault="003151A1" w:rsidP="00D16C41">
            <w:pPr>
              <w:pStyle w:val="ListParagraph"/>
              <w:numPr>
                <w:ilvl w:val="0"/>
                <w:numId w:val="23"/>
              </w:numPr>
              <w:spacing w:line="256" w:lineRule="auto"/>
              <w:jc w:val="both"/>
              <w:rPr>
                <w:rFonts w:cstheme="minorHAnsi"/>
                <w:sz w:val="24"/>
                <w:szCs w:val="24"/>
              </w:rPr>
            </w:pPr>
            <w:r>
              <w:rPr>
                <w:rFonts w:cstheme="minorHAnsi"/>
                <w:sz w:val="24"/>
                <w:szCs w:val="24"/>
              </w:rPr>
              <w:t>Project: C</w:t>
            </w:r>
            <w:r w:rsidR="00D16C41" w:rsidRPr="00D16C41">
              <w:rPr>
                <w:rFonts w:cstheme="minorHAnsi"/>
                <w:sz w:val="24"/>
                <w:szCs w:val="24"/>
              </w:rPr>
              <w:t>leveland Future Skills Hub</w:t>
            </w:r>
            <w:r>
              <w:rPr>
                <w:rFonts w:cstheme="minorHAnsi"/>
                <w:sz w:val="24"/>
                <w:szCs w:val="24"/>
              </w:rPr>
              <w:t>,</w:t>
            </w:r>
            <w:r w:rsidR="00D16C41" w:rsidRPr="00D16C41">
              <w:rPr>
                <w:rFonts w:cstheme="minorHAnsi"/>
                <w:sz w:val="24"/>
                <w:szCs w:val="24"/>
              </w:rPr>
              <w:t xml:space="preserve"> parent company Aspire Housing</w:t>
            </w:r>
            <w:r>
              <w:rPr>
                <w:rFonts w:cstheme="minorHAnsi"/>
                <w:sz w:val="24"/>
                <w:szCs w:val="24"/>
              </w:rPr>
              <w:t>,</w:t>
            </w:r>
            <w:r w:rsidR="00D16C41" w:rsidRPr="00D16C41">
              <w:rPr>
                <w:rFonts w:cstheme="minorHAnsi"/>
                <w:sz w:val="24"/>
                <w:szCs w:val="24"/>
              </w:rPr>
              <w:t xml:space="preserve"> </w:t>
            </w:r>
            <w:r w:rsidR="00AE6E23">
              <w:rPr>
                <w:rFonts w:cstheme="minorHAnsi"/>
                <w:sz w:val="24"/>
                <w:szCs w:val="24"/>
              </w:rPr>
              <w:t xml:space="preserve">have concluded that they will be </w:t>
            </w:r>
            <w:r w:rsidR="00D16C41" w:rsidRPr="00D16C41">
              <w:rPr>
                <w:rFonts w:cstheme="minorHAnsi"/>
                <w:sz w:val="24"/>
                <w:szCs w:val="24"/>
              </w:rPr>
              <w:t>clos</w:t>
            </w:r>
            <w:r w:rsidR="00AE6E23">
              <w:rPr>
                <w:rFonts w:cstheme="minorHAnsi"/>
                <w:sz w:val="24"/>
                <w:szCs w:val="24"/>
              </w:rPr>
              <w:t>ing the training arm Achieve Training</w:t>
            </w:r>
            <w:r w:rsidR="00011AA7">
              <w:rPr>
                <w:rFonts w:cstheme="minorHAnsi"/>
                <w:sz w:val="24"/>
                <w:szCs w:val="24"/>
              </w:rPr>
              <w:t xml:space="preserve"> from October 2022</w:t>
            </w:r>
            <w:r w:rsidR="00D16C41" w:rsidRPr="00D16C41">
              <w:rPr>
                <w:rFonts w:cstheme="minorHAnsi"/>
                <w:sz w:val="24"/>
                <w:szCs w:val="24"/>
              </w:rPr>
              <w:t>.</w:t>
            </w:r>
            <w:r w:rsidR="00AE6E23">
              <w:rPr>
                <w:rFonts w:cstheme="minorHAnsi"/>
                <w:sz w:val="24"/>
                <w:szCs w:val="24"/>
              </w:rPr>
              <w:t xml:space="preserve"> SPMG Members </w:t>
            </w:r>
            <w:r w:rsidR="00011AA7">
              <w:rPr>
                <w:rFonts w:cstheme="minorHAnsi"/>
                <w:sz w:val="24"/>
                <w:szCs w:val="24"/>
              </w:rPr>
              <w:t xml:space="preserve">agreed that the venue location is well placed and could be serviceable to many alternative providers. It was agreed that the SPMG Chair would reach out to Aspire Housing to determine progress to date with regards letting the building. In addition, </w:t>
            </w:r>
            <w:r>
              <w:rPr>
                <w:rFonts w:cstheme="minorHAnsi"/>
                <w:sz w:val="24"/>
                <w:szCs w:val="24"/>
              </w:rPr>
              <w:t xml:space="preserve">it was </w:t>
            </w:r>
            <w:r w:rsidR="00011AA7">
              <w:rPr>
                <w:rFonts w:cstheme="minorHAnsi"/>
                <w:sz w:val="24"/>
                <w:szCs w:val="24"/>
              </w:rPr>
              <w:t xml:space="preserve">agreed that a partnership meeting with Aspire Housing would be beneficial to try and determine its future use. </w:t>
            </w:r>
          </w:p>
          <w:p w14:paraId="40EC00B5" w14:textId="77777777" w:rsidR="00011AA7" w:rsidRPr="00D16C41" w:rsidRDefault="00011AA7" w:rsidP="00011AA7">
            <w:pPr>
              <w:pStyle w:val="ListParagraph"/>
              <w:spacing w:line="256" w:lineRule="auto"/>
              <w:jc w:val="both"/>
              <w:rPr>
                <w:rFonts w:cstheme="minorHAnsi"/>
                <w:sz w:val="24"/>
                <w:szCs w:val="24"/>
              </w:rPr>
            </w:pPr>
          </w:p>
          <w:p w14:paraId="6CF16C2C" w14:textId="2C8FA8AA" w:rsidR="00D12492" w:rsidRDefault="00344956" w:rsidP="006D7C0B">
            <w:pPr>
              <w:pStyle w:val="ListParagraph"/>
              <w:numPr>
                <w:ilvl w:val="0"/>
                <w:numId w:val="23"/>
              </w:numPr>
              <w:shd w:val="clear" w:color="auto" w:fill="FFFFFF"/>
              <w:rPr>
                <w:rFonts w:cstheme="minorHAnsi"/>
                <w:sz w:val="24"/>
                <w:szCs w:val="24"/>
              </w:rPr>
            </w:pPr>
            <w:r w:rsidRPr="008B4C0E">
              <w:rPr>
                <w:rFonts w:cstheme="minorHAnsi"/>
                <w:sz w:val="24"/>
                <w:szCs w:val="24"/>
              </w:rPr>
              <w:t xml:space="preserve">Drakelow </w:t>
            </w:r>
            <w:r w:rsidR="00011AA7" w:rsidRPr="008B4C0E">
              <w:rPr>
                <w:rFonts w:cstheme="minorHAnsi"/>
                <w:sz w:val="24"/>
                <w:szCs w:val="24"/>
              </w:rPr>
              <w:t xml:space="preserve">Park </w:t>
            </w:r>
            <w:r w:rsidR="002505FE" w:rsidRPr="008B4C0E">
              <w:rPr>
                <w:rFonts w:cstheme="minorHAnsi"/>
                <w:sz w:val="24"/>
                <w:szCs w:val="24"/>
              </w:rPr>
              <w:t>–</w:t>
            </w:r>
            <w:r w:rsidRPr="008B4C0E">
              <w:rPr>
                <w:rFonts w:cstheme="minorHAnsi"/>
                <w:sz w:val="24"/>
                <w:szCs w:val="24"/>
              </w:rPr>
              <w:t xml:space="preserve"> </w:t>
            </w:r>
            <w:r w:rsidR="008B4C0E" w:rsidRPr="008B4C0E">
              <w:rPr>
                <w:rFonts w:cstheme="minorHAnsi"/>
                <w:sz w:val="24"/>
                <w:szCs w:val="24"/>
              </w:rPr>
              <w:t xml:space="preserve">See separate paper. </w:t>
            </w:r>
          </w:p>
          <w:p w14:paraId="0A9CA09F" w14:textId="77777777" w:rsidR="008B4C0E" w:rsidRPr="008B4C0E" w:rsidRDefault="008B4C0E" w:rsidP="008B4C0E">
            <w:pPr>
              <w:pStyle w:val="ListParagraph"/>
              <w:rPr>
                <w:rFonts w:cstheme="minorHAnsi"/>
                <w:sz w:val="24"/>
                <w:szCs w:val="24"/>
              </w:rPr>
            </w:pPr>
          </w:p>
          <w:p w14:paraId="1E4650F6" w14:textId="77777777" w:rsidR="008B4C0E" w:rsidRPr="008B4C0E" w:rsidRDefault="008B4C0E" w:rsidP="008B4C0E">
            <w:pPr>
              <w:pStyle w:val="ListParagraph"/>
              <w:shd w:val="clear" w:color="auto" w:fill="FFFFFF"/>
              <w:rPr>
                <w:rFonts w:cstheme="minorHAnsi"/>
                <w:sz w:val="24"/>
                <w:szCs w:val="24"/>
              </w:rPr>
            </w:pPr>
          </w:p>
          <w:p w14:paraId="779581CB" w14:textId="58098AE3" w:rsidR="00D12492" w:rsidRPr="00344956" w:rsidRDefault="00D12492" w:rsidP="00D12492">
            <w:pPr>
              <w:shd w:val="clear" w:color="auto" w:fill="FFFFFF"/>
              <w:rPr>
                <w:rFonts w:cstheme="minorHAnsi"/>
                <w:color w:val="0070C0"/>
                <w:sz w:val="24"/>
                <w:szCs w:val="24"/>
              </w:rPr>
            </w:pPr>
            <w:r w:rsidRPr="00344956">
              <w:rPr>
                <w:rFonts w:cstheme="minorHAnsi"/>
                <w:color w:val="0070C0"/>
                <w:sz w:val="24"/>
                <w:szCs w:val="24"/>
              </w:rPr>
              <w:t>Local Growth Fund</w:t>
            </w:r>
          </w:p>
          <w:p w14:paraId="3888709F" w14:textId="7965BBD6" w:rsidR="00344956" w:rsidRDefault="003151A1" w:rsidP="003151A1">
            <w:pPr>
              <w:pStyle w:val="ListParagraph"/>
              <w:numPr>
                <w:ilvl w:val="0"/>
                <w:numId w:val="23"/>
              </w:numPr>
              <w:shd w:val="clear" w:color="auto" w:fill="FFFFFF"/>
              <w:rPr>
                <w:rFonts w:cstheme="minorHAnsi"/>
                <w:sz w:val="24"/>
                <w:szCs w:val="24"/>
              </w:rPr>
            </w:pPr>
            <w:r w:rsidRPr="003151A1">
              <w:rPr>
                <w:rFonts w:cstheme="minorHAnsi"/>
                <w:sz w:val="24"/>
                <w:szCs w:val="24"/>
              </w:rPr>
              <w:t>Blythe Park Extension Infrastructure Project</w:t>
            </w:r>
            <w:r>
              <w:rPr>
                <w:rFonts w:cstheme="minorHAnsi"/>
                <w:sz w:val="24"/>
                <w:szCs w:val="24"/>
              </w:rPr>
              <w:t xml:space="preserve"> awaiting Secretary of State outcome, which is anticipated to be received by end of January 2023.</w:t>
            </w:r>
          </w:p>
          <w:p w14:paraId="59926E21" w14:textId="77777777" w:rsidR="000C48CA" w:rsidRPr="000C48CA" w:rsidRDefault="003151A1" w:rsidP="000C48CA">
            <w:pPr>
              <w:pStyle w:val="ListParagraph"/>
              <w:numPr>
                <w:ilvl w:val="0"/>
                <w:numId w:val="23"/>
              </w:numPr>
              <w:shd w:val="clear" w:color="auto" w:fill="FFFFFF"/>
              <w:rPr>
                <w:rFonts w:cstheme="minorHAnsi"/>
              </w:rPr>
            </w:pPr>
            <w:r>
              <w:rPr>
                <w:rFonts w:cstheme="minorHAnsi"/>
                <w:sz w:val="24"/>
                <w:szCs w:val="24"/>
              </w:rPr>
              <w:t xml:space="preserve">Employment figures will not be met overall for the </w:t>
            </w:r>
            <w:r w:rsidR="000C48CA">
              <w:rPr>
                <w:rFonts w:cstheme="minorHAnsi"/>
                <w:sz w:val="24"/>
                <w:szCs w:val="24"/>
              </w:rPr>
              <w:t xml:space="preserve">programme. Rationale: </w:t>
            </w:r>
          </w:p>
          <w:p w14:paraId="4EE3FF25" w14:textId="5F4F02CA" w:rsidR="003151A1" w:rsidRPr="00680868" w:rsidRDefault="000C48CA" w:rsidP="00680868">
            <w:pPr>
              <w:pStyle w:val="ListParagraph"/>
              <w:shd w:val="clear" w:color="auto" w:fill="FFFFFF"/>
              <w:rPr>
                <w:rFonts w:cstheme="minorHAnsi"/>
              </w:rPr>
            </w:pPr>
            <w:r>
              <w:rPr>
                <w:rFonts w:cstheme="minorHAnsi"/>
                <w:i/>
                <w:iCs/>
              </w:rPr>
              <w:t>‘</w:t>
            </w:r>
            <w:r w:rsidRPr="000C48CA">
              <w:rPr>
                <w:rFonts w:cstheme="minorHAnsi"/>
                <w:i/>
                <w:iCs/>
              </w:rPr>
              <w:t>When the original business cases were produced, estimated employment outcomes may have been derived from employment densities guides, which provided sound original estimates at the time, but may have been a little over optimistic in general terms. Therefore, it is unlikely that the original 'total' job output figure will be reached for the overall LGF Programme. Furthermore, in the current climate job outputs are rather uncertain, as long-term employment outcomes depend on end users and it’s not clear who the businesses will be.</w:t>
            </w:r>
          </w:p>
          <w:p w14:paraId="19932F3D" w14:textId="79684B07" w:rsidR="003151A1" w:rsidRDefault="003151A1" w:rsidP="003151A1">
            <w:pPr>
              <w:shd w:val="clear" w:color="auto" w:fill="FFFFFF"/>
              <w:rPr>
                <w:rFonts w:cstheme="minorHAnsi"/>
                <w:sz w:val="24"/>
                <w:szCs w:val="24"/>
              </w:rPr>
            </w:pPr>
          </w:p>
          <w:p w14:paraId="3113435B" w14:textId="6590B879" w:rsidR="003151A1" w:rsidRPr="00D1061B" w:rsidRDefault="003151A1" w:rsidP="003151A1">
            <w:pPr>
              <w:shd w:val="clear" w:color="auto" w:fill="FFFFFF"/>
              <w:rPr>
                <w:rFonts w:cstheme="minorHAnsi"/>
                <w:color w:val="4472C4" w:themeColor="accent1"/>
                <w:sz w:val="24"/>
                <w:szCs w:val="24"/>
              </w:rPr>
            </w:pPr>
            <w:r w:rsidRPr="00D1061B">
              <w:rPr>
                <w:rFonts w:cstheme="minorHAnsi"/>
                <w:color w:val="4472C4" w:themeColor="accent1"/>
                <w:sz w:val="24"/>
                <w:szCs w:val="24"/>
              </w:rPr>
              <w:t>Forward Plan</w:t>
            </w:r>
          </w:p>
          <w:p w14:paraId="57526BD8" w14:textId="4266B68E" w:rsidR="003151A1" w:rsidRPr="003151A1" w:rsidRDefault="003151A1" w:rsidP="003151A1">
            <w:pPr>
              <w:pStyle w:val="ListParagraph"/>
              <w:numPr>
                <w:ilvl w:val="0"/>
                <w:numId w:val="23"/>
              </w:numPr>
              <w:shd w:val="clear" w:color="auto" w:fill="FFFFFF"/>
              <w:rPr>
                <w:rFonts w:cstheme="minorHAnsi"/>
                <w:sz w:val="24"/>
                <w:szCs w:val="24"/>
              </w:rPr>
            </w:pPr>
            <w:r>
              <w:rPr>
                <w:rFonts w:cstheme="minorHAnsi"/>
                <w:sz w:val="24"/>
                <w:szCs w:val="24"/>
              </w:rPr>
              <w:t xml:space="preserve">Power Outages </w:t>
            </w:r>
            <w:r w:rsidR="00680868">
              <w:rPr>
                <w:rFonts w:cstheme="minorHAnsi"/>
                <w:sz w:val="24"/>
                <w:szCs w:val="24"/>
              </w:rPr>
              <w:t>–</w:t>
            </w:r>
            <w:r>
              <w:rPr>
                <w:rFonts w:cstheme="minorHAnsi"/>
                <w:sz w:val="24"/>
                <w:szCs w:val="24"/>
              </w:rPr>
              <w:t xml:space="preserve"> </w:t>
            </w:r>
            <w:r w:rsidR="00680868">
              <w:rPr>
                <w:rFonts w:cstheme="minorHAnsi"/>
                <w:sz w:val="24"/>
                <w:szCs w:val="24"/>
              </w:rPr>
              <w:t>AD agreed to investigate what can be provided to support local businesses in preparation for power outages.</w:t>
            </w:r>
          </w:p>
          <w:p w14:paraId="5BE2ACB2" w14:textId="60A707FB" w:rsidR="00565548" w:rsidRDefault="00565548" w:rsidP="00D12492">
            <w:pPr>
              <w:shd w:val="clear" w:color="auto" w:fill="FFFFFF"/>
              <w:rPr>
                <w:rFonts w:ascii="Verdana" w:hAnsi="Verdana" w:cs="Arial"/>
                <w:color w:val="0070C0"/>
              </w:rPr>
            </w:pPr>
          </w:p>
          <w:p w14:paraId="02EA0E17" w14:textId="682B3D07" w:rsidR="00B27527" w:rsidRDefault="00B27527" w:rsidP="00D12492">
            <w:pPr>
              <w:shd w:val="clear" w:color="auto" w:fill="FFFFFF"/>
              <w:rPr>
                <w:rFonts w:ascii="Verdana" w:hAnsi="Verdana" w:cs="Arial"/>
                <w:color w:val="0070C0"/>
              </w:rPr>
            </w:pPr>
          </w:p>
          <w:p w14:paraId="5DD129FB" w14:textId="77777777" w:rsidR="00B27527" w:rsidRDefault="00B27527" w:rsidP="00D12492">
            <w:pPr>
              <w:shd w:val="clear" w:color="auto" w:fill="FFFFFF"/>
              <w:rPr>
                <w:rFonts w:ascii="Verdana" w:hAnsi="Verdana" w:cs="Arial"/>
                <w:color w:val="0070C0"/>
              </w:rPr>
            </w:pPr>
          </w:p>
          <w:p w14:paraId="2D5F3086" w14:textId="77777777" w:rsidR="006A2787" w:rsidRPr="00344956" w:rsidRDefault="006A2787" w:rsidP="006A2787">
            <w:pPr>
              <w:shd w:val="clear" w:color="auto" w:fill="FFFFFF"/>
              <w:rPr>
                <w:rFonts w:cstheme="minorHAnsi"/>
                <w:color w:val="0070C0"/>
                <w:sz w:val="24"/>
                <w:szCs w:val="24"/>
              </w:rPr>
            </w:pPr>
            <w:r w:rsidRPr="00344956">
              <w:rPr>
                <w:rFonts w:cstheme="minorHAnsi"/>
                <w:color w:val="0070C0"/>
                <w:sz w:val="24"/>
                <w:szCs w:val="24"/>
              </w:rPr>
              <w:t xml:space="preserve">Risk </w:t>
            </w:r>
          </w:p>
          <w:p w14:paraId="37D54EB6" w14:textId="221404AC" w:rsidR="006A2787" w:rsidRDefault="003151A1" w:rsidP="006A2787">
            <w:pPr>
              <w:shd w:val="clear" w:color="auto" w:fill="FFFFFF"/>
              <w:rPr>
                <w:rFonts w:ascii="Verdana" w:hAnsi="Verdana" w:cs="Arial"/>
                <w:color w:val="0070C0"/>
              </w:rPr>
            </w:pPr>
            <w:r>
              <w:rPr>
                <w:rFonts w:cstheme="minorHAnsi"/>
                <w:bCs/>
                <w:sz w:val="24"/>
                <w:szCs w:val="24"/>
              </w:rPr>
              <w:t xml:space="preserve">SPMG Chair recommended that </w:t>
            </w:r>
            <w:r w:rsidR="0011691A">
              <w:rPr>
                <w:rFonts w:cstheme="minorHAnsi"/>
                <w:bCs/>
                <w:sz w:val="24"/>
                <w:szCs w:val="24"/>
              </w:rPr>
              <w:t>xxxxxxx</w:t>
            </w:r>
            <w:r>
              <w:rPr>
                <w:rFonts w:cstheme="minorHAnsi"/>
                <w:bCs/>
                <w:sz w:val="24"/>
                <w:szCs w:val="24"/>
              </w:rPr>
              <w:t xml:space="preserve"> was to move from Amber to Red.</w:t>
            </w:r>
            <w:r w:rsidR="00B27527">
              <w:rPr>
                <w:rFonts w:cstheme="minorHAnsi"/>
                <w:bCs/>
                <w:sz w:val="24"/>
                <w:szCs w:val="24"/>
              </w:rPr>
              <w:t xml:space="preserve"> </w:t>
            </w:r>
            <w:r w:rsidR="00B27527">
              <w:rPr>
                <w:rFonts w:cstheme="minorHAnsi"/>
                <w:sz w:val="24"/>
                <w:szCs w:val="24"/>
              </w:rPr>
              <w:t>(Attached Appendix X)</w:t>
            </w:r>
          </w:p>
          <w:p w14:paraId="1102D9CA" w14:textId="77027DF1" w:rsidR="00344956" w:rsidRPr="00D12492" w:rsidRDefault="00344956" w:rsidP="00D12492">
            <w:pPr>
              <w:shd w:val="clear" w:color="auto" w:fill="FFFFFF"/>
              <w:rPr>
                <w:rFonts w:ascii="Verdana" w:hAnsi="Verdana" w:cs="Arial"/>
                <w:color w:val="0070C0"/>
              </w:rPr>
            </w:pPr>
          </w:p>
        </w:tc>
      </w:tr>
    </w:tbl>
    <w:p w14:paraId="2B1A68DD" w14:textId="77777777" w:rsidR="00AA68AE" w:rsidRDefault="00AA68AE">
      <w:pPr>
        <w:rPr>
          <w:rFonts w:ascii="Verdana" w:hAnsi="Verdana" w:cs="Arial"/>
          <w:b/>
          <w:bCs/>
        </w:rPr>
      </w:pPr>
    </w:p>
    <w:p w14:paraId="4D0760BE" w14:textId="13B1BBB6" w:rsidR="00B42F2B" w:rsidRPr="00DF630A" w:rsidRDefault="000179AF" w:rsidP="00394DCB">
      <w:pPr>
        <w:spacing w:after="120"/>
        <w:rPr>
          <w:rFonts w:ascii="Verdana" w:hAnsi="Verdana" w:cs="Arial"/>
        </w:rPr>
      </w:pPr>
      <w:r>
        <w:rPr>
          <w:rFonts w:ascii="Verdana" w:hAnsi="Verdana" w:cs="Arial"/>
        </w:rPr>
        <w:t>D</w:t>
      </w:r>
      <w:r w:rsidR="00B42F2B" w:rsidRPr="00DF630A">
        <w:rPr>
          <w:rFonts w:ascii="Verdana" w:hAnsi="Verdana" w:cs="Arial"/>
        </w:rPr>
        <w:t xml:space="preserve">etails of </w:t>
      </w:r>
      <w:r w:rsidR="00511907">
        <w:rPr>
          <w:rFonts w:ascii="Verdana" w:hAnsi="Verdana" w:cs="Arial"/>
        </w:rPr>
        <w:t>SPMG</w:t>
      </w:r>
      <w:r w:rsidR="00B42F2B" w:rsidRPr="00DF630A">
        <w:rPr>
          <w:rFonts w:ascii="Verdana" w:hAnsi="Verdana" w:cs="Arial"/>
        </w:rPr>
        <w:t xml:space="preserve"> meeting</w:t>
      </w:r>
      <w:r w:rsidR="00511907">
        <w:rPr>
          <w:rFonts w:ascii="Verdana" w:hAnsi="Verdana" w:cs="Arial"/>
        </w:rPr>
        <w:t>s</w:t>
      </w:r>
      <w:r w:rsidR="00B42F2B" w:rsidRPr="00DF630A">
        <w:rPr>
          <w:rFonts w:ascii="Verdana" w:hAnsi="Verdana" w:cs="Arial"/>
        </w:rPr>
        <w:t xml:space="preserve"> including agenda pac</w:t>
      </w:r>
      <w:r w:rsidR="00FE7956" w:rsidRPr="00DF630A">
        <w:rPr>
          <w:rFonts w:ascii="Verdana" w:hAnsi="Verdana" w:cs="Arial"/>
        </w:rPr>
        <w:t>k</w:t>
      </w:r>
      <w:r w:rsidR="00511907">
        <w:rPr>
          <w:rFonts w:ascii="Verdana" w:hAnsi="Verdana" w:cs="Arial"/>
        </w:rPr>
        <w:t>s</w:t>
      </w:r>
      <w:r w:rsidR="00FE7956" w:rsidRPr="00DF630A">
        <w:rPr>
          <w:rFonts w:ascii="Verdana" w:hAnsi="Verdana" w:cs="Arial"/>
        </w:rPr>
        <w:t xml:space="preserve">, presentations and minutes can be found at </w:t>
      </w:r>
      <w:hyperlink r:id="rId7" w:history="1">
        <w:r w:rsidR="00925924" w:rsidRPr="00DF630A">
          <w:rPr>
            <w:rStyle w:val="Hyperlink"/>
            <w:rFonts w:ascii="Verdana" w:hAnsi="Verdana"/>
          </w:rPr>
          <w:t>StokeStaffsLEP | Minutes &amp; Agendas</w:t>
        </w:r>
      </w:hyperlink>
      <w:r w:rsidR="00925924" w:rsidRPr="00DF630A">
        <w:rPr>
          <w:rFonts w:ascii="Verdana" w:hAnsi="Verdana"/>
        </w:rPr>
        <w:t xml:space="preserve"> </w:t>
      </w:r>
      <w:r w:rsidR="00925924" w:rsidRPr="00DF630A">
        <w:rPr>
          <w:rFonts w:ascii="Verdana" w:hAnsi="Verdana" w:cs="Arial"/>
        </w:rPr>
        <w:t xml:space="preserve">or </w:t>
      </w:r>
      <w:r w:rsidR="0060642B" w:rsidRPr="00DF630A">
        <w:rPr>
          <w:rFonts w:ascii="Verdana" w:hAnsi="Verdana" w:cs="Arial"/>
        </w:rPr>
        <w:t>requested fro</w:t>
      </w:r>
      <w:r w:rsidR="00DF5552">
        <w:rPr>
          <w:rFonts w:ascii="Verdana" w:hAnsi="Verdana" w:cs="Arial"/>
        </w:rPr>
        <w:t xml:space="preserve">m Beverley Dajani, Change Manager @ </w:t>
      </w:r>
      <w:hyperlink r:id="rId8" w:history="1">
        <w:r w:rsidR="00DF5552" w:rsidRPr="00BD7ECD">
          <w:rPr>
            <w:rStyle w:val="Hyperlink"/>
            <w:rFonts w:ascii="Verdana" w:hAnsi="Verdana" w:cs="Arial"/>
          </w:rPr>
          <w:t>beverley.dajani@enterprisestokestaffs.org.uk</w:t>
        </w:r>
      </w:hyperlink>
      <w:r w:rsidR="00DF5552">
        <w:rPr>
          <w:rFonts w:ascii="Verdana" w:hAnsi="Verdana" w:cs="Arial"/>
        </w:rPr>
        <w:t xml:space="preserve"> </w:t>
      </w:r>
    </w:p>
    <w:sectPr w:rsidR="00B42F2B" w:rsidRPr="00DF630A" w:rsidSect="002E41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2434" w14:textId="77777777" w:rsidR="00F91F8B" w:rsidRDefault="00F91F8B" w:rsidP="002E410C">
      <w:pPr>
        <w:spacing w:after="0" w:line="240" w:lineRule="auto"/>
      </w:pPr>
      <w:r>
        <w:separator/>
      </w:r>
    </w:p>
  </w:endnote>
  <w:endnote w:type="continuationSeparator" w:id="0">
    <w:p w14:paraId="7DA447F9" w14:textId="77777777" w:rsidR="00F91F8B" w:rsidRDefault="00F91F8B" w:rsidP="002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664" w14:textId="77777777" w:rsidR="008817D1" w:rsidRDefault="0088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6F75" w14:textId="77777777" w:rsidR="008817D1" w:rsidRDefault="00881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3F05" w14:textId="77777777" w:rsidR="008817D1" w:rsidRDefault="0088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4362" w14:textId="77777777" w:rsidR="00F91F8B" w:rsidRDefault="00F91F8B" w:rsidP="002E410C">
      <w:pPr>
        <w:spacing w:after="0" w:line="240" w:lineRule="auto"/>
      </w:pPr>
      <w:r>
        <w:separator/>
      </w:r>
    </w:p>
  </w:footnote>
  <w:footnote w:type="continuationSeparator" w:id="0">
    <w:p w14:paraId="6806378A" w14:textId="77777777" w:rsidR="00F91F8B" w:rsidRDefault="00F91F8B" w:rsidP="002E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1E43" w14:textId="77777777" w:rsidR="008817D1" w:rsidRDefault="0088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141" w14:textId="07AE8440" w:rsidR="002E410C" w:rsidRDefault="002E410C" w:rsidP="002E410C">
    <w:pPr>
      <w:pStyle w:val="Header"/>
      <w:jc w:val="right"/>
    </w:pPr>
    <w:r>
      <w:rPr>
        <w:noProof/>
      </w:rPr>
      <mc:AlternateContent>
        <mc:Choice Requires="wps">
          <w:drawing>
            <wp:anchor distT="0" distB="0" distL="114300" distR="114300" simplePos="0" relativeHeight="251659264" behindDoc="0" locked="0" layoutInCell="1" allowOverlap="1" wp14:anchorId="4D142D0B" wp14:editId="3A66029A">
              <wp:simplePos x="0" y="0"/>
              <wp:positionH relativeFrom="column">
                <wp:posOffset>-98988</wp:posOffset>
              </wp:positionH>
              <wp:positionV relativeFrom="paragraph">
                <wp:posOffset>84623</wp:posOffset>
              </wp:positionV>
              <wp:extent cx="3993659" cy="465826"/>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993659" cy="465826"/>
                      </a:xfrm>
                      <a:prstGeom prst="rect">
                        <a:avLst/>
                      </a:prstGeom>
                      <a:solidFill>
                        <a:schemeClr val="lt1"/>
                      </a:solidFill>
                      <a:ln w="6350">
                        <a:noFill/>
                      </a:ln>
                    </wps:spPr>
                    <wps:txbx>
                      <w:txbxContent>
                        <w:p w14:paraId="3B11CF78" w14:textId="593F93D4" w:rsidR="002E410C" w:rsidRPr="002D054E" w:rsidRDefault="002D054E">
                          <w:pPr>
                            <w:rPr>
                              <w:rFonts w:ascii="Arial" w:hAnsi="Arial" w:cs="Arial"/>
                              <w:sz w:val="36"/>
                              <w:szCs w:val="36"/>
                            </w:rPr>
                          </w:pPr>
                          <w:r w:rsidRPr="008817D1">
                            <w:rPr>
                              <w:rFonts w:ascii="Arial" w:hAnsi="Arial" w:cs="Arial"/>
                              <w:sz w:val="36"/>
                              <w:szCs w:val="36"/>
                            </w:rPr>
                            <w:t>Ite</w:t>
                          </w:r>
                          <w:r w:rsidR="00BD2C9F" w:rsidRPr="008817D1">
                            <w:rPr>
                              <w:rFonts w:ascii="Arial" w:hAnsi="Arial" w:cs="Arial"/>
                              <w:sz w:val="36"/>
                              <w:szCs w:val="36"/>
                            </w:rPr>
                            <w:t xml:space="preserve">m </w:t>
                          </w:r>
                          <w:r w:rsidR="008817D1">
                            <w:rPr>
                              <w:rFonts w:ascii="Arial" w:hAnsi="Arial" w:cs="Arial"/>
                              <w:sz w:val="36"/>
                              <w:szCs w:val="36"/>
                            </w:rPr>
                            <w:t xml:space="preserve">7 </w:t>
                          </w:r>
                          <w:r w:rsidRPr="002D054E">
                            <w:rPr>
                              <w:rFonts w:ascii="Arial" w:hAnsi="Arial" w:cs="Arial"/>
                              <w:sz w:val="36"/>
                              <w:szCs w:val="36"/>
                            </w:rPr>
                            <w:t xml:space="preserve">- </w:t>
                          </w:r>
                          <w:r w:rsidR="002E410C" w:rsidRPr="002D054E">
                            <w:rPr>
                              <w:rFonts w:ascii="Arial" w:hAnsi="Arial" w:cs="Arial"/>
                              <w:sz w:val="36"/>
                              <w:szCs w:val="36"/>
                            </w:rPr>
                            <w:t>Subgroup summary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42D0B" id="_x0000_t202" coordsize="21600,21600" o:spt="202" path="m,l,21600r21600,l21600,xe">
              <v:stroke joinstyle="miter"/>
              <v:path gradientshapeok="t" o:connecttype="rect"/>
            </v:shapetype>
            <v:shape id="Text Box 2" o:spid="_x0000_s1026" type="#_x0000_t202" style="position:absolute;left:0;text-align:left;margin-left:-7.8pt;margin-top:6.65pt;width:314.4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" fillcolor="white [3201]" stroked="f" strokeweight=".5pt">
              <v:textbox>
                <w:txbxContent>
                  <w:p w14:paraId="3B11CF78" w14:textId="593F93D4" w:rsidR="002E410C" w:rsidRPr="002D054E" w:rsidRDefault="002D054E">
                    <w:pPr>
                      <w:rPr>
                        <w:rFonts w:ascii="Arial" w:hAnsi="Arial" w:cs="Arial"/>
                        <w:sz w:val="36"/>
                        <w:szCs w:val="36"/>
                      </w:rPr>
                    </w:pPr>
                    <w:r w:rsidRPr="008817D1">
                      <w:rPr>
                        <w:rFonts w:ascii="Arial" w:hAnsi="Arial" w:cs="Arial"/>
                        <w:sz w:val="36"/>
                        <w:szCs w:val="36"/>
                      </w:rPr>
                      <w:t>Ite</w:t>
                    </w:r>
                    <w:r w:rsidR="00BD2C9F" w:rsidRPr="008817D1">
                      <w:rPr>
                        <w:rFonts w:ascii="Arial" w:hAnsi="Arial" w:cs="Arial"/>
                        <w:sz w:val="36"/>
                        <w:szCs w:val="36"/>
                      </w:rPr>
                      <w:t xml:space="preserve">m </w:t>
                    </w:r>
                    <w:r w:rsidR="008817D1">
                      <w:rPr>
                        <w:rFonts w:ascii="Arial" w:hAnsi="Arial" w:cs="Arial"/>
                        <w:sz w:val="36"/>
                        <w:szCs w:val="36"/>
                      </w:rPr>
                      <w:t xml:space="preserve">7 </w:t>
                    </w:r>
                    <w:r w:rsidRPr="002D054E">
                      <w:rPr>
                        <w:rFonts w:ascii="Arial" w:hAnsi="Arial" w:cs="Arial"/>
                        <w:sz w:val="36"/>
                        <w:szCs w:val="36"/>
                      </w:rPr>
                      <w:t xml:space="preserve">- </w:t>
                    </w:r>
                    <w:r w:rsidR="002E410C" w:rsidRPr="002D054E">
                      <w:rPr>
                        <w:rFonts w:ascii="Arial" w:hAnsi="Arial" w:cs="Arial"/>
                        <w:sz w:val="36"/>
                        <w:szCs w:val="36"/>
                      </w:rPr>
                      <w:t>Subgroup summary report</w:t>
                    </w:r>
                  </w:p>
                </w:txbxContent>
              </v:textbox>
            </v:shape>
          </w:pict>
        </mc:Fallback>
      </mc:AlternateContent>
    </w:r>
    <w:r>
      <w:rPr>
        <w:noProof/>
      </w:rPr>
      <w:drawing>
        <wp:inline distT="0" distB="0" distL="0" distR="0" wp14:anchorId="3226DA8B" wp14:editId="14B993C0">
          <wp:extent cx="1423179" cy="569272"/>
          <wp:effectExtent l="0" t="0" r="5715"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2783" cy="601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474C" w14:textId="77777777" w:rsidR="008817D1" w:rsidRDefault="0088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224"/>
    <w:multiLevelType w:val="hybridMultilevel"/>
    <w:tmpl w:val="C1DA6F36"/>
    <w:lvl w:ilvl="0" w:tplc="E972406A">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7E31D3"/>
    <w:multiLevelType w:val="hybridMultilevel"/>
    <w:tmpl w:val="34262238"/>
    <w:lvl w:ilvl="0" w:tplc="04966426">
      <w:start w:val="1"/>
      <w:numFmt w:val="bullet"/>
      <w:lvlText w:val="•"/>
      <w:lvlJc w:val="left"/>
      <w:pPr>
        <w:tabs>
          <w:tab w:val="num" w:pos="720"/>
        </w:tabs>
        <w:ind w:left="720" w:hanging="360"/>
      </w:pPr>
      <w:rPr>
        <w:rFonts w:ascii="Arial" w:hAnsi="Arial" w:hint="default"/>
      </w:rPr>
    </w:lvl>
    <w:lvl w:ilvl="1" w:tplc="777EC03A" w:tentative="1">
      <w:start w:val="1"/>
      <w:numFmt w:val="bullet"/>
      <w:lvlText w:val="•"/>
      <w:lvlJc w:val="left"/>
      <w:pPr>
        <w:tabs>
          <w:tab w:val="num" w:pos="1440"/>
        </w:tabs>
        <w:ind w:left="1440" w:hanging="360"/>
      </w:pPr>
      <w:rPr>
        <w:rFonts w:ascii="Arial" w:hAnsi="Arial" w:hint="default"/>
      </w:rPr>
    </w:lvl>
    <w:lvl w:ilvl="2" w:tplc="0CF08E70" w:tentative="1">
      <w:start w:val="1"/>
      <w:numFmt w:val="bullet"/>
      <w:lvlText w:val="•"/>
      <w:lvlJc w:val="left"/>
      <w:pPr>
        <w:tabs>
          <w:tab w:val="num" w:pos="2160"/>
        </w:tabs>
        <w:ind w:left="2160" w:hanging="360"/>
      </w:pPr>
      <w:rPr>
        <w:rFonts w:ascii="Arial" w:hAnsi="Arial" w:hint="default"/>
      </w:rPr>
    </w:lvl>
    <w:lvl w:ilvl="3" w:tplc="D2B27C7E" w:tentative="1">
      <w:start w:val="1"/>
      <w:numFmt w:val="bullet"/>
      <w:lvlText w:val="•"/>
      <w:lvlJc w:val="left"/>
      <w:pPr>
        <w:tabs>
          <w:tab w:val="num" w:pos="2880"/>
        </w:tabs>
        <w:ind w:left="2880" w:hanging="360"/>
      </w:pPr>
      <w:rPr>
        <w:rFonts w:ascii="Arial" w:hAnsi="Arial" w:hint="default"/>
      </w:rPr>
    </w:lvl>
    <w:lvl w:ilvl="4" w:tplc="697C512C" w:tentative="1">
      <w:start w:val="1"/>
      <w:numFmt w:val="bullet"/>
      <w:lvlText w:val="•"/>
      <w:lvlJc w:val="left"/>
      <w:pPr>
        <w:tabs>
          <w:tab w:val="num" w:pos="3600"/>
        </w:tabs>
        <w:ind w:left="3600" w:hanging="360"/>
      </w:pPr>
      <w:rPr>
        <w:rFonts w:ascii="Arial" w:hAnsi="Arial" w:hint="default"/>
      </w:rPr>
    </w:lvl>
    <w:lvl w:ilvl="5" w:tplc="5C9C270C" w:tentative="1">
      <w:start w:val="1"/>
      <w:numFmt w:val="bullet"/>
      <w:lvlText w:val="•"/>
      <w:lvlJc w:val="left"/>
      <w:pPr>
        <w:tabs>
          <w:tab w:val="num" w:pos="4320"/>
        </w:tabs>
        <w:ind w:left="4320" w:hanging="360"/>
      </w:pPr>
      <w:rPr>
        <w:rFonts w:ascii="Arial" w:hAnsi="Arial" w:hint="default"/>
      </w:rPr>
    </w:lvl>
    <w:lvl w:ilvl="6" w:tplc="747E7302" w:tentative="1">
      <w:start w:val="1"/>
      <w:numFmt w:val="bullet"/>
      <w:lvlText w:val="•"/>
      <w:lvlJc w:val="left"/>
      <w:pPr>
        <w:tabs>
          <w:tab w:val="num" w:pos="5040"/>
        </w:tabs>
        <w:ind w:left="5040" w:hanging="360"/>
      </w:pPr>
      <w:rPr>
        <w:rFonts w:ascii="Arial" w:hAnsi="Arial" w:hint="default"/>
      </w:rPr>
    </w:lvl>
    <w:lvl w:ilvl="7" w:tplc="83388F40" w:tentative="1">
      <w:start w:val="1"/>
      <w:numFmt w:val="bullet"/>
      <w:lvlText w:val="•"/>
      <w:lvlJc w:val="left"/>
      <w:pPr>
        <w:tabs>
          <w:tab w:val="num" w:pos="5760"/>
        </w:tabs>
        <w:ind w:left="5760" w:hanging="360"/>
      </w:pPr>
      <w:rPr>
        <w:rFonts w:ascii="Arial" w:hAnsi="Arial" w:hint="default"/>
      </w:rPr>
    </w:lvl>
    <w:lvl w:ilvl="8" w:tplc="1DA478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F64CC"/>
    <w:multiLevelType w:val="hybridMultilevel"/>
    <w:tmpl w:val="4D7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44AF3"/>
    <w:multiLevelType w:val="hybridMultilevel"/>
    <w:tmpl w:val="167C0782"/>
    <w:lvl w:ilvl="0" w:tplc="6EE479E4">
      <w:start w:val="1"/>
      <w:numFmt w:val="bullet"/>
      <w:lvlText w:val="•"/>
      <w:lvlJc w:val="left"/>
      <w:pPr>
        <w:tabs>
          <w:tab w:val="num" w:pos="720"/>
        </w:tabs>
        <w:ind w:left="720" w:hanging="360"/>
      </w:pPr>
      <w:rPr>
        <w:rFonts w:ascii="Arial" w:hAnsi="Arial" w:hint="default"/>
      </w:rPr>
    </w:lvl>
    <w:lvl w:ilvl="1" w:tplc="B0CE6D9C" w:tentative="1">
      <w:start w:val="1"/>
      <w:numFmt w:val="bullet"/>
      <w:lvlText w:val="•"/>
      <w:lvlJc w:val="left"/>
      <w:pPr>
        <w:tabs>
          <w:tab w:val="num" w:pos="1440"/>
        </w:tabs>
        <w:ind w:left="1440" w:hanging="360"/>
      </w:pPr>
      <w:rPr>
        <w:rFonts w:ascii="Arial" w:hAnsi="Arial" w:hint="default"/>
      </w:rPr>
    </w:lvl>
    <w:lvl w:ilvl="2" w:tplc="8E2EFBE6" w:tentative="1">
      <w:start w:val="1"/>
      <w:numFmt w:val="bullet"/>
      <w:lvlText w:val="•"/>
      <w:lvlJc w:val="left"/>
      <w:pPr>
        <w:tabs>
          <w:tab w:val="num" w:pos="2160"/>
        </w:tabs>
        <w:ind w:left="2160" w:hanging="360"/>
      </w:pPr>
      <w:rPr>
        <w:rFonts w:ascii="Arial" w:hAnsi="Arial" w:hint="default"/>
      </w:rPr>
    </w:lvl>
    <w:lvl w:ilvl="3" w:tplc="4F722DAA" w:tentative="1">
      <w:start w:val="1"/>
      <w:numFmt w:val="bullet"/>
      <w:lvlText w:val="•"/>
      <w:lvlJc w:val="left"/>
      <w:pPr>
        <w:tabs>
          <w:tab w:val="num" w:pos="2880"/>
        </w:tabs>
        <w:ind w:left="2880" w:hanging="360"/>
      </w:pPr>
      <w:rPr>
        <w:rFonts w:ascii="Arial" w:hAnsi="Arial" w:hint="default"/>
      </w:rPr>
    </w:lvl>
    <w:lvl w:ilvl="4" w:tplc="42A644A8" w:tentative="1">
      <w:start w:val="1"/>
      <w:numFmt w:val="bullet"/>
      <w:lvlText w:val="•"/>
      <w:lvlJc w:val="left"/>
      <w:pPr>
        <w:tabs>
          <w:tab w:val="num" w:pos="3600"/>
        </w:tabs>
        <w:ind w:left="3600" w:hanging="360"/>
      </w:pPr>
      <w:rPr>
        <w:rFonts w:ascii="Arial" w:hAnsi="Arial" w:hint="default"/>
      </w:rPr>
    </w:lvl>
    <w:lvl w:ilvl="5" w:tplc="47167964" w:tentative="1">
      <w:start w:val="1"/>
      <w:numFmt w:val="bullet"/>
      <w:lvlText w:val="•"/>
      <w:lvlJc w:val="left"/>
      <w:pPr>
        <w:tabs>
          <w:tab w:val="num" w:pos="4320"/>
        </w:tabs>
        <w:ind w:left="4320" w:hanging="360"/>
      </w:pPr>
      <w:rPr>
        <w:rFonts w:ascii="Arial" w:hAnsi="Arial" w:hint="default"/>
      </w:rPr>
    </w:lvl>
    <w:lvl w:ilvl="6" w:tplc="541629C0" w:tentative="1">
      <w:start w:val="1"/>
      <w:numFmt w:val="bullet"/>
      <w:lvlText w:val="•"/>
      <w:lvlJc w:val="left"/>
      <w:pPr>
        <w:tabs>
          <w:tab w:val="num" w:pos="5040"/>
        </w:tabs>
        <w:ind w:left="5040" w:hanging="360"/>
      </w:pPr>
      <w:rPr>
        <w:rFonts w:ascii="Arial" w:hAnsi="Arial" w:hint="default"/>
      </w:rPr>
    </w:lvl>
    <w:lvl w:ilvl="7" w:tplc="25A0D106" w:tentative="1">
      <w:start w:val="1"/>
      <w:numFmt w:val="bullet"/>
      <w:lvlText w:val="•"/>
      <w:lvlJc w:val="left"/>
      <w:pPr>
        <w:tabs>
          <w:tab w:val="num" w:pos="5760"/>
        </w:tabs>
        <w:ind w:left="5760" w:hanging="360"/>
      </w:pPr>
      <w:rPr>
        <w:rFonts w:ascii="Arial" w:hAnsi="Arial" w:hint="default"/>
      </w:rPr>
    </w:lvl>
    <w:lvl w:ilvl="8" w:tplc="675219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561EC"/>
    <w:multiLevelType w:val="hybridMultilevel"/>
    <w:tmpl w:val="00AAD9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84602"/>
    <w:multiLevelType w:val="hybridMultilevel"/>
    <w:tmpl w:val="822C5F9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771BF"/>
    <w:multiLevelType w:val="hybridMultilevel"/>
    <w:tmpl w:val="14AC6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22C50"/>
    <w:multiLevelType w:val="hybridMultilevel"/>
    <w:tmpl w:val="87FA0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F163D8"/>
    <w:multiLevelType w:val="hybridMultilevel"/>
    <w:tmpl w:val="F6CA2440"/>
    <w:lvl w:ilvl="0" w:tplc="F5CADD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CBC"/>
    <w:multiLevelType w:val="hybridMultilevel"/>
    <w:tmpl w:val="21A89D58"/>
    <w:lvl w:ilvl="0" w:tplc="5BA66A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F56AB"/>
    <w:multiLevelType w:val="hybridMultilevel"/>
    <w:tmpl w:val="4BA21B7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934E2"/>
    <w:multiLevelType w:val="hybridMultilevel"/>
    <w:tmpl w:val="B7E4155E"/>
    <w:lvl w:ilvl="0" w:tplc="FB28F5F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1D93"/>
    <w:multiLevelType w:val="hybridMultilevel"/>
    <w:tmpl w:val="8690C4B4"/>
    <w:lvl w:ilvl="0" w:tplc="50E243A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3635E2"/>
    <w:multiLevelType w:val="hybridMultilevel"/>
    <w:tmpl w:val="A3BE37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9B3DF6"/>
    <w:multiLevelType w:val="hybridMultilevel"/>
    <w:tmpl w:val="3FB42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C25F0"/>
    <w:multiLevelType w:val="hybridMultilevel"/>
    <w:tmpl w:val="A98E58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9D51031"/>
    <w:multiLevelType w:val="hybridMultilevel"/>
    <w:tmpl w:val="C6460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9785C"/>
    <w:multiLevelType w:val="hybridMultilevel"/>
    <w:tmpl w:val="D6B215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D2613B"/>
    <w:multiLevelType w:val="hybridMultilevel"/>
    <w:tmpl w:val="CC2A06E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2E37379"/>
    <w:multiLevelType w:val="hybridMultilevel"/>
    <w:tmpl w:val="A02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27BC2"/>
    <w:multiLevelType w:val="hybridMultilevel"/>
    <w:tmpl w:val="19B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F745C"/>
    <w:multiLevelType w:val="hybridMultilevel"/>
    <w:tmpl w:val="1756C6A2"/>
    <w:lvl w:ilvl="0" w:tplc="50E243AE">
      <w:start w:val="1"/>
      <w:numFmt w:val="bullet"/>
      <w:lvlText w:val=""/>
      <w:lvlJc w:val="left"/>
      <w:pPr>
        <w:ind w:left="720" w:hanging="360"/>
      </w:pPr>
      <w:rPr>
        <w:rFonts w:ascii="Symbol" w:hAnsi="Symbol" w:hint="default"/>
        <w:color w:val="auto"/>
      </w:rPr>
    </w:lvl>
    <w:lvl w:ilvl="1" w:tplc="50E243AE">
      <w:start w:val="1"/>
      <w:numFmt w:val="bullet"/>
      <w:lvlText w:val=""/>
      <w:lvlJc w:val="left"/>
      <w:pPr>
        <w:ind w:left="1440" w:hanging="360"/>
      </w:pPr>
      <w:rPr>
        <w:rFonts w:ascii="Symbol" w:hAnsi="Symbol" w:hint="default"/>
        <w:color w:val="auto"/>
      </w:rPr>
    </w:lvl>
    <w:lvl w:ilvl="2" w:tplc="0809000F">
      <w:start w:val="1"/>
      <w:numFmt w:val="decimal"/>
      <w:lvlText w:val="%3."/>
      <w:lvlJc w:val="left"/>
      <w:pPr>
        <w:ind w:left="2160" w:hanging="360"/>
      </w:p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86F28"/>
    <w:multiLevelType w:val="hybridMultilevel"/>
    <w:tmpl w:val="31F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B25E4"/>
    <w:multiLevelType w:val="hybridMultilevel"/>
    <w:tmpl w:val="367239FC"/>
    <w:lvl w:ilvl="0" w:tplc="3AF67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0077E"/>
    <w:multiLevelType w:val="hybridMultilevel"/>
    <w:tmpl w:val="43AC8F70"/>
    <w:lvl w:ilvl="0" w:tplc="3AF6714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7250648">
    <w:abstractNumId w:val="21"/>
  </w:num>
  <w:num w:numId="2" w16cid:durableId="1916894698">
    <w:abstractNumId w:val="0"/>
  </w:num>
  <w:num w:numId="3" w16cid:durableId="262688360">
    <w:abstractNumId w:val="5"/>
  </w:num>
  <w:num w:numId="4" w16cid:durableId="997807791">
    <w:abstractNumId w:val="7"/>
  </w:num>
  <w:num w:numId="5" w16cid:durableId="842011121">
    <w:abstractNumId w:val="4"/>
  </w:num>
  <w:num w:numId="6" w16cid:durableId="122584117">
    <w:abstractNumId w:val="15"/>
  </w:num>
  <w:num w:numId="7" w16cid:durableId="72166679">
    <w:abstractNumId w:val="14"/>
  </w:num>
  <w:num w:numId="8" w16cid:durableId="198126480">
    <w:abstractNumId w:val="20"/>
  </w:num>
  <w:num w:numId="9" w16cid:durableId="337465695">
    <w:abstractNumId w:val="16"/>
  </w:num>
  <w:num w:numId="10" w16cid:durableId="1638222127">
    <w:abstractNumId w:val="13"/>
  </w:num>
  <w:num w:numId="11" w16cid:durableId="252210054">
    <w:abstractNumId w:val="12"/>
  </w:num>
  <w:num w:numId="12" w16cid:durableId="1259945844">
    <w:abstractNumId w:val="18"/>
  </w:num>
  <w:num w:numId="13" w16cid:durableId="932279604">
    <w:abstractNumId w:val="24"/>
  </w:num>
  <w:num w:numId="14" w16cid:durableId="2041054013">
    <w:abstractNumId w:val="11"/>
  </w:num>
  <w:num w:numId="15" w16cid:durableId="1188374383">
    <w:abstractNumId w:val="17"/>
  </w:num>
  <w:num w:numId="16" w16cid:durableId="707337110">
    <w:abstractNumId w:val="2"/>
  </w:num>
  <w:num w:numId="17" w16cid:durableId="654647820">
    <w:abstractNumId w:val="23"/>
  </w:num>
  <w:num w:numId="18" w16cid:durableId="909270624">
    <w:abstractNumId w:val="6"/>
  </w:num>
  <w:num w:numId="19" w16cid:durableId="1876113727">
    <w:abstractNumId w:val="10"/>
  </w:num>
  <w:num w:numId="20" w16cid:durableId="1907718208">
    <w:abstractNumId w:val="8"/>
  </w:num>
  <w:num w:numId="21" w16cid:durableId="302465788">
    <w:abstractNumId w:val="3"/>
  </w:num>
  <w:num w:numId="22" w16cid:durableId="1350058375">
    <w:abstractNumId w:val="1"/>
  </w:num>
  <w:num w:numId="23" w16cid:durableId="858272563">
    <w:abstractNumId w:val="22"/>
  </w:num>
  <w:num w:numId="24" w16cid:durableId="142278854">
    <w:abstractNumId w:val="19"/>
  </w:num>
  <w:num w:numId="25" w16cid:durableId="456484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C"/>
    <w:rsid w:val="00011AA7"/>
    <w:rsid w:val="00014B94"/>
    <w:rsid w:val="00014D3C"/>
    <w:rsid w:val="00016826"/>
    <w:rsid w:val="00017433"/>
    <w:rsid w:val="000179AF"/>
    <w:rsid w:val="00021501"/>
    <w:rsid w:val="00023173"/>
    <w:rsid w:val="00027917"/>
    <w:rsid w:val="00035D16"/>
    <w:rsid w:val="00040C19"/>
    <w:rsid w:val="00043BBE"/>
    <w:rsid w:val="00044E68"/>
    <w:rsid w:val="00063D4A"/>
    <w:rsid w:val="000641F0"/>
    <w:rsid w:val="000673DF"/>
    <w:rsid w:val="00073676"/>
    <w:rsid w:val="00083C93"/>
    <w:rsid w:val="00093C66"/>
    <w:rsid w:val="00094F41"/>
    <w:rsid w:val="0009795B"/>
    <w:rsid w:val="00097B75"/>
    <w:rsid w:val="000A2F8A"/>
    <w:rsid w:val="000A3AE3"/>
    <w:rsid w:val="000B07E3"/>
    <w:rsid w:val="000B1306"/>
    <w:rsid w:val="000B731B"/>
    <w:rsid w:val="000C231E"/>
    <w:rsid w:val="000C48CA"/>
    <w:rsid w:val="000D1FC6"/>
    <w:rsid w:val="000D3176"/>
    <w:rsid w:val="000D6BC8"/>
    <w:rsid w:val="000E0A5B"/>
    <w:rsid w:val="000E0CDC"/>
    <w:rsid w:val="000E5E31"/>
    <w:rsid w:val="00114D2B"/>
    <w:rsid w:val="0011691A"/>
    <w:rsid w:val="00127456"/>
    <w:rsid w:val="00137D49"/>
    <w:rsid w:val="00145FAF"/>
    <w:rsid w:val="001477B0"/>
    <w:rsid w:val="00156C8D"/>
    <w:rsid w:val="00157ECE"/>
    <w:rsid w:val="00163127"/>
    <w:rsid w:val="001727B1"/>
    <w:rsid w:val="00172DA6"/>
    <w:rsid w:val="00174CEB"/>
    <w:rsid w:val="00175F13"/>
    <w:rsid w:val="00176678"/>
    <w:rsid w:val="00180870"/>
    <w:rsid w:val="00181AB0"/>
    <w:rsid w:val="00184D6C"/>
    <w:rsid w:val="0019379B"/>
    <w:rsid w:val="00193EA2"/>
    <w:rsid w:val="00194DFD"/>
    <w:rsid w:val="00195FE4"/>
    <w:rsid w:val="001A2557"/>
    <w:rsid w:val="001A5981"/>
    <w:rsid w:val="001A6CAB"/>
    <w:rsid w:val="001B07AA"/>
    <w:rsid w:val="001C4EF8"/>
    <w:rsid w:val="001C5047"/>
    <w:rsid w:val="001C5B4D"/>
    <w:rsid w:val="001D7FEE"/>
    <w:rsid w:val="001E1311"/>
    <w:rsid w:val="001F1041"/>
    <w:rsid w:val="001F10FB"/>
    <w:rsid w:val="001F1817"/>
    <w:rsid w:val="001F4345"/>
    <w:rsid w:val="00201553"/>
    <w:rsid w:val="00201CD4"/>
    <w:rsid w:val="00201F1A"/>
    <w:rsid w:val="002156C3"/>
    <w:rsid w:val="00230E41"/>
    <w:rsid w:val="002428FC"/>
    <w:rsid w:val="002505FE"/>
    <w:rsid w:val="00253145"/>
    <w:rsid w:val="00255584"/>
    <w:rsid w:val="002674C2"/>
    <w:rsid w:val="00272283"/>
    <w:rsid w:val="00272A7B"/>
    <w:rsid w:val="002756A6"/>
    <w:rsid w:val="002767D9"/>
    <w:rsid w:val="0028181F"/>
    <w:rsid w:val="00282D9B"/>
    <w:rsid w:val="00283BC2"/>
    <w:rsid w:val="002841B9"/>
    <w:rsid w:val="002927E5"/>
    <w:rsid w:val="00297AE2"/>
    <w:rsid w:val="00297CFE"/>
    <w:rsid w:val="002A2273"/>
    <w:rsid w:val="002A780D"/>
    <w:rsid w:val="002B16E2"/>
    <w:rsid w:val="002C2891"/>
    <w:rsid w:val="002D054E"/>
    <w:rsid w:val="002D21CA"/>
    <w:rsid w:val="002D6FBB"/>
    <w:rsid w:val="002D7607"/>
    <w:rsid w:val="002E019F"/>
    <w:rsid w:val="002E0B30"/>
    <w:rsid w:val="002E0FF3"/>
    <w:rsid w:val="002E410C"/>
    <w:rsid w:val="002F0443"/>
    <w:rsid w:val="002F34A0"/>
    <w:rsid w:val="002F3FA1"/>
    <w:rsid w:val="002F5137"/>
    <w:rsid w:val="002F72A5"/>
    <w:rsid w:val="003028AE"/>
    <w:rsid w:val="00310DD0"/>
    <w:rsid w:val="00313E4F"/>
    <w:rsid w:val="003151A1"/>
    <w:rsid w:val="00323A74"/>
    <w:rsid w:val="0032418E"/>
    <w:rsid w:val="00326FF3"/>
    <w:rsid w:val="00331180"/>
    <w:rsid w:val="00333F6E"/>
    <w:rsid w:val="00334586"/>
    <w:rsid w:val="00340D78"/>
    <w:rsid w:val="0034194D"/>
    <w:rsid w:val="00343308"/>
    <w:rsid w:val="00344956"/>
    <w:rsid w:val="00345EC8"/>
    <w:rsid w:val="00355238"/>
    <w:rsid w:val="00363D54"/>
    <w:rsid w:val="00367438"/>
    <w:rsid w:val="003718BB"/>
    <w:rsid w:val="003718D4"/>
    <w:rsid w:val="00374729"/>
    <w:rsid w:val="00376101"/>
    <w:rsid w:val="00380221"/>
    <w:rsid w:val="00380A00"/>
    <w:rsid w:val="00381F90"/>
    <w:rsid w:val="00383612"/>
    <w:rsid w:val="00394DCB"/>
    <w:rsid w:val="003A18F6"/>
    <w:rsid w:val="003A4885"/>
    <w:rsid w:val="003A609A"/>
    <w:rsid w:val="003A7BBF"/>
    <w:rsid w:val="003B14B9"/>
    <w:rsid w:val="003C7DFA"/>
    <w:rsid w:val="003D11A7"/>
    <w:rsid w:val="003D2A3A"/>
    <w:rsid w:val="003E5E14"/>
    <w:rsid w:val="003F66E1"/>
    <w:rsid w:val="00410B7E"/>
    <w:rsid w:val="004122EF"/>
    <w:rsid w:val="00430CD0"/>
    <w:rsid w:val="00431A2F"/>
    <w:rsid w:val="004444F6"/>
    <w:rsid w:val="0044602C"/>
    <w:rsid w:val="00453BE8"/>
    <w:rsid w:val="00455A4D"/>
    <w:rsid w:val="00456689"/>
    <w:rsid w:val="00456DF1"/>
    <w:rsid w:val="0045721D"/>
    <w:rsid w:val="004705B6"/>
    <w:rsid w:val="00485E0A"/>
    <w:rsid w:val="00487E95"/>
    <w:rsid w:val="00490F16"/>
    <w:rsid w:val="004940DC"/>
    <w:rsid w:val="004963EC"/>
    <w:rsid w:val="004A1D8B"/>
    <w:rsid w:val="004A22AC"/>
    <w:rsid w:val="004A5B2D"/>
    <w:rsid w:val="004B2338"/>
    <w:rsid w:val="004B3670"/>
    <w:rsid w:val="004C3D61"/>
    <w:rsid w:val="004C5E63"/>
    <w:rsid w:val="004C728A"/>
    <w:rsid w:val="004D6F15"/>
    <w:rsid w:val="004F2FBD"/>
    <w:rsid w:val="004F6414"/>
    <w:rsid w:val="004F6724"/>
    <w:rsid w:val="00511907"/>
    <w:rsid w:val="005126EF"/>
    <w:rsid w:val="00517BEF"/>
    <w:rsid w:val="00521FA7"/>
    <w:rsid w:val="00527FCD"/>
    <w:rsid w:val="00532869"/>
    <w:rsid w:val="00536140"/>
    <w:rsid w:val="005370E9"/>
    <w:rsid w:val="00551EF1"/>
    <w:rsid w:val="00551F8C"/>
    <w:rsid w:val="00554312"/>
    <w:rsid w:val="005543D0"/>
    <w:rsid w:val="00554448"/>
    <w:rsid w:val="00560669"/>
    <w:rsid w:val="00560764"/>
    <w:rsid w:val="00563358"/>
    <w:rsid w:val="0056465C"/>
    <w:rsid w:val="00564913"/>
    <w:rsid w:val="00565548"/>
    <w:rsid w:val="005678E8"/>
    <w:rsid w:val="005766B1"/>
    <w:rsid w:val="00582A34"/>
    <w:rsid w:val="00585E9D"/>
    <w:rsid w:val="00586800"/>
    <w:rsid w:val="00591445"/>
    <w:rsid w:val="00596194"/>
    <w:rsid w:val="005A3140"/>
    <w:rsid w:val="005A33B0"/>
    <w:rsid w:val="005A7B03"/>
    <w:rsid w:val="005B09AD"/>
    <w:rsid w:val="005B10ED"/>
    <w:rsid w:val="005C79CB"/>
    <w:rsid w:val="005D3A36"/>
    <w:rsid w:val="005E28EA"/>
    <w:rsid w:val="005F4E85"/>
    <w:rsid w:val="005F689A"/>
    <w:rsid w:val="006012BA"/>
    <w:rsid w:val="00602CAA"/>
    <w:rsid w:val="0060642B"/>
    <w:rsid w:val="00606A75"/>
    <w:rsid w:val="00611EFD"/>
    <w:rsid w:val="00614CEF"/>
    <w:rsid w:val="006151F4"/>
    <w:rsid w:val="00617C44"/>
    <w:rsid w:val="00633F4E"/>
    <w:rsid w:val="00653E20"/>
    <w:rsid w:val="006545E3"/>
    <w:rsid w:val="00654606"/>
    <w:rsid w:val="00654AE3"/>
    <w:rsid w:val="00657EDC"/>
    <w:rsid w:val="006717FE"/>
    <w:rsid w:val="006735A8"/>
    <w:rsid w:val="0067628A"/>
    <w:rsid w:val="00680868"/>
    <w:rsid w:val="006914E0"/>
    <w:rsid w:val="006922BF"/>
    <w:rsid w:val="0069666B"/>
    <w:rsid w:val="006A2787"/>
    <w:rsid w:val="006B0235"/>
    <w:rsid w:val="006B3FE8"/>
    <w:rsid w:val="006C0BBB"/>
    <w:rsid w:val="006D57C4"/>
    <w:rsid w:val="006D6B9F"/>
    <w:rsid w:val="006D7BE1"/>
    <w:rsid w:val="006E1FBF"/>
    <w:rsid w:val="006E25F3"/>
    <w:rsid w:val="006E45FF"/>
    <w:rsid w:val="006E7379"/>
    <w:rsid w:val="006F25CC"/>
    <w:rsid w:val="006F30D8"/>
    <w:rsid w:val="006F620A"/>
    <w:rsid w:val="006F735A"/>
    <w:rsid w:val="00706143"/>
    <w:rsid w:val="00706817"/>
    <w:rsid w:val="0071202F"/>
    <w:rsid w:val="00713636"/>
    <w:rsid w:val="00726154"/>
    <w:rsid w:val="00743F90"/>
    <w:rsid w:val="00762840"/>
    <w:rsid w:val="00766CD9"/>
    <w:rsid w:val="00774842"/>
    <w:rsid w:val="00780729"/>
    <w:rsid w:val="0078323A"/>
    <w:rsid w:val="00783766"/>
    <w:rsid w:val="00790091"/>
    <w:rsid w:val="00793467"/>
    <w:rsid w:val="0079513E"/>
    <w:rsid w:val="00795C51"/>
    <w:rsid w:val="007A138A"/>
    <w:rsid w:val="007A1AE5"/>
    <w:rsid w:val="007A3C21"/>
    <w:rsid w:val="007B0691"/>
    <w:rsid w:val="007B4D31"/>
    <w:rsid w:val="007B5E41"/>
    <w:rsid w:val="007B76D7"/>
    <w:rsid w:val="007C0BC9"/>
    <w:rsid w:val="007C69FE"/>
    <w:rsid w:val="007C791E"/>
    <w:rsid w:val="007D0B17"/>
    <w:rsid w:val="007D2C66"/>
    <w:rsid w:val="007D5A27"/>
    <w:rsid w:val="007E2604"/>
    <w:rsid w:val="007E2D5A"/>
    <w:rsid w:val="007E5B6B"/>
    <w:rsid w:val="007E5E65"/>
    <w:rsid w:val="007E6B59"/>
    <w:rsid w:val="007F5089"/>
    <w:rsid w:val="00804D64"/>
    <w:rsid w:val="00805396"/>
    <w:rsid w:val="00806581"/>
    <w:rsid w:val="00810C8B"/>
    <w:rsid w:val="0084310C"/>
    <w:rsid w:val="00843588"/>
    <w:rsid w:val="00844515"/>
    <w:rsid w:val="00844B73"/>
    <w:rsid w:val="00846605"/>
    <w:rsid w:val="00855413"/>
    <w:rsid w:val="00855D53"/>
    <w:rsid w:val="00866462"/>
    <w:rsid w:val="00871A8E"/>
    <w:rsid w:val="00873248"/>
    <w:rsid w:val="008802C9"/>
    <w:rsid w:val="008817D1"/>
    <w:rsid w:val="00891356"/>
    <w:rsid w:val="00891653"/>
    <w:rsid w:val="008A3FCA"/>
    <w:rsid w:val="008A513A"/>
    <w:rsid w:val="008B42D4"/>
    <w:rsid w:val="008B4C0E"/>
    <w:rsid w:val="008B4FD3"/>
    <w:rsid w:val="008B6D21"/>
    <w:rsid w:val="008B7CB5"/>
    <w:rsid w:val="008C4693"/>
    <w:rsid w:val="008C4D7D"/>
    <w:rsid w:val="008D461F"/>
    <w:rsid w:val="008D4CD2"/>
    <w:rsid w:val="008D57A8"/>
    <w:rsid w:val="008D66E3"/>
    <w:rsid w:val="008D7320"/>
    <w:rsid w:val="008E179D"/>
    <w:rsid w:val="008E1D98"/>
    <w:rsid w:val="008E2A13"/>
    <w:rsid w:val="008F1052"/>
    <w:rsid w:val="009119E7"/>
    <w:rsid w:val="009203B2"/>
    <w:rsid w:val="00920422"/>
    <w:rsid w:val="00925924"/>
    <w:rsid w:val="00927CDC"/>
    <w:rsid w:val="0093075A"/>
    <w:rsid w:val="009310AF"/>
    <w:rsid w:val="00932EE1"/>
    <w:rsid w:val="00933AC4"/>
    <w:rsid w:val="009347B2"/>
    <w:rsid w:val="009377DA"/>
    <w:rsid w:val="00946D2A"/>
    <w:rsid w:val="00956DFA"/>
    <w:rsid w:val="0096293C"/>
    <w:rsid w:val="00972175"/>
    <w:rsid w:val="00976DF9"/>
    <w:rsid w:val="0098385D"/>
    <w:rsid w:val="009871E6"/>
    <w:rsid w:val="009947DA"/>
    <w:rsid w:val="009952EA"/>
    <w:rsid w:val="00995E6C"/>
    <w:rsid w:val="009973D3"/>
    <w:rsid w:val="009A427C"/>
    <w:rsid w:val="009B21BF"/>
    <w:rsid w:val="009B5A98"/>
    <w:rsid w:val="009C786D"/>
    <w:rsid w:val="009D0CF1"/>
    <w:rsid w:val="009D2A9E"/>
    <w:rsid w:val="009D7314"/>
    <w:rsid w:val="009D74E5"/>
    <w:rsid w:val="009F50EF"/>
    <w:rsid w:val="009F73E8"/>
    <w:rsid w:val="00A00517"/>
    <w:rsid w:val="00A0228A"/>
    <w:rsid w:val="00A04869"/>
    <w:rsid w:val="00A04DD8"/>
    <w:rsid w:val="00A10AF9"/>
    <w:rsid w:val="00A1760E"/>
    <w:rsid w:val="00A33610"/>
    <w:rsid w:val="00A34299"/>
    <w:rsid w:val="00A37A59"/>
    <w:rsid w:val="00A44A54"/>
    <w:rsid w:val="00A46A3E"/>
    <w:rsid w:val="00A471AC"/>
    <w:rsid w:val="00A564DC"/>
    <w:rsid w:val="00A57FD3"/>
    <w:rsid w:val="00A66E97"/>
    <w:rsid w:val="00A672DE"/>
    <w:rsid w:val="00A70D57"/>
    <w:rsid w:val="00A72864"/>
    <w:rsid w:val="00A9312A"/>
    <w:rsid w:val="00A96AD0"/>
    <w:rsid w:val="00AA15A5"/>
    <w:rsid w:val="00AA68AE"/>
    <w:rsid w:val="00AB1F32"/>
    <w:rsid w:val="00AC751B"/>
    <w:rsid w:val="00AD29BC"/>
    <w:rsid w:val="00AD72AC"/>
    <w:rsid w:val="00AE2878"/>
    <w:rsid w:val="00AE4642"/>
    <w:rsid w:val="00AE5552"/>
    <w:rsid w:val="00AE6E23"/>
    <w:rsid w:val="00AE793A"/>
    <w:rsid w:val="00AF437E"/>
    <w:rsid w:val="00B049EC"/>
    <w:rsid w:val="00B111B0"/>
    <w:rsid w:val="00B159AB"/>
    <w:rsid w:val="00B21C9C"/>
    <w:rsid w:val="00B27527"/>
    <w:rsid w:val="00B40096"/>
    <w:rsid w:val="00B42F2B"/>
    <w:rsid w:val="00B505EF"/>
    <w:rsid w:val="00B6196B"/>
    <w:rsid w:val="00B62081"/>
    <w:rsid w:val="00B7012A"/>
    <w:rsid w:val="00B7197B"/>
    <w:rsid w:val="00B83EEF"/>
    <w:rsid w:val="00B92CA6"/>
    <w:rsid w:val="00BA0DD4"/>
    <w:rsid w:val="00BA25BC"/>
    <w:rsid w:val="00BA5AF1"/>
    <w:rsid w:val="00BA767B"/>
    <w:rsid w:val="00BA7F50"/>
    <w:rsid w:val="00BB63D3"/>
    <w:rsid w:val="00BC6AEF"/>
    <w:rsid w:val="00BC6D1D"/>
    <w:rsid w:val="00BD07F2"/>
    <w:rsid w:val="00BD2C9F"/>
    <w:rsid w:val="00BE3613"/>
    <w:rsid w:val="00BE6CC7"/>
    <w:rsid w:val="00C04A0F"/>
    <w:rsid w:val="00C050DD"/>
    <w:rsid w:val="00C05890"/>
    <w:rsid w:val="00C07756"/>
    <w:rsid w:val="00C21764"/>
    <w:rsid w:val="00C222FB"/>
    <w:rsid w:val="00C22CED"/>
    <w:rsid w:val="00C25871"/>
    <w:rsid w:val="00C30420"/>
    <w:rsid w:val="00C31E9D"/>
    <w:rsid w:val="00C32C94"/>
    <w:rsid w:val="00C378A1"/>
    <w:rsid w:val="00C53DE0"/>
    <w:rsid w:val="00C54099"/>
    <w:rsid w:val="00C77CAA"/>
    <w:rsid w:val="00C86666"/>
    <w:rsid w:val="00C87BAE"/>
    <w:rsid w:val="00C911CA"/>
    <w:rsid w:val="00C927C4"/>
    <w:rsid w:val="00C9391B"/>
    <w:rsid w:val="00CA083D"/>
    <w:rsid w:val="00CA277A"/>
    <w:rsid w:val="00CA2E24"/>
    <w:rsid w:val="00CA33FA"/>
    <w:rsid w:val="00CA5495"/>
    <w:rsid w:val="00CC2919"/>
    <w:rsid w:val="00CC4647"/>
    <w:rsid w:val="00CD2B33"/>
    <w:rsid w:val="00CE1B68"/>
    <w:rsid w:val="00CE42A7"/>
    <w:rsid w:val="00CF2743"/>
    <w:rsid w:val="00CF41E0"/>
    <w:rsid w:val="00D00E83"/>
    <w:rsid w:val="00D04EBB"/>
    <w:rsid w:val="00D10525"/>
    <w:rsid w:val="00D1061B"/>
    <w:rsid w:val="00D12492"/>
    <w:rsid w:val="00D147D6"/>
    <w:rsid w:val="00D15EED"/>
    <w:rsid w:val="00D16C41"/>
    <w:rsid w:val="00D174F4"/>
    <w:rsid w:val="00D20E02"/>
    <w:rsid w:val="00D21D9E"/>
    <w:rsid w:val="00D243C0"/>
    <w:rsid w:val="00D27BC7"/>
    <w:rsid w:val="00D34D0F"/>
    <w:rsid w:val="00D43AA8"/>
    <w:rsid w:val="00D55C63"/>
    <w:rsid w:val="00D60507"/>
    <w:rsid w:val="00D606D6"/>
    <w:rsid w:val="00D611F1"/>
    <w:rsid w:val="00D667D6"/>
    <w:rsid w:val="00D703AC"/>
    <w:rsid w:val="00D75FAA"/>
    <w:rsid w:val="00D77C4B"/>
    <w:rsid w:val="00D81A8D"/>
    <w:rsid w:val="00D81D27"/>
    <w:rsid w:val="00D82D08"/>
    <w:rsid w:val="00D8320E"/>
    <w:rsid w:val="00D8606B"/>
    <w:rsid w:val="00D8697D"/>
    <w:rsid w:val="00D8709B"/>
    <w:rsid w:val="00D9465F"/>
    <w:rsid w:val="00D94705"/>
    <w:rsid w:val="00D95C8E"/>
    <w:rsid w:val="00D9787B"/>
    <w:rsid w:val="00DB12E4"/>
    <w:rsid w:val="00DB283B"/>
    <w:rsid w:val="00DB2945"/>
    <w:rsid w:val="00DC069A"/>
    <w:rsid w:val="00DC7E58"/>
    <w:rsid w:val="00DD194B"/>
    <w:rsid w:val="00DD332A"/>
    <w:rsid w:val="00DD5CFD"/>
    <w:rsid w:val="00DD5DAB"/>
    <w:rsid w:val="00DD6BEE"/>
    <w:rsid w:val="00DF37B1"/>
    <w:rsid w:val="00DF43D3"/>
    <w:rsid w:val="00DF5552"/>
    <w:rsid w:val="00DF630A"/>
    <w:rsid w:val="00E03E89"/>
    <w:rsid w:val="00E07127"/>
    <w:rsid w:val="00E121C8"/>
    <w:rsid w:val="00E13635"/>
    <w:rsid w:val="00E171C3"/>
    <w:rsid w:val="00E225F2"/>
    <w:rsid w:val="00E24F9C"/>
    <w:rsid w:val="00E3043F"/>
    <w:rsid w:val="00E30568"/>
    <w:rsid w:val="00E46FD3"/>
    <w:rsid w:val="00E575DE"/>
    <w:rsid w:val="00E61B71"/>
    <w:rsid w:val="00E62568"/>
    <w:rsid w:val="00E70318"/>
    <w:rsid w:val="00E75E09"/>
    <w:rsid w:val="00E80726"/>
    <w:rsid w:val="00E82E76"/>
    <w:rsid w:val="00E86903"/>
    <w:rsid w:val="00E86DB4"/>
    <w:rsid w:val="00E97C71"/>
    <w:rsid w:val="00EB400B"/>
    <w:rsid w:val="00EB4824"/>
    <w:rsid w:val="00EB4F91"/>
    <w:rsid w:val="00EC112D"/>
    <w:rsid w:val="00EC7632"/>
    <w:rsid w:val="00ED7657"/>
    <w:rsid w:val="00EE5309"/>
    <w:rsid w:val="00EE6F70"/>
    <w:rsid w:val="00EF2E5C"/>
    <w:rsid w:val="00EF6CAA"/>
    <w:rsid w:val="00F0265D"/>
    <w:rsid w:val="00F03C3F"/>
    <w:rsid w:val="00F06BEE"/>
    <w:rsid w:val="00F13DBB"/>
    <w:rsid w:val="00F2087F"/>
    <w:rsid w:val="00F224D1"/>
    <w:rsid w:val="00F3381C"/>
    <w:rsid w:val="00F457D1"/>
    <w:rsid w:val="00F46F03"/>
    <w:rsid w:val="00F52A30"/>
    <w:rsid w:val="00F54274"/>
    <w:rsid w:val="00F61DAB"/>
    <w:rsid w:val="00F64309"/>
    <w:rsid w:val="00F670CA"/>
    <w:rsid w:val="00F75DAF"/>
    <w:rsid w:val="00F776DA"/>
    <w:rsid w:val="00F77FCD"/>
    <w:rsid w:val="00F84C4F"/>
    <w:rsid w:val="00F84C5A"/>
    <w:rsid w:val="00F91F8B"/>
    <w:rsid w:val="00F92106"/>
    <w:rsid w:val="00FA187B"/>
    <w:rsid w:val="00FB5D9F"/>
    <w:rsid w:val="00FC1711"/>
    <w:rsid w:val="00FC7798"/>
    <w:rsid w:val="00FD0AE4"/>
    <w:rsid w:val="00FD2200"/>
    <w:rsid w:val="00FD7880"/>
    <w:rsid w:val="00FE127B"/>
    <w:rsid w:val="00FE2544"/>
    <w:rsid w:val="00FE3E1F"/>
    <w:rsid w:val="00FE5E48"/>
    <w:rsid w:val="00FE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04E1"/>
  <w15:chartTrackingRefBased/>
  <w15:docId w15:val="{BBBDE01A-4EAF-4352-BF26-D0337CFC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10C"/>
  </w:style>
  <w:style w:type="paragraph" w:styleId="Footer">
    <w:name w:val="footer"/>
    <w:basedOn w:val="Normal"/>
    <w:link w:val="FooterChar"/>
    <w:uiPriority w:val="99"/>
    <w:unhideWhenUsed/>
    <w:rsid w:val="002E4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10C"/>
  </w:style>
  <w:style w:type="table" w:styleId="TableGrid">
    <w:name w:val="Table Grid"/>
    <w:basedOn w:val="TableNormal"/>
    <w:uiPriority w:val="39"/>
    <w:rsid w:val="0018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AD0"/>
    <w:pPr>
      <w:ind w:left="720"/>
      <w:contextualSpacing/>
    </w:pPr>
  </w:style>
  <w:style w:type="character" w:styleId="Hyperlink">
    <w:name w:val="Hyperlink"/>
    <w:basedOn w:val="DefaultParagraphFont"/>
    <w:uiPriority w:val="99"/>
    <w:unhideWhenUsed/>
    <w:rsid w:val="00925924"/>
    <w:rPr>
      <w:color w:val="0000FF"/>
      <w:u w:val="single"/>
    </w:rPr>
  </w:style>
  <w:style w:type="character" w:styleId="UnresolvedMention">
    <w:name w:val="Unresolved Mention"/>
    <w:basedOn w:val="DefaultParagraphFont"/>
    <w:uiPriority w:val="99"/>
    <w:semiHidden/>
    <w:unhideWhenUsed/>
    <w:rsid w:val="0060642B"/>
    <w:rPr>
      <w:color w:val="605E5C"/>
      <w:shd w:val="clear" w:color="auto" w:fill="E1DFDD"/>
    </w:rPr>
  </w:style>
  <w:style w:type="paragraph" w:customStyle="1" w:styleId="li3">
    <w:name w:val="li3"/>
    <w:basedOn w:val="Normal"/>
    <w:rsid w:val="005126EF"/>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33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80"/>
    <w:rPr>
      <w:rFonts w:ascii="Segoe UI" w:hAnsi="Segoe UI" w:cs="Segoe UI"/>
      <w:sz w:val="18"/>
      <w:szCs w:val="18"/>
    </w:rPr>
  </w:style>
  <w:style w:type="paragraph" w:styleId="NormalWeb">
    <w:name w:val="Normal (Web)"/>
    <w:basedOn w:val="Normal"/>
    <w:uiPriority w:val="99"/>
    <w:semiHidden/>
    <w:unhideWhenUsed/>
    <w:rsid w:val="000C48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879">
      <w:bodyDiv w:val="1"/>
      <w:marLeft w:val="0"/>
      <w:marRight w:val="0"/>
      <w:marTop w:val="0"/>
      <w:marBottom w:val="0"/>
      <w:divBdr>
        <w:top w:val="none" w:sz="0" w:space="0" w:color="auto"/>
        <w:left w:val="none" w:sz="0" w:space="0" w:color="auto"/>
        <w:bottom w:val="none" w:sz="0" w:space="0" w:color="auto"/>
        <w:right w:val="none" w:sz="0" w:space="0" w:color="auto"/>
      </w:divBdr>
    </w:div>
    <w:div w:id="390999775">
      <w:bodyDiv w:val="1"/>
      <w:marLeft w:val="0"/>
      <w:marRight w:val="0"/>
      <w:marTop w:val="0"/>
      <w:marBottom w:val="0"/>
      <w:divBdr>
        <w:top w:val="none" w:sz="0" w:space="0" w:color="auto"/>
        <w:left w:val="none" w:sz="0" w:space="0" w:color="auto"/>
        <w:bottom w:val="none" w:sz="0" w:space="0" w:color="auto"/>
        <w:right w:val="none" w:sz="0" w:space="0" w:color="auto"/>
      </w:divBdr>
      <w:divsChild>
        <w:div w:id="391579792">
          <w:marLeft w:val="446"/>
          <w:marRight w:val="0"/>
          <w:marTop w:val="0"/>
          <w:marBottom w:val="160"/>
          <w:divBdr>
            <w:top w:val="none" w:sz="0" w:space="0" w:color="auto"/>
            <w:left w:val="none" w:sz="0" w:space="0" w:color="auto"/>
            <w:bottom w:val="none" w:sz="0" w:space="0" w:color="auto"/>
            <w:right w:val="none" w:sz="0" w:space="0" w:color="auto"/>
          </w:divBdr>
        </w:div>
      </w:divsChild>
    </w:div>
    <w:div w:id="600451947">
      <w:bodyDiv w:val="1"/>
      <w:marLeft w:val="0"/>
      <w:marRight w:val="0"/>
      <w:marTop w:val="0"/>
      <w:marBottom w:val="0"/>
      <w:divBdr>
        <w:top w:val="none" w:sz="0" w:space="0" w:color="auto"/>
        <w:left w:val="none" w:sz="0" w:space="0" w:color="auto"/>
        <w:bottom w:val="none" w:sz="0" w:space="0" w:color="auto"/>
        <w:right w:val="none" w:sz="0" w:space="0" w:color="auto"/>
      </w:divBdr>
    </w:div>
    <w:div w:id="952595092">
      <w:bodyDiv w:val="1"/>
      <w:marLeft w:val="0"/>
      <w:marRight w:val="0"/>
      <w:marTop w:val="0"/>
      <w:marBottom w:val="0"/>
      <w:divBdr>
        <w:top w:val="none" w:sz="0" w:space="0" w:color="auto"/>
        <w:left w:val="none" w:sz="0" w:space="0" w:color="auto"/>
        <w:bottom w:val="none" w:sz="0" w:space="0" w:color="auto"/>
        <w:right w:val="none" w:sz="0" w:space="0" w:color="auto"/>
      </w:divBdr>
      <w:divsChild>
        <w:div w:id="4483558">
          <w:marLeft w:val="446"/>
          <w:marRight w:val="0"/>
          <w:marTop w:val="0"/>
          <w:marBottom w:val="160"/>
          <w:divBdr>
            <w:top w:val="none" w:sz="0" w:space="0" w:color="auto"/>
            <w:left w:val="none" w:sz="0" w:space="0" w:color="auto"/>
            <w:bottom w:val="none" w:sz="0" w:space="0" w:color="auto"/>
            <w:right w:val="none" w:sz="0" w:space="0" w:color="auto"/>
          </w:divBdr>
        </w:div>
      </w:divsChild>
    </w:div>
    <w:div w:id="1296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ey.dajani@enterprisestokestaff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okestaffslep.org.uk/resour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Anne (EnterpriseStokeStaffs)</dc:creator>
  <cp:keywords/>
  <dc:description/>
  <cp:lastModifiedBy>Kemp, Joanne (EnterpriseStokeStaffs)</cp:lastModifiedBy>
  <cp:revision>3</cp:revision>
  <dcterms:created xsi:type="dcterms:W3CDTF">2022-12-12T12:23:00Z</dcterms:created>
  <dcterms:modified xsi:type="dcterms:W3CDTF">2022-12-14T13:54:00Z</dcterms:modified>
</cp:coreProperties>
</file>