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B787" w14:textId="68FC58B3" w:rsidR="00093A18" w:rsidRPr="00BE7D4E" w:rsidRDefault="00BE7D4E" w:rsidP="00BE7D4E">
      <w:pPr>
        <w:jc w:val="right"/>
        <w:rPr>
          <w:rFonts w:cstheme="minorHAnsi"/>
          <w:b/>
          <w:bCs/>
          <w:sz w:val="24"/>
          <w:szCs w:val="24"/>
        </w:rPr>
      </w:pPr>
      <w:r w:rsidRPr="00BE7D4E">
        <w:rPr>
          <w:rFonts w:cstheme="minorHAnsi"/>
          <w:b/>
          <w:bCs/>
          <w:sz w:val="24"/>
          <w:szCs w:val="24"/>
        </w:rPr>
        <w:t>Agenda Item 6.2</w:t>
      </w:r>
    </w:p>
    <w:p w14:paraId="338C3A0E" w14:textId="77777777" w:rsidR="00093A18" w:rsidRDefault="00093A18" w:rsidP="00854E04">
      <w:pPr>
        <w:jc w:val="center"/>
        <w:rPr>
          <w:rFonts w:cstheme="minorHAnsi"/>
          <w:b/>
          <w:bCs/>
          <w:sz w:val="40"/>
          <w:szCs w:val="40"/>
        </w:rPr>
      </w:pPr>
    </w:p>
    <w:p w14:paraId="522A2BA0" w14:textId="1B758430" w:rsidR="00167BEC" w:rsidRPr="00093A18" w:rsidRDefault="00982B94" w:rsidP="00854E04">
      <w:pPr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Evolution of LEP Executive Board</w:t>
      </w:r>
    </w:p>
    <w:p w14:paraId="4EF59264" w14:textId="13D54102" w:rsidR="00093A18" w:rsidRDefault="00093A18" w:rsidP="00854E04">
      <w:pPr>
        <w:jc w:val="center"/>
        <w:rPr>
          <w:rFonts w:cstheme="minorHAnsi"/>
          <w:b/>
          <w:bCs/>
          <w:color w:val="000000" w:themeColor="text1"/>
        </w:rPr>
      </w:pPr>
    </w:p>
    <w:p w14:paraId="50093DBB" w14:textId="41EC4B1F" w:rsidR="00093A18" w:rsidRDefault="00093A18" w:rsidP="00854E04">
      <w:pPr>
        <w:jc w:val="center"/>
        <w:rPr>
          <w:rFonts w:cstheme="minorHAnsi"/>
          <w:b/>
          <w:bCs/>
          <w:color w:val="000000" w:themeColor="text1"/>
        </w:rPr>
      </w:pPr>
    </w:p>
    <w:p w14:paraId="79DF9309" w14:textId="12C45C75" w:rsidR="00093A18" w:rsidRDefault="00093A18" w:rsidP="00093A18">
      <w:pPr>
        <w:rPr>
          <w:rFonts w:ascii="Verdana" w:hAnsi="Verdana" w:cs="Arial"/>
          <w:bCs/>
        </w:rPr>
      </w:pPr>
    </w:p>
    <w:p w14:paraId="1118BA8E" w14:textId="4CE7F084" w:rsidR="00093A18" w:rsidRDefault="00093A18" w:rsidP="00093A18">
      <w:pPr>
        <w:rPr>
          <w:rFonts w:ascii="Verdana" w:hAnsi="Verdana" w:cs="Arial"/>
          <w:bCs/>
        </w:rPr>
      </w:pPr>
    </w:p>
    <w:p w14:paraId="3886AD29" w14:textId="6BEEC6B3" w:rsidR="00093A18" w:rsidRPr="00167BEC" w:rsidRDefault="00093A18" w:rsidP="00093A18">
      <w:pPr>
        <w:rPr>
          <w:rFonts w:cstheme="minorHAnsi"/>
          <w:b/>
          <w:bCs/>
          <w:color w:val="000000" w:themeColor="text1"/>
        </w:rPr>
      </w:pPr>
    </w:p>
    <w:p w14:paraId="1AFDFB7C" w14:textId="1E3F5D4D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15990251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0DC671E2" w14:textId="22279411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0944BD9C" w14:textId="63680A8B" w:rsidR="00093A18" w:rsidRDefault="00BF50C9" w:rsidP="00093A18">
      <w:pPr>
        <w:pStyle w:val="NoSpacing"/>
        <w:ind w:left="72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FCA7C" wp14:editId="4ED2BF2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226050" cy="16510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165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7AC52" w14:textId="7BDB0826" w:rsidR="00093A18" w:rsidRPr="00093A18" w:rsidRDefault="00093A18" w:rsidP="00093A18">
                            <w:pPr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</w:rPr>
                              <w:t xml:space="preserve">SSLEP Executive Board is asked to consider, comment and vote on </w:t>
                            </w:r>
                            <w:r w:rsidRPr="00093A18"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</w:rPr>
                              <w:t>the following option:</w:t>
                            </w:r>
                          </w:p>
                          <w:p w14:paraId="7C2DDA87" w14:textId="4CE354D5" w:rsidR="00093A18" w:rsidRPr="00BF50C9" w:rsidRDefault="00093A18" w:rsidP="00093A18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50C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agree </w:t>
                            </w:r>
                            <w:r w:rsidR="00982B9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the recommendations with a view to new board and terms of reference in place in Spring 2023</w:t>
                            </w:r>
                            <w:r w:rsidRPr="00BF50C9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824B76" w14:textId="77777777" w:rsidR="00093A18" w:rsidRPr="00093A18" w:rsidRDefault="00093A18" w:rsidP="00093A18">
                            <w:pPr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295C516" w14:textId="77777777" w:rsidR="00093A18" w:rsidRPr="00093A18" w:rsidRDefault="00093A18" w:rsidP="00093A18">
                            <w:pPr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6B6A0F4" w14:textId="77777777" w:rsidR="00093A18" w:rsidRDefault="00093A18" w:rsidP="00093A18">
                            <w:pPr>
                              <w:rPr>
                                <w:rFonts w:ascii="Verdana" w:hAnsi="Verdana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FCA7C" id="Rectangle 1" o:spid="_x0000_s1026" style="position:absolute;left:0;text-align:left;margin-left:360.3pt;margin-top:.5pt;width:411.5pt;height:1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" fillcolor="#ffd966 [1943]" strokecolor="#1f3763 [1604]" strokeweight="1pt">
                <v:fill opacity="22873f"/>
                <v:textbox>
                  <w:txbxContent>
                    <w:p w14:paraId="58B7AC52" w14:textId="7BDB0826" w:rsidR="00093A18" w:rsidRPr="00093A18" w:rsidRDefault="00093A18" w:rsidP="00093A18">
                      <w:pPr>
                        <w:rPr>
                          <w:rFonts w:ascii="Verdana" w:hAnsi="Verdana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000000" w:themeColor="text1"/>
                        </w:rPr>
                        <w:t xml:space="preserve">SSLEP Executive Board is asked to consider, </w:t>
                      </w:r>
                      <w:proofErr w:type="gramStart"/>
                      <w:r>
                        <w:rPr>
                          <w:rFonts w:ascii="Verdana" w:hAnsi="Verdana" w:cs="Arial"/>
                          <w:b/>
                          <w:color w:val="000000" w:themeColor="text1"/>
                        </w:rPr>
                        <w:t>comment</w:t>
                      </w:r>
                      <w:proofErr w:type="gramEnd"/>
                      <w:r>
                        <w:rPr>
                          <w:rFonts w:ascii="Verdana" w:hAnsi="Verdana" w:cs="Arial"/>
                          <w:b/>
                          <w:color w:val="000000" w:themeColor="text1"/>
                        </w:rPr>
                        <w:t xml:space="preserve"> and vote on </w:t>
                      </w:r>
                      <w:r w:rsidRPr="00093A18">
                        <w:rPr>
                          <w:rFonts w:ascii="Verdana" w:hAnsi="Verdana" w:cs="Arial"/>
                          <w:b/>
                          <w:color w:val="000000" w:themeColor="text1"/>
                        </w:rPr>
                        <w:t>the following option:</w:t>
                      </w:r>
                    </w:p>
                    <w:p w14:paraId="7C2DDA87" w14:textId="4CE354D5" w:rsidR="00093A18" w:rsidRPr="00BF50C9" w:rsidRDefault="00093A18" w:rsidP="00093A18">
                      <w:pPr>
                        <w:pStyle w:val="NoSpacing"/>
                        <w:jc w:val="both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F50C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To agree </w:t>
                      </w:r>
                      <w:r w:rsidR="00982B9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the recommendations with a view to new board and terms of reference in place in Spring 2023</w:t>
                      </w:r>
                      <w:r w:rsidRPr="00BF50C9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45824B76" w14:textId="77777777" w:rsidR="00093A18" w:rsidRPr="00093A18" w:rsidRDefault="00093A18" w:rsidP="00093A18">
                      <w:pPr>
                        <w:rPr>
                          <w:rFonts w:ascii="Verdana" w:hAnsi="Verdana" w:cs="Arial"/>
                          <w:b/>
                          <w:color w:val="000000" w:themeColor="text1"/>
                        </w:rPr>
                      </w:pPr>
                    </w:p>
                    <w:p w14:paraId="3295C516" w14:textId="77777777" w:rsidR="00093A18" w:rsidRPr="00093A18" w:rsidRDefault="00093A18" w:rsidP="00093A18">
                      <w:pPr>
                        <w:rPr>
                          <w:rFonts w:ascii="Verdana" w:hAnsi="Verdana" w:cs="Arial"/>
                          <w:b/>
                          <w:color w:val="000000" w:themeColor="text1"/>
                        </w:rPr>
                      </w:pPr>
                    </w:p>
                    <w:p w14:paraId="36B6A0F4" w14:textId="77777777" w:rsidR="00093A18" w:rsidRDefault="00093A18" w:rsidP="00093A18">
                      <w:pPr>
                        <w:rPr>
                          <w:rFonts w:ascii="Verdana" w:hAnsi="Verdana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1772F1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2532F335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22AFE7DD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3EC0A55E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0E7F5077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0C0539FC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4ABA852E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7D58CC8B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28E1D8EA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13DA2A80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31D298F4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523D9BE8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413D7D50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01C63268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2F1BE13C" w14:textId="36506FCC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46DDAD7D" w14:textId="41558015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081F8025" w14:textId="3B83CF1A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4AACF31C" w14:textId="67F74AC4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14FC39FE" w14:textId="2B497142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3B8ABC5B" w14:textId="5468BE8E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51634313" w14:textId="6811028C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6F9B9C1C" w14:textId="3FC0C38D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611AC8EB" w14:textId="5B9AD143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6486266C" w14:textId="56BF62EE" w:rsidR="00093A18" w:rsidRDefault="00093A18" w:rsidP="00BF50C9">
      <w:pPr>
        <w:pStyle w:val="NoSpacing"/>
        <w:jc w:val="both"/>
        <w:rPr>
          <w:b/>
          <w:bCs/>
        </w:rPr>
      </w:pPr>
    </w:p>
    <w:p w14:paraId="07431AC8" w14:textId="77777777" w:rsidR="00BF50C9" w:rsidRDefault="00BF50C9" w:rsidP="00BF50C9">
      <w:pPr>
        <w:pStyle w:val="NoSpacing"/>
        <w:jc w:val="both"/>
        <w:rPr>
          <w:b/>
          <w:bCs/>
        </w:rPr>
      </w:pPr>
    </w:p>
    <w:p w14:paraId="1736AFDA" w14:textId="2804EF6D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6061E909" w14:textId="2735E034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55BFC27F" w14:textId="4FDE90DF" w:rsidR="00BF50C9" w:rsidRDefault="00BF50C9" w:rsidP="00BF50C9">
      <w:pPr>
        <w:pStyle w:val="Footer"/>
        <w:jc w:val="right"/>
      </w:pPr>
      <w:r>
        <w:t xml:space="preserve">Report Author: </w:t>
      </w:r>
      <w:r w:rsidR="00982B94">
        <w:t xml:space="preserve"> A Devaney Interim CEO</w:t>
      </w:r>
      <w:r>
        <w:t xml:space="preserve"> SSELP</w:t>
      </w:r>
    </w:p>
    <w:p w14:paraId="389567E4" w14:textId="265AB242" w:rsidR="00BF50C9" w:rsidRDefault="00982B94" w:rsidP="00BF50C9">
      <w:pPr>
        <w:pStyle w:val="Footer"/>
        <w:jc w:val="right"/>
      </w:pPr>
      <w:r>
        <w:t>9th December</w:t>
      </w:r>
      <w:r w:rsidR="00BF50C9">
        <w:t xml:space="preserve"> 2022</w:t>
      </w:r>
    </w:p>
    <w:p w14:paraId="58E6EDE0" w14:textId="77777777" w:rsidR="00093A18" w:rsidRDefault="00093A18" w:rsidP="00093A18">
      <w:pPr>
        <w:pStyle w:val="NoSpacing"/>
        <w:ind w:left="720"/>
        <w:jc w:val="both"/>
        <w:rPr>
          <w:b/>
          <w:bCs/>
        </w:rPr>
      </w:pPr>
    </w:p>
    <w:p w14:paraId="7D48F181" w14:textId="232750B8" w:rsidR="00E95E57" w:rsidRPr="00093A18" w:rsidRDefault="005B4A79" w:rsidP="00093A18">
      <w:pPr>
        <w:pStyle w:val="NoSpacing"/>
        <w:numPr>
          <w:ilvl w:val="0"/>
          <w:numId w:val="10"/>
        </w:numPr>
        <w:jc w:val="both"/>
        <w:rPr>
          <w:b/>
          <w:bCs/>
        </w:rPr>
      </w:pPr>
      <w:r w:rsidRPr="00093A18">
        <w:rPr>
          <w:b/>
          <w:bCs/>
        </w:rPr>
        <w:t xml:space="preserve">Background </w:t>
      </w:r>
    </w:p>
    <w:p w14:paraId="322F24AE" w14:textId="77777777" w:rsidR="00DD62E7" w:rsidRPr="00EA014D" w:rsidRDefault="00DD62E7" w:rsidP="00DD62E7">
      <w:pPr>
        <w:pStyle w:val="NoSpacing"/>
        <w:ind w:left="360"/>
        <w:jc w:val="both"/>
        <w:rPr>
          <w:b/>
          <w:bCs/>
        </w:rPr>
      </w:pPr>
    </w:p>
    <w:p w14:paraId="7CE38E02" w14:textId="07221537" w:rsidR="007950E7" w:rsidRPr="00EA014D" w:rsidRDefault="00854E04" w:rsidP="00DD62E7">
      <w:pPr>
        <w:pStyle w:val="NoSpacing"/>
        <w:numPr>
          <w:ilvl w:val="1"/>
          <w:numId w:val="10"/>
        </w:numPr>
        <w:jc w:val="both"/>
        <w:rPr>
          <w:rFonts w:eastAsia="Times New Roman" w:cs="Arial"/>
          <w:szCs w:val="24"/>
          <w:lang w:eastAsia="en-GB"/>
        </w:rPr>
      </w:pPr>
      <w:r w:rsidRPr="00EA014D">
        <w:t xml:space="preserve">The Stoke-on-Trent and Staffordshire Local Enterprise Partnership (SSLEP) was formed in 2011, with a remit to bring together local public sector authorities, businesses, and other bodies to work together to drive economic growth and prosperity within the region. </w:t>
      </w:r>
    </w:p>
    <w:p w14:paraId="1890C028" w14:textId="77777777" w:rsidR="00DD62E7" w:rsidRDefault="00DD62E7" w:rsidP="00DD62E7">
      <w:pPr>
        <w:pStyle w:val="NoSpacing"/>
        <w:ind w:left="720"/>
        <w:jc w:val="both"/>
        <w:rPr>
          <w:rFonts w:eastAsia="Times New Roman" w:cs="Arial"/>
          <w:szCs w:val="24"/>
          <w:lang w:eastAsia="en-GB"/>
        </w:rPr>
      </w:pPr>
    </w:p>
    <w:p w14:paraId="61AFA43C" w14:textId="22141AB8" w:rsidR="00982B94" w:rsidRPr="00982B94" w:rsidRDefault="00982B94" w:rsidP="00200D99">
      <w:pPr>
        <w:pStyle w:val="ListParagraph"/>
        <w:numPr>
          <w:ilvl w:val="1"/>
          <w:numId w:val="10"/>
        </w:numPr>
        <w:rPr>
          <w:rFonts w:asciiTheme="minorHAnsi" w:eastAsiaTheme="minorHAnsi" w:hAnsiTheme="minorHAnsi" w:cstheme="minorBidi"/>
          <w:sz w:val="22"/>
        </w:rPr>
      </w:pPr>
      <w:r w:rsidRPr="00982B94">
        <w:rPr>
          <w:rFonts w:asciiTheme="minorHAnsi" w:eastAsiaTheme="minorHAnsi" w:hAnsiTheme="minorHAnsi" w:cstheme="minorBidi"/>
          <w:sz w:val="22"/>
        </w:rPr>
        <w:t>In line</w:t>
      </w:r>
      <w:r>
        <w:rPr>
          <w:rFonts w:asciiTheme="minorHAnsi" w:eastAsiaTheme="minorHAnsi" w:hAnsiTheme="minorHAnsi" w:cstheme="minorBidi"/>
          <w:sz w:val="22"/>
        </w:rPr>
        <w:t xml:space="preserve"> </w:t>
      </w:r>
      <w:r w:rsidRPr="00982B94">
        <w:rPr>
          <w:rFonts w:asciiTheme="minorHAnsi" w:eastAsiaTheme="minorHAnsi" w:hAnsiTheme="minorHAnsi" w:cstheme="minorBidi"/>
          <w:sz w:val="22"/>
        </w:rPr>
        <w:t>with the transition of the LEP the Executive Board has agreed to evolve into an agile and representative business focussed board.</w:t>
      </w:r>
    </w:p>
    <w:p w14:paraId="76EB971D" w14:textId="77777777" w:rsidR="00982B94" w:rsidRPr="00982B94" w:rsidRDefault="00982B94" w:rsidP="00982B94">
      <w:pPr>
        <w:pStyle w:val="ListParagraph"/>
        <w:rPr>
          <w:szCs w:val="20"/>
        </w:rPr>
      </w:pPr>
    </w:p>
    <w:p w14:paraId="72524241" w14:textId="2FBD79B0" w:rsidR="00DD62E7" w:rsidRDefault="00982B94" w:rsidP="002718CC">
      <w:pPr>
        <w:pStyle w:val="NoSpacing"/>
        <w:numPr>
          <w:ilvl w:val="1"/>
          <w:numId w:val="10"/>
        </w:numPr>
        <w:jc w:val="both"/>
        <w:rPr>
          <w:color w:val="333333"/>
        </w:rPr>
      </w:pPr>
      <w:r>
        <w:rPr>
          <w:szCs w:val="20"/>
        </w:rPr>
        <w:t>There are currently 15 Members of the LEP board with an agreement reached that this number should be closer to 10</w:t>
      </w:r>
    </w:p>
    <w:p w14:paraId="58C4BAA9" w14:textId="77777777" w:rsidR="00DD62E7" w:rsidRDefault="00DD62E7" w:rsidP="00DD62E7">
      <w:pPr>
        <w:pStyle w:val="ListParagraph"/>
        <w:rPr>
          <w:color w:val="333333"/>
        </w:rPr>
      </w:pPr>
    </w:p>
    <w:p w14:paraId="46F02E03" w14:textId="09FAF6B3" w:rsidR="00EA014D" w:rsidRDefault="00982B94" w:rsidP="00EA014D">
      <w:pPr>
        <w:pStyle w:val="NoSpacing"/>
        <w:numPr>
          <w:ilvl w:val="1"/>
          <w:numId w:val="10"/>
        </w:numPr>
        <w:jc w:val="both"/>
        <w:rPr>
          <w:rFonts w:cstheme="minorHAnsi"/>
        </w:rPr>
      </w:pPr>
      <w:r>
        <w:t>National Governance requires 66% of the LEP board to be private sector as well as a</w:t>
      </w:r>
      <w:r w:rsidR="004D4886">
        <w:t xml:space="preserve"> 50/50</w:t>
      </w:r>
      <w:r>
        <w:t xml:space="preserve"> gender balance. </w:t>
      </w:r>
      <w:r w:rsidR="004D4886">
        <w:t>The LEP</w:t>
      </w:r>
      <w:r>
        <w:t xml:space="preserve"> are currently not meeting these targets </w:t>
      </w:r>
      <w:r w:rsidR="004D4886">
        <w:t>and has agreed with BEIS that this will be reviewed and actioned through the transition process</w:t>
      </w:r>
    </w:p>
    <w:p w14:paraId="0076DC7E" w14:textId="06E1500C" w:rsidR="00B90F4D" w:rsidRDefault="00B90F4D" w:rsidP="00854E04">
      <w:pPr>
        <w:pStyle w:val="NoSpacing"/>
        <w:jc w:val="both"/>
      </w:pPr>
    </w:p>
    <w:p w14:paraId="439F83D6" w14:textId="580C6FF6" w:rsidR="00785D87" w:rsidRPr="004D4886" w:rsidRDefault="00785D87" w:rsidP="004D4886">
      <w:pPr>
        <w:pStyle w:val="NoSpacing"/>
        <w:ind w:left="720"/>
        <w:jc w:val="both"/>
        <w:rPr>
          <w:b/>
          <w:bCs/>
        </w:rPr>
      </w:pPr>
    </w:p>
    <w:p w14:paraId="3E788665" w14:textId="77777777" w:rsidR="00DB3C61" w:rsidRDefault="00DB3C61" w:rsidP="00DB3C61">
      <w:pPr>
        <w:pStyle w:val="NoSpacing"/>
        <w:numPr>
          <w:ilvl w:val="0"/>
          <w:numId w:val="10"/>
        </w:numPr>
        <w:jc w:val="both"/>
        <w:rPr>
          <w:b/>
          <w:bCs/>
        </w:rPr>
      </w:pPr>
      <w:r>
        <w:rPr>
          <w:b/>
          <w:bCs/>
        </w:rPr>
        <w:t xml:space="preserve">Proposal </w:t>
      </w:r>
    </w:p>
    <w:p w14:paraId="30C89B2C" w14:textId="77777777" w:rsidR="00DB3C61" w:rsidRDefault="00DB3C61" w:rsidP="00DB3C61">
      <w:pPr>
        <w:pStyle w:val="NoSpacing"/>
        <w:jc w:val="both"/>
        <w:rPr>
          <w:rFonts w:cstheme="minorHAnsi"/>
        </w:rPr>
      </w:pPr>
    </w:p>
    <w:p w14:paraId="2FF42D15" w14:textId="4C818B18" w:rsidR="004D4886" w:rsidRPr="004D4886" w:rsidRDefault="004D4886" w:rsidP="00CD5AF9">
      <w:pPr>
        <w:ind w:left="720" w:hanging="360"/>
      </w:pPr>
      <w:r>
        <w:t>2.1</w:t>
      </w:r>
      <w:r w:rsidR="00CD5AF9">
        <w:tab/>
      </w:r>
      <w:r w:rsidRPr="004D4886">
        <w:t xml:space="preserve">A smaller more agile board be formed. This will offer incisive advice and influence </w:t>
      </w:r>
      <w:proofErr w:type="gramStart"/>
      <w:r w:rsidRPr="004D4886">
        <w:t>to</w:t>
      </w:r>
      <w:proofErr w:type="gramEnd"/>
      <w:r w:rsidRPr="004D4886">
        <w:t xml:space="preserve"> central and local government</w:t>
      </w:r>
      <w:r w:rsidR="00CD5AF9">
        <w:t xml:space="preserve">, </w:t>
      </w:r>
      <w:r w:rsidR="00CD5AF9" w:rsidRPr="00CD5AF9">
        <w:t xml:space="preserve">Be an independent, strong business voice through convening a representative and comprehensive </w:t>
      </w:r>
      <w:r w:rsidR="00CD5AF9" w:rsidRPr="00CD5AF9">
        <w:rPr>
          <w:b/>
          <w:bCs/>
        </w:rPr>
        <w:t>network of networks</w:t>
      </w:r>
      <w:r w:rsidR="00CD5AF9">
        <w:rPr>
          <w:b/>
          <w:bCs/>
        </w:rPr>
        <w:t xml:space="preserve">, </w:t>
      </w:r>
      <w:r w:rsidR="00CD5AF9" w:rsidRPr="00CD5AF9">
        <w:t xml:space="preserve">Understand central and local government objectives and provide </w:t>
      </w:r>
      <w:r w:rsidR="00CD5AF9" w:rsidRPr="00CD5AF9">
        <w:rPr>
          <w:b/>
          <w:bCs/>
        </w:rPr>
        <w:t xml:space="preserve">evidence and strategic advice </w:t>
      </w:r>
      <w:r w:rsidR="00CD5AF9" w:rsidRPr="00CD5AF9">
        <w:t>at a regional, national and international level</w:t>
      </w:r>
      <w:r w:rsidR="00CD5AF9">
        <w:t>,</w:t>
      </w:r>
      <w:r w:rsidR="00CD5AF9" w:rsidRPr="00CD5AF9">
        <w:t xml:space="preserve"> Focus on </w:t>
      </w:r>
      <w:r w:rsidR="00CD5AF9">
        <w:rPr>
          <w:b/>
          <w:bCs/>
        </w:rPr>
        <w:t>Grand Challenges and impact.</w:t>
      </w:r>
    </w:p>
    <w:p w14:paraId="2518520E" w14:textId="694A5122" w:rsidR="004D4886" w:rsidRPr="002D5CB7" w:rsidRDefault="004D4886" w:rsidP="004D4886">
      <w:pPr>
        <w:ind w:left="720" w:hanging="360"/>
      </w:pPr>
      <w:r>
        <w:t>2.2</w:t>
      </w:r>
      <w:r>
        <w:tab/>
      </w:r>
      <w:r w:rsidRPr="002D5CB7">
        <w:t xml:space="preserve">The Board will continue to be chaired by a private sector representative, as per Government requirement. </w:t>
      </w:r>
      <w:r w:rsidR="00CD5AF9">
        <w:t>As current Chair is within term limit can continue in role.</w:t>
      </w:r>
    </w:p>
    <w:p w14:paraId="59737414" w14:textId="77777777" w:rsidR="002D5CB7" w:rsidRPr="002D5CB7" w:rsidRDefault="004D4886" w:rsidP="00A71665">
      <w:pPr>
        <w:ind w:left="720" w:hanging="360"/>
      </w:pPr>
      <w:r>
        <w:t>2.3</w:t>
      </w:r>
      <w:r>
        <w:tab/>
      </w:r>
      <w:r w:rsidR="00A71665">
        <w:t xml:space="preserve">The Leaders of Stoke-on-Trent City Council and Stafford County Council and a further Local Authority Leader representing the </w:t>
      </w:r>
      <w:proofErr w:type="gramStart"/>
      <w:r w:rsidR="00A71665">
        <w:t>Districts</w:t>
      </w:r>
      <w:proofErr w:type="gramEnd"/>
      <w:r w:rsidR="00A71665">
        <w:t xml:space="preserve"> will continue their Membership</w:t>
      </w:r>
    </w:p>
    <w:p w14:paraId="3D01ED23" w14:textId="6317628F" w:rsidR="004D4886" w:rsidRDefault="004D4886" w:rsidP="00A71665">
      <w:pPr>
        <w:ind w:left="720" w:hanging="360"/>
      </w:pPr>
      <w:r>
        <w:t>2.4</w:t>
      </w:r>
      <w:r>
        <w:tab/>
        <w:t>Remaining M</w:t>
      </w:r>
      <w:r w:rsidRPr="002D5CB7">
        <w:t>embers will be</w:t>
      </w:r>
      <w:r>
        <w:t xml:space="preserve"> drawn</w:t>
      </w:r>
      <w:r w:rsidRPr="002D5CB7">
        <w:t xml:space="preserve"> from private sector, chosen to ensure Board </w:t>
      </w:r>
      <w:proofErr w:type="gramStart"/>
      <w:r w:rsidRPr="002D5CB7">
        <w:t>as a whole is</w:t>
      </w:r>
      <w:proofErr w:type="gramEnd"/>
      <w:r w:rsidRPr="002D5CB7">
        <w:t xml:space="preserve"> properly representative, diverse and inclusive of population and business geography</w:t>
      </w:r>
    </w:p>
    <w:p w14:paraId="132D06A8" w14:textId="2C426041" w:rsidR="00CD5AF9" w:rsidRDefault="00CD5AF9" w:rsidP="00A71665">
      <w:pPr>
        <w:ind w:left="720" w:hanging="360"/>
      </w:pPr>
      <w:r>
        <w:t xml:space="preserve">2.5 Business representatives should include both large and small employers, </w:t>
      </w:r>
      <w:r w:rsidR="0012321B">
        <w:t xml:space="preserve">FE &amp; </w:t>
      </w:r>
      <w:r>
        <w:t>HE representation and third/voluntary sector</w:t>
      </w:r>
    </w:p>
    <w:p w14:paraId="0DF334C7" w14:textId="344813A5" w:rsidR="002D5CB7" w:rsidRPr="002D5CB7" w:rsidRDefault="004D4886" w:rsidP="00113698">
      <w:pPr>
        <w:ind w:left="720" w:hanging="360"/>
      </w:pPr>
      <w:r>
        <w:t>2.5</w:t>
      </w:r>
      <w:r>
        <w:tab/>
      </w:r>
      <w:r w:rsidRPr="002D5CB7">
        <w:t>Existing members must express an interest to remain on board</w:t>
      </w:r>
      <w:r w:rsidR="00113698">
        <w:t xml:space="preserve"> taking into consideration the revised remit</w:t>
      </w:r>
      <w:r w:rsidR="00D46D35">
        <w:t>. Depending on the outcome of this it is possible some members will be asked to step down in order to adhere to the National Assurance Framework</w:t>
      </w:r>
    </w:p>
    <w:p w14:paraId="463C80B2" w14:textId="1E4FE799" w:rsidR="002D5CB7" w:rsidRPr="002D5CB7" w:rsidRDefault="004D4886" w:rsidP="004D4886">
      <w:pPr>
        <w:ind w:left="360"/>
      </w:pPr>
      <w:r>
        <w:t>2.6</w:t>
      </w:r>
      <w:r>
        <w:tab/>
        <w:t>LEP will review terms and of members to ensure adherence to framework</w:t>
      </w:r>
    </w:p>
    <w:p w14:paraId="1A2214AB" w14:textId="20FAB78E" w:rsidR="004D4886" w:rsidRDefault="004D4886" w:rsidP="004D4886">
      <w:pPr>
        <w:ind w:left="720" w:hanging="360"/>
      </w:pPr>
      <w:r>
        <w:t>2.7</w:t>
      </w:r>
      <w:r>
        <w:tab/>
      </w:r>
      <w:r w:rsidRPr="002D5CB7">
        <w:t>In order to meet National Assurance Framework 66% of board must be private sector, therefore the board must be at least 10 members</w:t>
      </w:r>
      <w:r>
        <w:t xml:space="preserve"> and ideally 11 to avoid a deadlock</w:t>
      </w:r>
    </w:p>
    <w:p w14:paraId="4D60796F" w14:textId="57CAA9DE" w:rsidR="00CD5AF9" w:rsidRDefault="00CD5AF9" w:rsidP="004D4886">
      <w:pPr>
        <w:ind w:left="720" w:hanging="360"/>
      </w:pPr>
      <w:r>
        <w:t>2.8 Board to agree by correspondence in January</w:t>
      </w:r>
      <w:r w:rsidR="00113698">
        <w:t xml:space="preserve"> new</w:t>
      </w:r>
      <w:r>
        <w:t xml:space="preserve"> board roles and recruitment process for new members to ensure board is compliant and effective</w:t>
      </w:r>
    </w:p>
    <w:p w14:paraId="572D8FCA" w14:textId="647C581F" w:rsidR="00765697" w:rsidRDefault="004D4886" w:rsidP="004D4886">
      <w:pPr>
        <w:ind w:left="360"/>
        <w:rPr>
          <w:b/>
          <w:bCs/>
          <w:szCs w:val="24"/>
        </w:rPr>
      </w:pPr>
      <w:r>
        <w:t>2.</w:t>
      </w:r>
      <w:r w:rsidR="00CD5AF9">
        <w:t>9</w:t>
      </w:r>
      <w:r>
        <w:tab/>
        <w:t xml:space="preserve">Revised Terms of Reference will be drafted with a view to being approved </w:t>
      </w:r>
      <w:proofErr w:type="gramStart"/>
      <w:r>
        <w:t>in</w:t>
      </w:r>
      <w:proofErr w:type="gramEnd"/>
      <w:r>
        <w:t xml:space="preserve"> January 23</w:t>
      </w:r>
    </w:p>
    <w:p w14:paraId="2824667F" w14:textId="77777777" w:rsidR="00765697" w:rsidRDefault="00765697" w:rsidP="007950E7">
      <w:pPr>
        <w:spacing w:before="60" w:after="60"/>
        <w:rPr>
          <w:b/>
          <w:bCs/>
          <w:szCs w:val="24"/>
        </w:rPr>
      </w:pPr>
    </w:p>
    <w:p w14:paraId="50B27C09" w14:textId="162FDC63" w:rsidR="00765697" w:rsidRDefault="00765697" w:rsidP="00734898">
      <w:pPr>
        <w:spacing w:before="60" w:after="60"/>
        <w:rPr>
          <w:b/>
          <w:bCs/>
          <w:szCs w:val="24"/>
        </w:rPr>
      </w:pPr>
    </w:p>
    <w:p w14:paraId="0101F12C" w14:textId="02C1D709" w:rsidR="00765697" w:rsidRDefault="00113698" w:rsidP="007950E7">
      <w:pPr>
        <w:spacing w:before="60" w:after="6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Recommendation</w:t>
      </w:r>
    </w:p>
    <w:p w14:paraId="3E7A8089" w14:textId="7CA1ED4B" w:rsidR="00113698" w:rsidRDefault="00113698" w:rsidP="007950E7">
      <w:pPr>
        <w:spacing w:before="60" w:after="60"/>
        <w:rPr>
          <w:b/>
          <w:bCs/>
          <w:szCs w:val="24"/>
        </w:rPr>
      </w:pPr>
    </w:p>
    <w:p w14:paraId="6B195B2B" w14:textId="348F8524" w:rsidR="00113698" w:rsidRPr="00113698" w:rsidRDefault="00113698" w:rsidP="007950E7">
      <w:pPr>
        <w:spacing w:before="60" w:after="60"/>
        <w:rPr>
          <w:szCs w:val="24"/>
        </w:rPr>
      </w:pPr>
      <w:proofErr w:type="gramStart"/>
      <w:r w:rsidRPr="00113698">
        <w:rPr>
          <w:szCs w:val="24"/>
        </w:rPr>
        <w:t>In order for</w:t>
      </w:r>
      <w:proofErr w:type="gramEnd"/>
      <w:r w:rsidRPr="00113698">
        <w:rPr>
          <w:szCs w:val="24"/>
        </w:rPr>
        <w:t xml:space="preserve"> the LEP to be as effective as possible as a Business Partnership and to be a key voice for and on behalf of the Stoke and Staffordshire Business Community it is essential the Executive Board reflects that. </w:t>
      </w:r>
    </w:p>
    <w:p w14:paraId="00F392FE" w14:textId="1EF38F51" w:rsidR="00113698" w:rsidRPr="00113698" w:rsidRDefault="00113698" w:rsidP="007950E7">
      <w:pPr>
        <w:spacing w:before="60" w:after="60"/>
        <w:rPr>
          <w:szCs w:val="24"/>
        </w:rPr>
      </w:pPr>
      <w:r w:rsidRPr="00113698">
        <w:rPr>
          <w:szCs w:val="24"/>
        </w:rPr>
        <w:t>It is therefore recommended that the board accepts the above proposals with the intention that existing board members who are continuing are confirmed in January with a recruitment process backed by detailed terms of reference and board roles can commence at the earliest opportunity in 2023.</w:t>
      </w:r>
    </w:p>
    <w:p w14:paraId="21FA7AFA" w14:textId="5FFCD64B" w:rsidR="00113698" w:rsidRPr="00113698" w:rsidRDefault="00113698" w:rsidP="007950E7">
      <w:pPr>
        <w:spacing w:before="60" w:after="60"/>
        <w:rPr>
          <w:szCs w:val="24"/>
        </w:rPr>
      </w:pPr>
      <w:r w:rsidRPr="00113698">
        <w:rPr>
          <w:szCs w:val="24"/>
        </w:rPr>
        <w:t>These documents will be drafted by the LEP and partners through the existing Transition infrastructure to be approved by correspondence in January.</w:t>
      </w:r>
    </w:p>
    <w:p w14:paraId="245459AF" w14:textId="77777777" w:rsidR="007950E7" w:rsidRPr="00854E04" w:rsidRDefault="007950E7" w:rsidP="00854E04">
      <w:pPr>
        <w:pStyle w:val="NoSpacing"/>
        <w:jc w:val="both"/>
        <w:rPr>
          <w:rFonts w:cstheme="minorHAnsi"/>
        </w:rPr>
      </w:pPr>
    </w:p>
    <w:p w14:paraId="54EAEB26" w14:textId="43E62BBC" w:rsidR="00854E04" w:rsidRPr="005B4A79" w:rsidRDefault="00854E04" w:rsidP="005B4A79">
      <w:pPr>
        <w:rPr>
          <w:rFonts w:cstheme="minorHAnsi"/>
        </w:rPr>
      </w:pPr>
    </w:p>
    <w:p w14:paraId="12B5601E" w14:textId="7EA87FC0" w:rsidR="005B4A79" w:rsidRPr="005B4A79" w:rsidRDefault="005B4A79" w:rsidP="005B4A79">
      <w:pPr>
        <w:rPr>
          <w:rFonts w:cstheme="minorHAnsi"/>
        </w:rPr>
      </w:pPr>
    </w:p>
    <w:sectPr w:rsidR="005B4A79" w:rsidRPr="005B4A7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8EEC" w14:textId="77777777" w:rsidR="006F44CC" w:rsidRDefault="006F44CC" w:rsidP="005B4A79">
      <w:pPr>
        <w:spacing w:after="0" w:line="240" w:lineRule="auto"/>
      </w:pPr>
      <w:r>
        <w:separator/>
      </w:r>
    </w:p>
  </w:endnote>
  <w:endnote w:type="continuationSeparator" w:id="0">
    <w:p w14:paraId="7FD8AF5B" w14:textId="77777777" w:rsidR="006F44CC" w:rsidRDefault="006F44CC" w:rsidP="005B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811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08FBE" w14:textId="6AE3CC56" w:rsidR="00BF50C9" w:rsidRDefault="00BF50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D523A" w14:textId="77777777" w:rsidR="005B4A79" w:rsidRDefault="005B4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A993" w14:textId="77777777" w:rsidR="006F44CC" w:rsidRDefault="006F44CC" w:rsidP="005B4A79">
      <w:pPr>
        <w:spacing w:after="0" w:line="240" w:lineRule="auto"/>
      </w:pPr>
      <w:r>
        <w:separator/>
      </w:r>
    </w:p>
  </w:footnote>
  <w:footnote w:type="continuationSeparator" w:id="0">
    <w:p w14:paraId="4DFF48F5" w14:textId="77777777" w:rsidR="006F44CC" w:rsidRDefault="006F44CC" w:rsidP="005B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6DB5" w14:textId="6108EE89" w:rsidR="005B4A79" w:rsidRPr="00BE01F8" w:rsidRDefault="005B4A79" w:rsidP="005B4A79">
    <w:pPr>
      <w:jc w:val="right"/>
      <w:rPr>
        <w:b/>
        <w:bCs/>
        <w:color w:val="FF0000"/>
        <w:sz w:val="32"/>
        <w:szCs w:val="32"/>
      </w:rPr>
    </w:pPr>
    <w:r w:rsidRPr="00BE01F8">
      <w:rPr>
        <w:rFonts w:ascii="Verdana" w:eastAsia="Times New Roman" w:hAnsi="Verdana" w:cs="Times New Roman"/>
        <w:b/>
        <w:bCs/>
        <w:noProof/>
        <w:color w:val="FF000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E734B75" wp14:editId="0A8E461C">
          <wp:simplePos x="0" y="0"/>
          <wp:positionH relativeFrom="margin">
            <wp:posOffset>-501650</wp:posOffset>
          </wp:positionH>
          <wp:positionV relativeFrom="paragraph">
            <wp:posOffset>-164465</wp:posOffset>
          </wp:positionV>
          <wp:extent cx="1255076" cy="428625"/>
          <wp:effectExtent l="0" t="0" r="2540" b="0"/>
          <wp:wrapNone/>
          <wp:docPr id="2" name="Picture 2" descr="130702 new L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0702 new L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76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52876" w14:textId="60E96761" w:rsidR="005B4A79" w:rsidRDefault="005B4A79">
    <w:pPr>
      <w:pStyle w:val="Header"/>
    </w:pPr>
  </w:p>
  <w:p w14:paraId="0D8A2214" w14:textId="77777777" w:rsidR="005B4A79" w:rsidRDefault="005B4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94"/>
    <w:multiLevelType w:val="hybridMultilevel"/>
    <w:tmpl w:val="067C2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C89"/>
    <w:multiLevelType w:val="hybridMultilevel"/>
    <w:tmpl w:val="FBF0D186"/>
    <w:lvl w:ilvl="0" w:tplc="524A710A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0BE1605A"/>
    <w:multiLevelType w:val="hybridMultilevel"/>
    <w:tmpl w:val="BFA4881E"/>
    <w:lvl w:ilvl="0" w:tplc="856623CA">
      <w:start w:val="1"/>
      <w:numFmt w:val="decimal"/>
      <w:lvlText w:val="%1."/>
      <w:lvlJc w:val="left"/>
      <w:pPr>
        <w:ind w:left="1400" w:hanging="720"/>
      </w:pPr>
      <w:rPr>
        <w:b/>
        <w:bCs/>
        <w:color w:val="ED7D31" w:themeColor="accent2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>
      <w:start w:val="1"/>
      <w:numFmt w:val="lowerRoman"/>
      <w:lvlText w:val="%3."/>
      <w:lvlJc w:val="right"/>
      <w:pPr>
        <w:ind w:left="2480" w:hanging="180"/>
      </w:pPr>
    </w:lvl>
    <w:lvl w:ilvl="3" w:tplc="0409000F">
      <w:start w:val="1"/>
      <w:numFmt w:val="decimal"/>
      <w:lvlText w:val="%4."/>
      <w:lvlJc w:val="left"/>
      <w:pPr>
        <w:ind w:left="3200" w:hanging="360"/>
      </w:pPr>
    </w:lvl>
    <w:lvl w:ilvl="4" w:tplc="04090019">
      <w:start w:val="1"/>
      <w:numFmt w:val="lowerLetter"/>
      <w:lvlText w:val="%5."/>
      <w:lvlJc w:val="left"/>
      <w:pPr>
        <w:ind w:left="3920" w:hanging="360"/>
      </w:pPr>
    </w:lvl>
    <w:lvl w:ilvl="5" w:tplc="0409001B">
      <w:start w:val="1"/>
      <w:numFmt w:val="lowerRoman"/>
      <w:lvlText w:val="%6."/>
      <w:lvlJc w:val="right"/>
      <w:pPr>
        <w:ind w:left="4640" w:hanging="180"/>
      </w:pPr>
    </w:lvl>
    <w:lvl w:ilvl="6" w:tplc="0409000F">
      <w:start w:val="1"/>
      <w:numFmt w:val="decimal"/>
      <w:lvlText w:val="%7."/>
      <w:lvlJc w:val="left"/>
      <w:pPr>
        <w:ind w:left="5360" w:hanging="360"/>
      </w:pPr>
    </w:lvl>
    <w:lvl w:ilvl="7" w:tplc="04090019">
      <w:start w:val="1"/>
      <w:numFmt w:val="lowerLetter"/>
      <w:lvlText w:val="%8."/>
      <w:lvlJc w:val="left"/>
      <w:pPr>
        <w:ind w:left="6080" w:hanging="360"/>
      </w:pPr>
    </w:lvl>
    <w:lvl w:ilvl="8" w:tplc="0409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D343C45"/>
    <w:multiLevelType w:val="hybridMultilevel"/>
    <w:tmpl w:val="26CE1320"/>
    <w:lvl w:ilvl="0" w:tplc="BE9286E2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352C"/>
    <w:multiLevelType w:val="hybridMultilevel"/>
    <w:tmpl w:val="2CA409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17937"/>
    <w:multiLevelType w:val="multilevel"/>
    <w:tmpl w:val="3CD087C2"/>
    <w:styleLink w:val="NumbLstNumb"/>
    <w:lvl w:ilvl="0">
      <w:start w:val="1"/>
      <w:numFmt w:val="lowerRoman"/>
      <w:pStyle w:val="ExecSummPara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bullet"/>
      <w:pStyle w:val="Execsumm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FF5000"/>
        <w:sz w:val="18"/>
      </w:rPr>
    </w:lvl>
    <w:lvl w:ilvl="2">
      <w:start w:val="1"/>
      <w:numFmt w:val="decimal"/>
      <w:pStyle w:val="ExecSummTableTitle"/>
      <w:suff w:val="space"/>
      <w:lvlText w:val="Table %3"/>
      <w:lvlJc w:val="left"/>
      <w:pPr>
        <w:ind w:left="703" w:firstLine="0"/>
      </w:pPr>
    </w:lvl>
    <w:lvl w:ilvl="3">
      <w:start w:val="1"/>
      <w:numFmt w:val="none"/>
      <w:suff w:val="nothing"/>
      <w:lvlText w:val=""/>
      <w:lvlJc w:val="left"/>
      <w:pPr>
        <w:ind w:left="1361" w:firstLine="0"/>
      </w:pPr>
    </w:lvl>
    <w:lvl w:ilvl="4">
      <w:start w:val="1"/>
      <w:numFmt w:val="none"/>
      <w:suff w:val="nothing"/>
      <w:lvlText w:val=""/>
      <w:lvlJc w:val="left"/>
      <w:pPr>
        <w:ind w:left="1361" w:firstLine="0"/>
      </w:pPr>
    </w:lvl>
    <w:lvl w:ilvl="5">
      <w:start w:val="1"/>
      <w:numFmt w:val="none"/>
      <w:suff w:val="nothing"/>
      <w:lvlText w:val=""/>
      <w:lvlJc w:val="left"/>
      <w:pPr>
        <w:ind w:left="1361" w:firstLine="0"/>
      </w:pPr>
    </w:lvl>
    <w:lvl w:ilvl="6">
      <w:start w:val="1"/>
      <w:numFmt w:val="none"/>
      <w:suff w:val="nothing"/>
      <w:lvlText w:val=""/>
      <w:lvlJc w:val="left"/>
      <w:pPr>
        <w:ind w:left="1361" w:firstLine="0"/>
      </w:pPr>
    </w:lvl>
    <w:lvl w:ilvl="7">
      <w:start w:val="1"/>
      <w:numFmt w:val="none"/>
      <w:suff w:val="nothing"/>
      <w:lvlText w:val=""/>
      <w:lvlJc w:val="left"/>
      <w:pPr>
        <w:ind w:left="1361" w:firstLine="0"/>
      </w:pPr>
    </w:lvl>
    <w:lvl w:ilvl="8">
      <w:start w:val="1"/>
      <w:numFmt w:val="none"/>
      <w:suff w:val="nothing"/>
      <w:lvlText w:val=""/>
      <w:lvlJc w:val="left"/>
      <w:pPr>
        <w:ind w:left="1361" w:firstLine="0"/>
      </w:pPr>
    </w:lvl>
  </w:abstractNum>
  <w:abstractNum w:abstractNumId="6" w15:restartNumberingAfterBreak="0">
    <w:nsid w:val="285344B1"/>
    <w:multiLevelType w:val="hybridMultilevel"/>
    <w:tmpl w:val="0B10B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3E3F0E"/>
    <w:multiLevelType w:val="hybridMultilevel"/>
    <w:tmpl w:val="2A568AEA"/>
    <w:lvl w:ilvl="0" w:tplc="C6321926">
      <w:start w:val="18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256203"/>
    <w:multiLevelType w:val="hybridMultilevel"/>
    <w:tmpl w:val="B2C83258"/>
    <w:lvl w:ilvl="0" w:tplc="524A710A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3B9E6A31"/>
    <w:multiLevelType w:val="multilevel"/>
    <w:tmpl w:val="13D2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theme="minorBidi" w:hint="default"/>
      </w:rPr>
    </w:lvl>
  </w:abstractNum>
  <w:abstractNum w:abstractNumId="10" w15:restartNumberingAfterBreak="0">
    <w:nsid w:val="43572D0C"/>
    <w:multiLevelType w:val="hybridMultilevel"/>
    <w:tmpl w:val="CE6C7F06"/>
    <w:lvl w:ilvl="0" w:tplc="849A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20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23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03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E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8B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03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25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23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075ED0"/>
    <w:multiLevelType w:val="hybridMultilevel"/>
    <w:tmpl w:val="4E685096"/>
    <w:lvl w:ilvl="0" w:tplc="524A710A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501F7DE8"/>
    <w:multiLevelType w:val="hybridMultilevel"/>
    <w:tmpl w:val="F6B41D56"/>
    <w:lvl w:ilvl="0" w:tplc="D464A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AD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29E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E2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69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A0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0F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0D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8A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2082A"/>
    <w:multiLevelType w:val="hybridMultilevel"/>
    <w:tmpl w:val="4FDE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06BCE"/>
    <w:multiLevelType w:val="hybridMultilevel"/>
    <w:tmpl w:val="D068D270"/>
    <w:lvl w:ilvl="0" w:tplc="997CAE0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593EAE"/>
    <w:multiLevelType w:val="hybridMultilevel"/>
    <w:tmpl w:val="A978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6504"/>
    <w:multiLevelType w:val="multilevel"/>
    <w:tmpl w:val="13D2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theme="minorBidi" w:hint="default"/>
      </w:rPr>
    </w:lvl>
  </w:abstractNum>
  <w:abstractNum w:abstractNumId="17" w15:restartNumberingAfterBreak="0">
    <w:nsid w:val="68EB600A"/>
    <w:multiLevelType w:val="hybridMultilevel"/>
    <w:tmpl w:val="5BEE1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960AD2"/>
    <w:multiLevelType w:val="multilevel"/>
    <w:tmpl w:val="13D2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theme="minorBidi" w:hint="default"/>
      </w:rPr>
    </w:lvl>
  </w:abstractNum>
  <w:abstractNum w:abstractNumId="19" w15:restartNumberingAfterBreak="0">
    <w:nsid w:val="79102907"/>
    <w:multiLevelType w:val="multilevel"/>
    <w:tmpl w:val="13D2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theme="minorBidi" w:hint="default"/>
      </w:rPr>
    </w:lvl>
  </w:abstractNum>
  <w:num w:numId="1" w16cid:durableId="777288312">
    <w:abstractNumId w:val="6"/>
  </w:num>
  <w:num w:numId="2" w16cid:durableId="202838834">
    <w:abstractNumId w:val="5"/>
  </w:num>
  <w:num w:numId="3" w16cid:durableId="7148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12605">
    <w:abstractNumId w:val="1"/>
  </w:num>
  <w:num w:numId="5" w16cid:durableId="825706434">
    <w:abstractNumId w:val="11"/>
  </w:num>
  <w:num w:numId="6" w16cid:durableId="676813645">
    <w:abstractNumId w:val="8"/>
  </w:num>
  <w:num w:numId="7" w16cid:durableId="560022461">
    <w:abstractNumId w:val="15"/>
  </w:num>
  <w:num w:numId="8" w16cid:durableId="1559442168">
    <w:abstractNumId w:val="4"/>
  </w:num>
  <w:num w:numId="9" w16cid:durableId="1316060464">
    <w:abstractNumId w:val="7"/>
  </w:num>
  <w:num w:numId="10" w16cid:durableId="1889954310">
    <w:abstractNumId w:val="9"/>
  </w:num>
  <w:num w:numId="11" w16cid:durableId="456604410">
    <w:abstractNumId w:val="19"/>
  </w:num>
  <w:num w:numId="12" w16cid:durableId="1446729249">
    <w:abstractNumId w:val="13"/>
  </w:num>
  <w:num w:numId="13" w16cid:durableId="1425764091">
    <w:abstractNumId w:val="18"/>
  </w:num>
  <w:num w:numId="14" w16cid:durableId="1036346943">
    <w:abstractNumId w:val="17"/>
  </w:num>
  <w:num w:numId="15" w16cid:durableId="1235815666">
    <w:abstractNumId w:val="14"/>
  </w:num>
  <w:num w:numId="16" w16cid:durableId="1321883633">
    <w:abstractNumId w:val="0"/>
  </w:num>
  <w:num w:numId="17" w16cid:durableId="14110803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7191847">
    <w:abstractNumId w:val="10"/>
  </w:num>
  <w:num w:numId="19" w16cid:durableId="831604428">
    <w:abstractNumId w:val="3"/>
  </w:num>
  <w:num w:numId="20" w16cid:durableId="2001275216">
    <w:abstractNumId w:val="16"/>
  </w:num>
  <w:num w:numId="21" w16cid:durableId="915942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79"/>
    <w:rsid w:val="00041FB6"/>
    <w:rsid w:val="000574BF"/>
    <w:rsid w:val="00080C15"/>
    <w:rsid w:val="00093A18"/>
    <w:rsid w:val="000953D5"/>
    <w:rsid w:val="000A385F"/>
    <w:rsid w:val="000B0E08"/>
    <w:rsid w:val="000E4DE1"/>
    <w:rsid w:val="00113698"/>
    <w:rsid w:val="001161B9"/>
    <w:rsid w:val="0012321B"/>
    <w:rsid w:val="00126064"/>
    <w:rsid w:val="00143D7C"/>
    <w:rsid w:val="00167BEC"/>
    <w:rsid w:val="00182FE5"/>
    <w:rsid w:val="00196663"/>
    <w:rsid w:val="00232636"/>
    <w:rsid w:val="002718CC"/>
    <w:rsid w:val="002A0733"/>
    <w:rsid w:val="002C5443"/>
    <w:rsid w:val="002F5379"/>
    <w:rsid w:val="00312AC5"/>
    <w:rsid w:val="00336A1F"/>
    <w:rsid w:val="00347B18"/>
    <w:rsid w:val="003734FD"/>
    <w:rsid w:val="00380B64"/>
    <w:rsid w:val="00385407"/>
    <w:rsid w:val="003E74A0"/>
    <w:rsid w:val="004279D5"/>
    <w:rsid w:val="004D4886"/>
    <w:rsid w:val="004F31E0"/>
    <w:rsid w:val="00536672"/>
    <w:rsid w:val="00557DDB"/>
    <w:rsid w:val="0058369C"/>
    <w:rsid w:val="00596976"/>
    <w:rsid w:val="005B4A79"/>
    <w:rsid w:val="00606D09"/>
    <w:rsid w:val="00610CDC"/>
    <w:rsid w:val="00680202"/>
    <w:rsid w:val="00684B1F"/>
    <w:rsid w:val="006A6A4D"/>
    <w:rsid w:val="006F1C26"/>
    <w:rsid w:val="006F44CC"/>
    <w:rsid w:val="00734898"/>
    <w:rsid w:val="007451D6"/>
    <w:rsid w:val="007504F3"/>
    <w:rsid w:val="00765697"/>
    <w:rsid w:val="00777728"/>
    <w:rsid w:val="00785D87"/>
    <w:rsid w:val="0079256E"/>
    <w:rsid w:val="007950E7"/>
    <w:rsid w:val="00795ECA"/>
    <w:rsid w:val="007C266B"/>
    <w:rsid w:val="007D61D1"/>
    <w:rsid w:val="007D7973"/>
    <w:rsid w:val="007F0A8C"/>
    <w:rsid w:val="008347EC"/>
    <w:rsid w:val="00854E04"/>
    <w:rsid w:val="008F56C7"/>
    <w:rsid w:val="00982B94"/>
    <w:rsid w:val="009B10BE"/>
    <w:rsid w:val="009B7687"/>
    <w:rsid w:val="009F4E36"/>
    <w:rsid w:val="009F7617"/>
    <w:rsid w:val="00A71665"/>
    <w:rsid w:val="00A929E9"/>
    <w:rsid w:val="00AE54EC"/>
    <w:rsid w:val="00B146F5"/>
    <w:rsid w:val="00B90F4D"/>
    <w:rsid w:val="00BD2168"/>
    <w:rsid w:val="00BE7D4E"/>
    <w:rsid w:val="00BF50C9"/>
    <w:rsid w:val="00C76F4B"/>
    <w:rsid w:val="00C812F7"/>
    <w:rsid w:val="00C86A10"/>
    <w:rsid w:val="00C90049"/>
    <w:rsid w:val="00C95F47"/>
    <w:rsid w:val="00CD5AF9"/>
    <w:rsid w:val="00CD7DFC"/>
    <w:rsid w:val="00D14E87"/>
    <w:rsid w:val="00D364BF"/>
    <w:rsid w:val="00D46D35"/>
    <w:rsid w:val="00DB3C61"/>
    <w:rsid w:val="00DD62E7"/>
    <w:rsid w:val="00E4688F"/>
    <w:rsid w:val="00E6293F"/>
    <w:rsid w:val="00E816DD"/>
    <w:rsid w:val="00E93251"/>
    <w:rsid w:val="00E95E57"/>
    <w:rsid w:val="00EA014D"/>
    <w:rsid w:val="00ED2555"/>
    <w:rsid w:val="00EE0AFD"/>
    <w:rsid w:val="00F13F45"/>
    <w:rsid w:val="00F8610B"/>
    <w:rsid w:val="00FB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74DA7"/>
  <w15:chartTrackingRefBased/>
  <w15:docId w15:val="{81DF969B-6CC8-415F-A24A-3CF97C5F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79"/>
  </w:style>
  <w:style w:type="paragraph" w:styleId="Footer">
    <w:name w:val="footer"/>
    <w:basedOn w:val="Normal"/>
    <w:link w:val="FooterChar"/>
    <w:uiPriority w:val="99"/>
    <w:unhideWhenUsed/>
    <w:rsid w:val="005B4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79"/>
  </w:style>
  <w:style w:type="paragraph" w:styleId="NormalWeb">
    <w:name w:val="Normal (Web)"/>
    <w:basedOn w:val="Normal"/>
    <w:uiPriority w:val="99"/>
    <w:unhideWhenUsed/>
    <w:rsid w:val="0085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54E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0E7"/>
    <w:pPr>
      <w:spacing w:after="0" w:line="240" w:lineRule="auto"/>
      <w:ind w:left="720"/>
      <w:contextualSpacing/>
    </w:pPr>
    <w:rPr>
      <w:rFonts w:ascii="Verdana" w:eastAsia="Calibri" w:hAnsi="Verdana" w:cs="Times New Roman"/>
      <w:sz w:val="24"/>
    </w:rPr>
  </w:style>
  <w:style w:type="paragraph" w:customStyle="1" w:styleId="Heading5NoNumb">
    <w:name w:val="Heading 5NoNumb"/>
    <w:basedOn w:val="Heading5"/>
    <w:uiPriority w:val="20"/>
    <w:qFormat/>
    <w:rsid w:val="00C76F4B"/>
    <w:pPr>
      <w:keepNext w:val="0"/>
      <w:keepLines w:val="0"/>
      <w:tabs>
        <w:tab w:val="num" w:pos="680"/>
      </w:tabs>
      <w:spacing w:before="120" w:after="120" w:line="240" w:lineRule="auto"/>
      <w:ind w:left="680"/>
      <w:jc w:val="both"/>
    </w:pPr>
    <w:rPr>
      <w:rFonts w:ascii="Source Sans Pro" w:eastAsia="Yu Gothic UI" w:hAnsi="Source Sans Pro" w:cs="Times New Roman"/>
      <w:color w:val="auto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4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ExecSummPara">
    <w:name w:val="Exec Summ Para"/>
    <w:basedOn w:val="Normal"/>
    <w:uiPriority w:val="19"/>
    <w:semiHidden/>
    <w:rsid w:val="00C76F4B"/>
    <w:pPr>
      <w:numPr>
        <w:numId w:val="2"/>
      </w:numPr>
      <w:spacing w:after="240" w:line="240" w:lineRule="auto"/>
      <w:jc w:val="both"/>
    </w:pPr>
    <w:rPr>
      <w:rFonts w:ascii="Source Sans Pro" w:hAnsi="Source Sans Pro" w:cs="Times New Roman"/>
    </w:rPr>
  </w:style>
  <w:style w:type="paragraph" w:customStyle="1" w:styleId="ExecSumm1">
    <w:name w:val="Exec Summ 1"/>
    <w:basedOn w:val="Heading1"/>
    <w:next w:val="ExecSummPara"/>
    <w:uiPriority w:val="16"/>
    <w:rsid w:val="00C76F4B"/>
    <w:pPr>
      <w:keepLines w:val="0"/>
      <w:spacing w:before="360" w:after="240" w:line="240" w:lineRule="auto"/>
      <w:ind w:left="680"/>
    </w:pPr>
    <w:rPr>
      <w:rFonts w:ascii="Source Sans Pro" w:eastAsia="Yu Gothic UI" w:hAnsi="Source Sans Pro" w:cs="Times New Roman"/>
      <w:b/>
      <w:color w:val="44546A" w:themeColor="text2"/>
      <w:sz w:val="44"/>
      <w:szCs w:val="44"/>
    </w:rPr>
  </w:style>
  <w:style w:type="paragraph" w:customStyle="1" w:styleId="Execsummbullet">
    <w:name w:val="Exec summ bullet"/>
    <w:basedOn w:val="Normal"/>
    <w:uiPriority w:val="19"/>
    <w:semiHidden/>
    <w:rsid w:val="00C76F4B"/>
    <w:pPr>
      <w:numPr>
        <w:ilvl w:val="1"/>
        <w:numId w:val="2"/>
      </w:numPr>
      <w:spacing w:after="240" w:line="280" w:lineRule="atLeast"/>
      <w:jc w:val="both"/>
    </w:pPr>
    <w:rPr>
      <w:rFonts w:ascii="Source Sans Pro" w:hAnsi="Source Sans Pro" w:cs="Times New Roman"/>
    </w:rPr>
  </w:style>
  <w:style w:type="paragraph" w:customStyle="1" w:styleId="ExecSummTableTitle">
    <w:name w:val="Exec Summ Table Title"/>
    <w:basedOn w:val="Normal"/>
    <w:next w:val="ExecSummPara"/>
    <w:uiPriority w:val="19"/>
    <w:qFormat/>
    <w:rsid w:val="00C76F4B"/>
    <w:pPr>
      <w:numPr>
        <w:ilvl w:val="2"/>
        <w:numId w:val="2"/>
      </w:numPr>
      <w:pBdr>
        <w:top w:val="single" w:sz="4" w:space="1" w:color="394A58"/>
      </w:pBdr>
      <w:shd w:val="clear" w:color="auto" w:fill="C9CED3"/>
      <w:spacing w:before="360" w:after="0" w:line="240" w:lineRule="auto"/>
      <w:ind w:right="28"/>
    </w:pPr>
    <w:rPr>
      <w:rFonts w:ascii="Source Sans Pro" w:hAnsi="Source Sans Pro" w:cs="Times New Roman"/>
    </w:rPr>
  </w:style>
  <w:style w:type="numbering" w:customStyle="1" w:styleId="NumbLstNumb">
    <w:name w:val="NumbLstNumb"/>
    <w:uiPriority w:val="99"/>
    <w:rsid w:val="00C76F4B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76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D61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6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2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0E34-A053-4E06-B4CC-6913277B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Dajani, Beverley (EnterpriseStokeStaffs)</dc:creator>
  <cp:keywords/>
  <dc:description/>
  <cp:lastModifiedBy>Kemp, Joanne (EnterpriseStokeStaffs)</cp:lastModifiedBy>
  <cp:revision>2</cp:revision>
  <dcterms:created xsi:type="dcterms:W3CDTF">2022-12-12T11:58:00Z</dcterms:created>
  <dcterms:modified xsi:type="dcterms:W3CDTF">2022-12-12T11:58:00Z</dcterms:modified>
</cp:coreProperties>
</file>