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C870" w14:textId="77777777" w:rsidR="00A974C2" w:rsidRDefault="00A974C2" w:rsidP="00421DDD">
      <w:pPr>
        <w:rPr>
          <w:rFonts w:ascii="Arial" w:hAnsi="Arial" w:cs="Arial"/>
          <w:b/>
        </w:rPr>
      </w:pPr>
    </w:p>
    <w:p w14:paraId="5A32E670" w14:textId="2BD87210" w:rsidR="00A974C2" w:rsidRDefault="00A974C2" w:rsidP="00421DDD">
      <w:pPr>
        <w:rPr>
          <w:rFonts w:ascii="Arial" w:hAnsi="Arial" w:cs="Arial"/>
          <w:b/>
        </w:rPr>
      </w:pPr>
      <w:r>
        <w:rPr>
          <w:noProof/>
        </w:rPr>
        <w:drawing>
          <wp:inline distT="0" distB="0" distL="0" distR="0" wp14:anchorId="59ACC3CA" wp14:editId="56DE89BC">
            <wp:extent cx="5731510" cy="1945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45640"/>
                    </a:xfrm>
                    <a:prstGeom prst="rect">
                      <a:avLst/>
                    </a:prstGeom>
                    <a:noFill/>
                    <a:ln>
                      <a:noFill/>
                    </a:ln>
                  </pic:spPr>
                </pic:pic>
              </a:graphicData>
            </a:graphic>
          </wp:inline>
        </w:drawing>
      </w:r>
    </w:p>
    <w:p w14:paraId="5B5C3536" w14:textId="77777777" w:rsidR="00A974C2" w:rsidRDefault="00A974C2" w:rsidP="00421DDD">
      <w:pPr>
        <w:rPr>
          <w:rFonts w:ascii="Arial" w:hAnsi="Arial" w:cs="Arial"/>
          <w:b/>
        </w:rPr>
      </w:pPr>
    </w:p>
    <w:p w14:paraId="6B61D1FF" w14:textId="77777777" w:rsidR="00A974C2" w:rsidRDefault="00A974C2" w:rsidP="00421DDD">
      <w:pPr>
        <w:rPr>
          <w:rFonts w:ascii="Arial" w:hAnsi="Arial" w:cs="Arial"/>
          <w:b/>
        </w:rPr>
      </w:pPr>
    </w:p>
    <w:p w14:paraId="08F1EE61" w14:textId="77777777" w:rsidR="00A974C2" w:rsidRDefault="00A974C2" w:rsidP="00421DDD">
      <w:pPr>
        <w:rPr>
          <w:rFonts w:ascii="Arial" w:hAnsi="Arial" w:cs="Arial"/>
          <w:b/>
        </w:rPr>
      </w:pPr>
    </w:p>
    <w:p w14:paraId="6B501A9C" w14:textId="77777777" w:rsidR="002E3AF8" w:rsidRDefault="002E3AF8" w:rsidP="00A974C2">
      <w:pPr>
        <w:jc w:val="center"/>
        <w:rPr>
          <w:rFonts w:ascii="Arial" w:hAnsi="Arial" w:cs="Arial"/>
          <w:b/>
          <w:sz w:val="36"/>
          <w:szCs w:val="36"/>
        </w:rPr>
      </w:pPr>
      <w:r>
        <w:rPr>
          <w:rFonts w:ascii="Arial" w:hAnsi="Arial" w:cs="Arial"/>
          <w:b/>
          <w:sz w:val="36"/>
          <w:szCs w:val="36"/>
        </w:rPr>
        <w:t>Getting Building Fund</w:t>
      </w:r>
    </w:p>
    <w:p w14:paraId="6FA60CF9" w14:textId="4E09DC2A" w:rsidR="00A974C2" w:rsidRPr="00A974C2" w:rsidRDefault="00A974C2" w:rsidP="00A974C2">
      <w:pPr>
        <w:jc w:val="center"/>
        <w:rPr>
          <w:rFonts w:ascii="Arial" w:hAnsi="Arial" w:cs="Arial"/>
          <w:b/>
          <w:sz w:val="36"/>
          <w:szCs w:val="36"/>
        </w:rPr>
      </w:pPr>
      <w:r w:rsidRPr="00A974C2">
        <w:rPr>
          <w:rFonts w:ascii="Arial" w:hAnsi="Arial" w:cs="Arial"/>
          <w:b/>
          <w:sz w:val="36"/>
          <w:szCs w:val="36"/>
        </w:rPr>
        <w:t xml:space="preserve"> Monitoring and Evaluation Plan</w:t>
      </w:r>
    </w:p>
    <w:p w14:paraId="2857C36B" w14:textId="77777777" w:rsidR="00A974C2" w:rsidRPr="00A974C2" w:rsidRDefault="00A974C2" w:rsidP="00A974C2">
      <w:pPr>
        <w:jc w:val="center"/>
        <w:rPr>
          <w:rFonts w:ascii="Arial" w:hAnsi="Arial" w:cs="Arial"/>
          <w:b/>
          <w:sz w:val="36"/>
          <w:szCs w:val="36"/>
        </w:rPr>
      </w:pPr>
    </w:p>
    <w:p w14:paraId="33850951" w14:textId="3A267D42" w:rsidR="00A974C2" w:rsidRPr="00A974C2" w:rsidRDefault="00DD4839" w:rsidP="00A974C2">
      <w:pPr>
        <w:jc w:val="center"/>
        <w:rPr>
          <w:rFonts w:ascii="Arial" w:hAnsi="Arial" w:cs="Arial"/>
          <w:b/>
          <w:sz w:val="36"/>
          <w:szCs w:val="36"/>
        </w:rPr>
      </w:pPr>
      <w:r>
        <w:rPr>
          <w:rFonts w:ascii="Arial" w:hAnsi="Arial" w:cs="Arial"/>
          <w:b/>
          <w:sz w:val="36"/>
          <w:szCs w:val="36"/>
        </w:rPr>
        <w:t xml:space="preserve">Date </w:t>
      </w:r>
      <w:r w:rsidR="00043C57">
        <w:rPr>
          <w:rFonts w:ascii="Arial" w:hAnsi="Arial" w:cs="Arial"/>
          <w:b/>
          <w:sz w:val="36"/>
          <w:szCs w:val="36"/>
        </w:rPr>
        <w:t>–</w:t>
      </w:r>
      <w:r>
        <w:rPr>
          <w:rFonts w:ascii="Arial" w:hAnsi="Arial" w:cs="Arial"/>
          <w:b/>
          <w:sz w:val="36"/>
          <w:szCs w:val="36"/>
        </w:rPr>
        <w:t xml:space="preserve"> </w:t>
      </w:r>
      <w:r w:rsidR="00A16671">
        <w:rPr>
          <w:rFonts w:ascii="Arial" w:hAnsi="Arial" w:cs="Arial"/>
          <w:b/>
          <w:sz w:val="36"/>
          <w:szCs w:val="36"/>
        </w:rPr>
        <w:t>January 2022</w:t>
      </w:r>
    </w:p>
    <w:p w14:paraId="0A8FDF5A" w14:textId="77777777" w:rsidR="00A974C2" w:rsidRDefault="00A974C2" w:rsidP="00421DDD">
      <w:pPr>
        <w:rPr>
          <w:rFonts w:ascii="Arial" w:hAnsi="Arial" w:cs="Arial"/>
          <w:b/>
        </w:rPr>
      </w:pPr>
    </w:p>
    <w:p w14:paraId="3CF37244" w14:textId="77777777" w:rsidR="00A974C2" w:rsidRDefault="00A974C2" w:rsidP="00421DDD">
      <w:pPr>
        <w:rPr>
          <w:rFonts w:ascii="Arial" w:hAnsi="Arial" w:cs="Arial"/>
          <w:b/>
        </w:rPr>
      </w:pPr>
    </w:p>
    <w:p w14:paraId="00D23B1D" w14:textId="77777777" w:rsidR="00A974C2" w:rsidRDefault="00A974C2" w:rsidP="00421DDD">
      <w:pPr>
        <w:rPr>
          <w:rFonts w:ascii="Arial" w:hAnsi="Arial" w:cs="Arial"/>
          <w:b/>
        </w:rPr>
      </w:pPr>
    </w:p>
    <w:p w14:paraId="57FF0FC1" w14:textId="77777777" w:rsidR="00A974C2" w:rsidRDefault="00A974C2" w:rsidP="00421DDD">
      <w:pPr>
        <w:rPr>
          <w:rFonts w:ascii="Arial" w:hAnsi="Arial" w:cs="Arial"/>
          <w:b/>
        </w:rPr>
      </w:pPr>
    </w:p>
    <w:p w14:paraId="42B3ED0E" w14:textId="77777777" w:rsidR="00A974C2" w:rsidRDefault="00A974C2" w:rsidP="00421DDD">
      <w:pPr>
        <w:rPr>
          <w:rFonts w:ascii="Arial" w:hAnsi="Arial" w:cs="Arial"/>
          <w:b/>
        </w:rPr>
      </w:pPr>
    </w:p>
    <w:p w14:paraId="30FEC6CE" w14:textId="77777777" w:rsidR="00A974C2" w:rsidRDefault="00A974C2" w:rsidP="00421DDD">
      <w:pPr>
        <w:rPr>
          <w:rFonts w:ascii="Arial" w:hAnsi="Arial" w:cs="Arial"/>
          <w:b/>
        </w:rPr>
      </w:pPr>
    </w:p>
    <w:p w14:paraId="3E097521" w14:textId="77777777" w:rsidR="00A974C2" w:rsidRDefault="00A974C2" w:rsidP="00421DDD">
      <w:pPr>
        <w:rPr>
          <w:rFonts w:ascii="Arial" w:hAnsi="Arial" w:cs="Arial"/>
          <w:b/>
        </w:rPr>
      </w:pPr>
    </w:p>
    <w:p w14:paraId="0EF54550" w14:textId="77777777" w:rsidR="00A974C2" w:rsidRDefault="00A974C2" w:rsidP="00421DDD">
      <w:pPr>
        <w:rPr>
          <w:rFonts w:ascii="Arial" w:hAnsi="Arial" w:cs="Arial"/>
          <w:b/>
        </w:rPr>
      </w:pPr>
    </w:p>
    <w:p w14:paraId="6D5E3E8A" w14:textId="77777777" w:rsidR="00A974C2" w:rsidRDefault="00A974C2" w:rsidP="00421DDD">
      <w:pPr>
        <w:rPr>
          <w:rFonts w:ascii="Arial" w:hAnsi="Arial" w:cs="Arial"/>
          <w:b/>
        </w:rPr>
      </w:pPr>
    </w:p>
    <w:p w14:paraId="2A1422D2" w14:textId="77777777" w:rsidR="00A974C2" w:rsidRDefault="00A974C2" w:rsidP="00421DDD">
      <w:pPr>
        <w:rPr>
          <w:rFonts w:ascii="Arial" w:hAnsi="Arial" w:cs="Arial"/>
          <w:b/>
        </w:rPr>
      </w:pPr>
    </w:p>
    <w:p w14:paraId="4F6C0BC2" w14:textId="77777777" w:rsidR="00A974C2" w:rsidRDefault="00A974C2" w:rsidP="00421DDD">
      <w:pPr>
        <w:rPr>
          <w:rFonts w:ascii="Arial" w:hAnsi="Arial" w:cs="Arial"/>
          <w:b/>
        </w:rPr>
      </w:pPr>
    </w:p>
    <w:p w14:paraId="0ADE8B1B" w14:textId="77777777" w:rsidR="00A974C2" w:rsidRDefault="00A974C2" w:rsidP="00421DDD">
      <w:pPr>
        <w:rPr>
          <w:rFonts w:ascii="Arial" w:hAnsi="Arial" w:cs="Arial"/>
          <w:b/>
        </w:rPr>
      </w:pPr>
    </w:p>
    <w:p w14:paraId="76854C54" w14:textId="77777777" w:rsidR="00A974C2" w:rsidRDefault="00A974C2" w:rsidP="00421DDD">
      <w:pPr>
        <w:rPr>
          <w:rFonts w:ascii="Arial" w:hAnsi="Arial" w:cs="Arial"/>
          <w:b/>
        </w:rPr>
      </w:pPr>
    </w:p>
    <w:p w14:paraId="682F749C" w14:textId="77777777" w:rsidR="00A974C2" w:rsidRDefault="00A974C2" w:rsidP="00421DDD">
      <w:pPr>
        <w:rPr>
          <w:rFonts w:ascii="Arial" w:hAnsi="Arial" w:cs="Arial"/>
          <w:b/>
        </w:rPr>
      </w:pPr>
    </w:p>
    <w:p w14:paraId="3E212758" w14:textId="77777777" w:rsidR="00A974C2" w:rsidRDefault="00A974C2" w:rsidP="00421DDD">
      <w:pPr>
        <w:rPr>
          <w:rFonts w:ascii="Arial" w:hAnsi="Arial" w:cs="Arial"/>
          <w:b/>
        </w:rPr>
      </w:pPr>
    </w:p>
    <w:p w14:paraId="290C5A6E" w14:textId="77777777" w:rsidR="00A974C2" w:rsidRDefault="00A974C2" w:rsidP="00421DDD">
      <w:pPr>
        <w:rPr>
          <w:rFonts w:ascii="Arial" w:hAnsi="Arial" w:cs="Arial"/>
          <w:b/>
        </w:rPr>
      </w:pPr>
    </w:p>
    <w:p w14:paraId="7B5A54C5" w14:textId="5078EF80" w:rsidR="00421DDD" w:rsidRPr="00047254" w:rsidRDefault="00421DDD" w:rsidP="00047254">
      <w:pPr>
        <w:pStyle w:val="ListParagraph"/>
        <w:numPr>
          <w:ilvl w:val="0"/>
          <w:numId w:val="5"/>
        </w:numPr>
        <w:rPr>
          <w:rFonts w:ascii="Arial" w:hAnsi="Arial" w:cs="Arial"/>
          <w:b/>
          <w:sz w:val="24"/>
          <w:szCs w:val="24"/>
        </w:rPr>
      </w:pPr>
      <w:r w:rsidRPr="00047254">
        <w:rPr>
          <w:rFonts w:ascii="Arial" w:hAnsi="Arial" w:cs="Arial"/>
          <w:b/>
          <w:sz w:val="24"/>
          <w:szCs w:val="24"/>
        </w:rPr>
        <w:t>The</w:t>
      </w:r>
      <w:r w:rsidR="00742B24" w:rsidRPr="00047254">
        <w:rPr>
          <w:rFonts w:ascii="Arial" w:hAnsi="Arial" w:cs="Arial"/>
          <w:b/>
          <w:sz w:val="24"/>
          <w:szCs w:val="24"/>
        </w:rPr>
        <w:t xml:space="preserve"> S</w:t>
      </w:r>
      <w:r w:rsidR="00A974C2" w:rsidRPr="00047254">
        <w:rPr>
          <w:rFonts w:ascii="Arial" w:hAnsi="Arial" w:cs="Arial"/>
          <w:b/>
          <w:sz w:val="24"/>
          <w:szCs w:val="24"/>
        </w:rPr>
        <w:t xml:space="preserve">toke on Trent and </w:t>
      </w:r>
      <w:r w:rsidR="00742B24" w:rsidRPr="00047254">
        <w:rPr>
          <w:rFonts w:ascii="Arial" w:hAnsi="Arial" w:cs="Arial"/>
          <w:b/>
          <w:sz w:val="24"/>
          <w:szCs w:val="24"/>
        </w:rPr>
        <w:t>S</w:t>
      </w:r>
      <w:r w:rsidR="00A974C2" w:rsidRPr="00047254">
        <w:rPr>
          <w:rFonts w:ascii="Arial" w:hAnsi="Arial" w:cs="Arial"/>
          <w:b/>
          <w:sz w:val="24"/>
          <w:szCs w:val="24"/>
        </w:rPr>
        <w:t xml:space="preserve">taffordshire </w:t>
      </w:r>
      <w:r w:rsidR="00742B24" w:rsidRPr="00047254">
        <w:rPr>
          <w:rFonts w:ascii="Arial" w:hAnsi="Arial" w:cs="Arial"/>
          <w:b/>
          <w:sz w:val="24"/>
          <w:szCs w:val="24"/>
        </w:rPr>
        <w:t>LEP</w:t>
      </w:r>
      <w:r w:rsidRPr="00047254">
        <w:rPr>
          <w:rFonts w:ascii="Arial" w:hAnsi="Arial" w:cs="Arial"/>
          <w:b/>
          <w:sz w:val="24"/>
          <w:szCs w:val="24"/>
        </w:rPr>
        <w:t xml:space="preserve"> </w:t>
      </w:r>
      <w:r w:rsidR="00154C14">
        <w:rPr>
          <w:rFonts w:ascii="Arial" w:hAnsi="Arial" w:cs="Arial"/>
          <w:b/>
          <w:sz w:val="24"/>
          <w:szCs w:val="24"/>
        </w:rPr>
        <w:t>Getting Building Fund</w:t>
      </w:r>
    </w:p>
    <w:p w14:paraId="36065DBC" w14:textId="77777777" w:rsidR="00A974C2" w:rsidRDefault="00A974C2" w:rsidP="00421DDD">
      <w:pPr>
        <w:pStyle w:val="NormalWeb"/>
        <w:spacing w:before="0" w:beforeAutospacing="0" w:after="180" w:afterAutospacing="0"/>
        <w:rPr>
          <w:rFonts w:ascii="Arial" w:hAnsi="Arial" w:cs="Arial"/>
          <w:sz w:val="22"/>
          <w:szCs w:val="22"/>
        </w:rPr>
      </w:pPr>
    </w:p>
    <w:p w14:paraId="10F3BF25" w14:textId="71F89A92" w:rsidR="004F6ED6" w:rsidRPr="003C0509" w:rsidRDefault="004F6ED6" w:rsidP="00836508">
      <w:pPr>
        <w:pStyle w:val="NormalWeb"/>
        <w:numPr>
          <w:ilvl w:val="1"/>
          <w:numId w:val="9"/>
        </w:numPr>
        <w:spacing w:before="0" w:beforeAutospacing="0" w:after="180" w:afterAutospacing="0"/>
        <w:ind w:left="360"/>
        <w:rPr>
          <w:rFonts w:ascii="Arial" w:hAnsi="Arial" w:cs="Arial"/>
          <w:sz w:val="22"/>
          <w:szCs w:val="22"/>
        </w:rPr>
      </w:pPr>
      <w:r w:rsidRPr="003C0509">
        <w:rPr>
          <w:rFonts w:ascii="Arial" w:hAnsi="Arial" w:cs="Arial"/>
          <w:sz w:val="22"/>
          <w:szCs w:val="22"/>
        </w:rPr>
        <w:t xml:space="preserve">The Government is making £900 million available through the new Getting Building Fund (GBF) for investment in local, shovel-ready infrastructure projects to stimulate jobs and support economic recovery across the country. </w:t>
      </w:r>
    </w:p>
    <w:p w14:paraId="637E2690" w14:textId="77777777" w:rsidR="004C5ED2" w:rsidRDefault="004F6ED6" w:rsidP="00836508">
      <w:pPr>
        <w:pStyle w:val="NormalWeb"/>
        <w:numPr>
          <w:ilvl w:val="1"/>
          <w:numId w:val="9"/>
        </w:numPr>
        <w:spacing w:before="0" w:beforeAutospacing="0" w:after="180" w:afterAutospacing="0"/>
        <w:ind w:left="360"/>
        <w:rPr>
          <w:rFonts w:ascii="Arial" w:hAnsi="Arial" w:cs="Arial"/>
          <w:sz w:val="22"/>
          <w:szCs w:val="22"/>
        </w:rPr>
      </w:pPr>
      <w:r w:rsidRPr="003C0509">
        <w:rPr>
          <w:rFonts w:ascii="Arial" w:hAnsi="Arial" w:cs="Arial"/>
          <w:sz w:val="22"/>
          <w:szCs w:val="22"/>
        </w:rPr>
        <w:t>Stoke-on-Trent and Staffordshire LEP ha</w:t>
      </w:r>
      <w:r w:rsidR="008D7A41">
        <w:rPr>
          <w:rFonts w:ascii="Arial" w:hAnsi="Arial" w:cs="Arial"/>
          <w:sz w:val="22"/>
          <w:szCs w:val="22"/>
        </w:rPr>
        <w:t>d</w:t>
      </w:r>
      <w:r w:rsidRPr="003C0509">
        <w:rPr>
          <w:rFonts w:ascii="Arial" w:hAnsi="Arial" w:cs="Arial"/>
          <w:sz w:val="22"/>
          <w:szCs w:val="22"/>
        </w:rPr>
        <w:t xml:space="preserve"> been allocated </w:t>
      </w:r>
      <w:r w:rsidRPr="003C0509">
        <w:rPr>
          <w:rFonts w:ascii="Arial" w:hAnsi="Arial" w:cs="Arial"/>
          <w:b/>
          <w:bCs/>
          <w:sz w:val="22"/>
          <w:szCs w:val="22"/>
        </w:rPr>
        <w:t>£23.7m</w:t>
      </w:r>
      <w:r w:rsidRPr="003C0509">
        <w:rPr>
          <w:rFonts w:ascii="Arial" w:hAnsi="Arial" w:cs="Arial"/>
          <w:sz w:val="22"/>
          <w:szCs w:val="22"/>
        </w:rPr>
        <w:t xml:space="preserve"> from the GBF for a wide-ranging package of projects that will deliver a much-needed boost to the local economy. </w:t>
      </w:r>
    </w:p>
    <w:p w14:paraId="57EF0D2C" w14:textId="050E1AB8" w:rsidR="00CE614B" w:rsidRDefault="008D7A41" w:rsidP="004C5ED2">
      <w:pPr>
        <w:pStyle w:val="NormalWeb"/>
        <w:numPr>
          <w:ilvl w:val="2"/>
          <w:numId w:val="9"/>
        </w:numPr>
        <w:spacing w:before="0" w:beforeAutospacing="0" w:after="180" w:afterAutospacing="0"/>
        <w:rPr>
          <w:rFonts w:ascii="Arial" w:hAnsi="Arial" w:cs="Arial"/>
          <w:sz w:val="22"/>
          <w:szCs w:val="22"/>
        </w:rPr>
      </w:pPr>
      <w:r>
        <w:rPr>
          <w:rFonts w:ascii="Arial" w:hAnsi="Arial" w:cs="Arial"/>
          <w:sz w:val="22"/>
          <w:szCs w:val="22"/>
        </w:rPr>
        <w:t xml:space="preserve">Subsequent programme changes led to </w:t>
      </w:r>
      <w:r w:rsidR="004C5ED2">
        <w:rPr>
          <w:rFonts w:ascii="Arial" w:hAnsi="Arial" w:cs="Arial"/>
          <w:sz w:val="22"/>
          <w:szCs w:val="22"/>
        </w:rPr>
        <w:t xml:space="preserve">a change in </w:t>
      </w:r>
      <w:r w:rsidR="0070280C">
        <w:rPr>
          <w:rFonts w:ascii="Arial" w:hAnsi="Arial" w:cs="Arial"/>
          <w:sz w:val="22"/>
          <w:szCs w:val="22"/>
        </w:rPr>
        <w:t xml:space="preserve">GBF </w:t>
      </w:r>
      <w:r w:rsidR="004C5ED2">
        <w:rPr>
          <w:rFonts w:ascii="Arial" w:hAnsi="Arial" w:cs="Arial"/>
          <w:sz w:val="22"/>
          <w:szCs w:val="22"/>
        </w:rPr>
        <w:t xml:space="preserve">funding allocation. </w:t>
      </w:r>
      <w:r w:rsidR="00314B40">
        <w:rPr>
          <w:rFonts w:ascii="Arial" w:hAnsi="Arial" w:cs="Arial"/>
          <w:sz w:val="22"/>
          <w:szCs w:val="22"/>
        </w:rPr>
        <w:t xml:space="preserve"> SSLEP and D2N2 </w:t>
      </w:r>
      <w:r w:rsidR="00050A49">
        <w:rPr>
          <w:rFonts w:ascii="Arial" w:hAnsi="Arial" w:cs="Arial"/>
          <w:sz w:val="22"/>
          <w:szCs w:val="22"/>
        </w:rPr>
        <w:t xml:space="preserve">LEP </w:t>
      </w:r>
      <w:r w:rsidR="00314B40">
        <w:rPr>
          <w:rFonts w:ascii="Arial" w:hAnsi="Arial" w:cs="Arial"/>
          <w:sz w:val="22"/>
          <w:szCs w:val="22"/>
        </w:rPr>
        <w:t xml:space="preserve">had both been awarded </w:t>
      </w:r>
      <w:r w:rsidR="0070280C">
        <w:rPr>
          <w:rFonts w:ascii="Arial" w:hAnsi="Arial" w:cs="Arial"/>
          <w:sz w:val="22"/>
          <w:szCs w:val="22"/>
        </w:rPr>
        <w:t xml:space="preserve">GBF </w:t>
      </w:r>
      <w:r w:rsidR="00314B40">
        <w:rPr>
          <w:rFonts w:ascii="Arial" w:hAnsi="Arial" w:cs="Arial"/>
          <w:sz w:val="22"/>
          <w:szCs w:val="22"/>
        </w:rPr>
        <w:t xml:space="preserve">funding to </w:t>
      </w:r>
      <w:r w:rsidR="009D7A60">
        <w:rPr>
          <w:rFonts w:ascii="Arial" w:hAnsi="Arial" w:cs="Arial"/>
          <w:sz w:val="22"/>
          <w:szCs w:val="22"/>
        </w:rPr>
        <w:t xml:space="preserve">jointly </w:t>
      </w:r>
      <w:r w:rsidR="00314B40">
        <w:rPr>
          <w:rFonts w:ascii="Arial" w:hAnsi="Arial" w:cs="Arial"/>
          <w:sz w:val="22"/>
          <w:szCs w:val="22"/>
        </w:rPr>
        <w:t>bring forward</w:t>
      </w:r>
      <w:r w:rsidR="009D7A60">
        <w:rPr>
          <w:rFonts w:ascii="Arial" w:hAnsi="Arial" w:cs="Arial"/>
          <w:sz w:val="22"/>
          <w:szCs w:val="22"/>
        </w:rPr>
        <w:t xml:space="preserve"> the Drakelow Park scheme.</w:t>
      </w:r>
      <w:r w:rsidR="0070280C">
        <w:rPr>
          <w:rFonts w:ascii="Arial" w:hAnsi="Arial" w:cs="Arial"/>
          <w:sz w:val="22"/>
          <w:szCs w:val="22"/>
        </w:rPr>
        <w:t xml:space="preserve"> </w:t>
      </w:r>
      <w:r w:rsidR="00314B40">
        <w:rPr>
          <w:rFonts w:ascii="Arial" w:hAnsi="Arial" w:cs="Arial"/>
          <w:sz w:val="22"/>
          <w:szCs w:val="22"/>
        </w:rPr>
        <w:t>To de-ris</w:t>
      </w:r>
      <w:r w:rsidR="0070280C">
        <w:rPr>
          <w:rFonts w:ascii="Arial" w:hAnsi="Arial" w:cs="Arial"/>
          <w:sz w:val="22"/>
          <w:szCs w:val="22"/>
        </w:rPr>
        <w:t xml:space="preserve">k the scheme for SSLEP and to allow </w:t>
      </w:r>
      <w:r w:rsidR="003E0E39">
        <w:rPr>
          <w:rFonts w:ascii="Arial" w:hAnsi="Arial" w:cs="Arial"/>
          <w:sz w:val="22"/>
          <w:szCs w:val="22"/>
        </w:rPr>
        <w:t>greater autonomy and programme management efficiencies for D</w:t>
      </w:r>
      <w:r w:rsidR="00050A49">
        <w:rPr>
          <w:rFonts w:ascii="Arial" w:hAnsi="Arial" w:cs="Arial"/>
          <w:sz w:val="22"/>
          <w:szCs w:val="22"/>
        </w:rPr>
        <w:t>2N2 LEP</w:t>
      </w:r>
      <w:r w:rsidR="00F47BBE">
        <w:rPr>
          <w:rFonts w:ascii="Arial" w:hAnsi="Arial" w:cs="Arial"/>
          <w:sz w:val="22"/>
          <w:szCs w:val="22"/>
        </w:rPr>
        <w:t xml:space="preserve"> (</w:t>
      </w:r>
      <w:r w:rsidR="003E0E39">
        <w:rPr>
          <w:rFonts w:ascii="Arial" w:hAnsi="Arial" w:cs="Arial"/>
          <w:sz w:val="22"/>
          <w:szCs w:val="22"/>
        </w:rPr>
        <w:t>who are managing the scheme</w:t>
      </w:r>
      <w:r w:rsidR="00F47BBE">
        <w:rPr>
          <w:rFonts w:ascii="Arial" w:hAnsi="Arial" w:cs="Arial"/>
          <w:sz w:val="22"/>
          <w:szCs w:val="22"/>
        </w:rPr>
        <w:t>)</w:t>
      </w:r>
      <w:r w:rsidR="00050A49">
        <w:rPr>
          <w:rFonts w:ascii="Arial" w:hAnsi="Arial" w:cs="Arial"/>
          <w:sz w:val="22"/>
          <w:szCs w:val="22"/>
        </w:rPr>
        <w:t xml:space="preserve">, the </w:t>
      </w:r>
      <w:r w:rsidR="00F60BA6">
        <w:rPr>
          <w:rFonts w:ascii="Arial" w:hAnsi="Arial" w:cs="Arial"/>
          <w:sz w:val="22"/>
          <w:szCs w:val="22"/>
        </w:rPr>
        <w:t xml:space="preserve">two LEPs </w:t>
      </w:r>
      <w:r w:rsidR="004708FF">
        <w:rPr>
          <w:rFonts w:ascii="Arial" w:hAnsi="Arial" w:cs="Arial"/>
          <w:sz w:val="22"/>
          <w:szCs w:val="22"/>
        </w:rPr>
        <w:t>agreed with</w:t>
      </w:r>
      <w:r w:rsidR="00F60BA6">
        <w:rPr>
          <w:rFonts w:ascii="Arial" w:hAnsi="Arial" w:cs="Arial"/>
          <w:sz w:val="22"/>
          <w:szCs w:val="22"/>
        </w:rPr>
        <w:t xml:space="preserve"> MHCLG  that £5.05m </w:t>
      </w:r>
      <w:r w:rsidR="00C92FA1">
        <w:rPr>
          <w:rFonts w:ascii="Arial" w:hAnsi="Arial" w:cs="Arial"/>
          <w:sz w:val="22"/>
          <w:szCs w:val="22"/>
        </w:rPr>
        <w:t xml:space="preserve">could be de-allocated from SSLEP and re-allocated to D2N2 LEP, subject to </w:t>
      </w:r>
      <w:r w:rsidR="00BC4883">
        <w:rPr>
          <w:rFonts w:ascii="Arial" w:hAnsi="Arial" w:cs="Arial"/>
          <w:sz w:val="22"/>
          <w:szCs w:val="22"/>
        </w:rPr>
        <w:t xml:space="preserve">specific </w:t>
      </w:r>
      <w:r w:rsidR="00C92FA1">
        <w:rPr>
          <w:rFonts w:ascii="Arial" w:hAnsi="Arial" w:cs="Arial"/>
          <w:sz w:val="22"/>
          <w:szCs w:val="22"/>
        </w:rPr>
        <w:t>conditions</w:t>
      </w:r>
      <w:r w:rsidR="00876A1F">
        <w:rPr>
          <w:rFonts w:ascii="Arial" w:hAnsi="Arial" w:cs="Arial"/>
          <w:sz w:val="22"/>
          <w:szCs w:val="22"/>
        </w:rPr>
        <w:t xml:space="preserve"> </w:t>
      </w:r>
      <w:r w:rsidR="00BC4883">
        <w:rPr>
          <w:rFonts w:ascii="Arial" w:hAnsi="Arial" w:cs="Arial"/>
          <w:sz w:val="22"/>
          <w:szCs w:val="22"/>
        </w:rPr>
        <w:t>(</w:t>
      </w:r>
      <w:r w:rsidR="00626151">
        <w:rPr>
          <w:rFonts w:ascii="Arial" w:hAnsi="Arial" w:cs="Arial"/>
          <w:sz w:val="22"/>
          <w:szCs w:val="22"/>
        </w:rPr>
        <w:t>e.g.</w:t>
      </w:r>
      <w:r w:rsidR="001658C8">
        <w:rPr>
          <w:rFonts w:ascii="Arial" w:hAnsi="Arial" w:cs="Arial"/>
          <w:sz w:val="22"/>
          <w:szCs w:val="22"/>
        </w:rPr>
        <w:t xml:space="preserve"> the funding </w:t>
      </w:r>
      <w:r w:rsidR="00BC4883">
        <w:rPr>
          <w:rFonts w:ascii="Arial" w:hAnsi="Arial" w:cs="Arial"/>
          <w:sz w:val="22"/>
          <w:szCs w:val="22"/>
        </w:rPr>
        <w:t>can</w:t>
      </w:r>
      <w:r w:rsidR="001658C8">
        <w:rPr>
          <w:rFonts w:ascii="Arial" w:hAnsi="Arial" w:cs="Arial"/>
          <w:sz w:val="22"/>
          <w:szCs w:val="22"/>
        </w:rPr>
        <w:t xml:space="preserve"> only</w:t>
      </w:r>
      <w:r w:rsidR="00B21331">
        <w:rPr>
          <w:rFonts w:ascii="Arial" w:hAnsi="Arial" w:cs="Arial"/>
          <w:sz w:val="22"/>
          <w:szCs w:val="22"/>
        </w:rPr>
        <w:t xml:space="preserve"> be</w:t>
      </w:r>
      <w:r w:rsidR="001658C8">
        <w:rPr>
          <w:rFonts w:ascii="Arial" w:hAnsi="Arial" w:cs="Arial"/>
          <w:sz w:val="22"/>
          <w:szCs w:val="22"/>
        </w:rPr>
        <w:t xml:space="preserve"> used for </w:t>
      </w:r>
      <w:r w:rsidR="00BC4883">
        <w:rPr>
          <w:rFonts w:ascii="Arial" w:hAnsi="Arial" w:cs="Arial"/>
          <w:sz w:val="22"/>
          <w:szCs w:val="22"/>
        </w:rPr>
        <w:t>this scheme</w:t>
      </w:r>
      <w:r w:rsidR="001766DB">
        <w:rPr>
          <w:rFonts w:ascii="Arial" w:hAnsi="Arial" w:cs="Arial"/>
          <w:sz w:val="22"/>
          <w:szCs w:val="22"/>
        </w:rPr>
        <w:t>; SSLEP is acknowledged as co-investor).</w:t>
      </w:r>
    </w:p>
    <w:p w14:paraId="37A2237D" w14:textId="766B45B4" w:rsidR="00C050A9" w:rsidRPr="003C0509" w:rsidRDefault="00876A1F" w:rsidP="004C5ED2">
      <w:pPr>
        <w:pStyle w:val="NormalWeb"/>
        <w:numPr>
          <w:ilvl w:val="2"/>
          <w:numId w:val="9"/>
        </w:numPr>
        <w:spacing w:before="0" w:beforeAutospacing="0" w:after="180" w:afterAutospacing="0"/>
        <w:rPr>
          <w:rFonts w:ascii="Arial" w:hAnsi="Arial" w:cs="Arial"/>
          <w:sz w:val="22"/>
          <w:szCs w:val="22"/>
        </w:rPr>
      </w:pPr>
      <w:r>
        <w:rPr>
          <w:rFonts w:ascii="Arial" w:hAnsi="Arial" w:cs="Arial"/>
          <w:sz w:val="22"/>
          <w:szCs w:val="22"/>
        </w:rPr>
        <w:t xml:space="preserve">The </w:t>
      </w:r>
      <w:r w:rsidR="0004195D">
        <w:rPr>
          <w:rFonts w:ascii="Arial" w:hAnsi="Arial" w:cs="Arial"/>
          <w:sz w:val="22"/>
          <w:szCs w:val="22"/>
        </w:rPr>
        <w:t xml:space="preserve">revised </w:t>
      </w:r>
      <w:r w:rsidR="00CE614B">
        <w:rPr>
          <w:rFonts w:ascii="Arial" w:hAnsi="Arial" w:cs="Arial"/>
          <w:sz w:val="22"/>
          <w:szCs w:val="22"/>
        </w:rPr>
        <w:t xml:space="preserve">SSLEP GBF allocation, after </w:t>
      </w:r>
      <w:r w:rsidR="0004195D">
        <w:rPr>
          <w:rFonts w:ascii="Arial" w:hAnsi="Arial" w:cs="Arial"/>
          <w:sz w:val="22"/>
          <w:szCs w:val="22"/>
        </w:rPr>
        <w:t xml:space="preserve">£5.05m has been transferred to D2N2 LEP to invest in Drakelow Park, is </w:t>
      </w:r>
      <w:r w:rsidR="0004195D" w:rsidRPr="00F20AEF">
        <w:rPr>
          <w:rFonts w:ascii="Arial" w:hAnsi="Arial" w:cs="Arial"/>
          <w:b/>
          <w:bCs/>
          <w:sz w:val="22"/>
          <w:szCs w:val="22"/>
        </w:rPr>
        <w:t>£</w:t>
      </w:r>
      <w:r w:rsidR="00F20AEF" w:rsidRPr="00F20AEF">
        <w:rPr>
          <w:rFonts w:ascii="Arial" w:hAnsi="Arial" w:cs="Arial"/>
          <w:b/>
          <w:bCs/>
          <w:sz w:val="22"/>
          <w:szCs w:val="22"/>
        </w:rPr>
        <w:t>18.65m</w:t>
      </w:r>
    </w:p>
    <w:p w14:paraId="516E8D1A" w14:textId="542EEE3E" w:rsidR="004F6ED6" w:rsidRPr="003C0509" w:rsidRDefault="004F6ED6" w:rsidP="00836508">
      <w:pPr>
        <w:pStyle w:val="NormalWeb"/>
        <w:numPr>
          <w:ilvl w:val="1"/>
          <w:numId w:val="9"/>
        </w:numPr>
        <w:spacing w:before="0" w:beforeAutospacing="0" w:after="0" w:afterAutospacing="0"/>
        <w:ind w:left="360"/>
        <w:rPr>
          <w:rFonts w:ascii="Arial" w:hAnsi="Arial" w:cs="Arial"/>
          <w:sz w:val="22"/>
          <w:szCs w:val="22"/>
        </w:rPr>
      </w:pPr>
      <w:r w:rsidRPr="003C0509">
        <w:rPr>
          <w:rFonts w:ascii="Arial" w:hAnsi="Arial" w:cs="Arial"/>
          <w:sz w:val="22"/>
          <w:szCs w:val="22"/>
        </w:rPr>
        <w:t xml:space="preserve">In Stoke-on-Trent and Staffordshire, the funded projects are expected to deliver support for businesses through new innovation and enterprise space, investment in digital skills for young people, and improvements to transport infrastructure which will enable increased </w:t>
      </w:r>
      <w:r w:rsidR="00773B6B">
        <w:rPr>
          <w:rFonts w:ascii="Arial" w:hAnsi="Arial" w:cs="Arial"/>
          <w:sz w:val="22"/>
          <w:szCs w:val="22"/>
        </w:rPr>
        <w:t>sustainable</w:t>
      </w:r>
      <w:r w:rsidRPr="003C0509">
        <w:rPr>
          <w:rFonts w:ascii="Arial" w:hAnsi="Arial" w:cs="Arial"/>
          <w:sz w:val="22"/>
          <w:szCs w:val="22"/>
        </w:rPr>
        <w:t xml:space="preserve"> travel, helping to facilitate a green recovery. These projects align with the LEP’s key priorities and will support the LEP area’s recovery from Covid-19.</w:t>
      </w:r>
    </w:p>
    <w:p w14:paraId="26EABAD7" w14:textId="24C83011" w:rsidR="003C0509" w:rsidRDefault="003C0509" w:rsidP="00836508">
      <w:pPr>
        <w:pStyle w:val="NormalWeb"/>
        <w:spacing w:before="0" w:beforeAutospacing="0" w:after="0" w:afterAutospacing="0"/>
        <w:ind w:left="360"/>
        <w:rPr>
          <w:rFonts w:ascii="Arial" w:hAnsi="Arial" w:cs="Arial"/>
          <w:sz w:val="22"/>
          <w:szCs w:val="22"/>
        </w:rPr>
      </w:pPr>
      <w:r w:rsidRPr="003C0509">
        <w:rPr>
          <w:rFonts w:ascii="Arial" w:hAnsi="Arial" w:cs="Arial"/>
          <w:sz w:val="22"/>
          <w:szCs w:val="22"/>
        </w:rPr>
        <w:t xml:space="preserve">The schemes selected </w:t>
      </w:r>
      <w:r w:rsidR="00961D5E">
        <w:rPr>
          <w:rFonts w:ascii="Arial" w:hAnsi="Arial" w:cs="Arial"/>
          <w:sz w:val="22"/>
          <w:szCs w:val="22"/>
        </w:rPr>
        <w:t xml:space="preserve">for GBF funding </w:t>
      </w:r>
      <w:r w:rsidRPr="003C0509">
        <w:rPr>
          <w:rFonts w:ascii="Arial" w:hAnsi="Arial" w:cs="Arial"/>
          <w:sz w:val="22"/>
          <w:szCs w:val="22"/>
        </w:rPr>
        <w:t xml:space="preserve">are detailed on the SSLEP’s </w:t>
      </w:r>
      <w:hyperlink r:id="rId8" w:history="1">
        <w:r w:rsidRPr="003C0509">
          <w:rPr>
            <w:rStyle w:val="Hyperlink"/>
            <w:rFonts w:ascii="Arial" w:hAnsi="Arial" w:cs="Arial"/>
            <w:sz w:val="22"/>
            <w:szCs w:val="22"/>
          </w:rPr>
          <w:t>web</w:t>
        </w:r>
        <w:r w:rsidRPr="003C0509">
          <w:rPr>
            <w:rStyle w:val="Hyperlink"/>
            <w:rFonts w:ascii="Arial" w:hAnsi="Arial" w:cs="Arial"/>
            <w:sz w:val="22"/>
            <w:szCs w:val="22"/>
          </w:rPr>
          <w:t>s</w:t>
        </w:r>
        <w:r w:rsidRPr="003C0509">
          <w:rPr>
            <w:rStyle w:val="Hyperlink"/>
            <w:rFonts w:ascii="Arial" w:hAnsi="Arial" w:cs="Arial"/>
            <w:sz w:val="22"/>
            <w:szCs w:val="22"/>
          </w:rPr>
          <w:t>ite</w:t>
        </w:r>
      </w:hyperlink>
    </w:p>
    <w:p w14:paraId="2EE8C90E" w14:textId="77777777" w:rsidR="00961D5E" w:rsidRPr="003C0509" w:rsidRDefault="00961D5E" w:rsidP="00836508">
      <w:pPr>
        <w:pStyle w:val="NormalWeb"/>
        <w:spacing w:before="0" w:beforeAutospacing="0" w:after="0" w:afterAutospacing="0"/>
        <w:ind w:left="360"/>
        <w:rPr>
          <w:rFonts w:ascii="Arial" w:hAnsi="Arial" w:cs="Arial"/>
          <w:sz w:val="22"/>
          <w:szCs w:val="22"/>
        </w:rPr>
      </w:pPr>
    </w:p>
    <w:p w14:paraId="41231A9D" w14:textId="48E2E329" w:rsidR="00421DDD" w:rsidRPr="004B047B" w:rsidRDefault="00421DDD" w:rsidP="00836508">
      <w:pPr>
        <w:pStyle w:val="ListParagraph"/>
        <w:numPr>
          <w:ilvl w:val="1"/>
          <w:numId w:val="9"/>
        </w:numPr>
        <w:ind w:left="360"/>
        <w:rPr>
          <w:rFonts w:ascii="Arial" w:hAnsi="Arial" w:cs="Arial"/>
        </w:rPr>
      </w:pPr>
      <w:r w:rsidRPr="004B047B">
        <w:rPr>
          <w:rFonts w:ascii="Arial" w:hAnsi="Arial" w:cs="Arial"/>
        </w:rPr>
        <w:t>The</w:t>
      </w:r>
      <w:r w:rsidR="00A974C2" w:rsidRPr="004B047B">
        <w:rPr>
          <w:rFonts w:ascii="Arial" w:hAnsi="Arial" w:cs="Arial"/>
        </w:rPr>
        <w:t xml:space="preserve"> </w:t>
      </w:r>
      <w:r w:rsidR="000B0E64" w:rsidRPr="004B047B">
        <w:rPr>
          <w:rFonts w:ascii="Arial" w:hAnsi="Arial" w:cs="Arial"/>
        </w:rPr>
        <w:t>Getting Building Fund programme</w:t>
      </w:r>
      <w:r w:rsidR="00D32CC3" w:rsidRPr="004B047B">
        <w:rPr>
          <w:rFonts w:ascii="Arial" w:hAnsi="Arial" w:cs="Arial"/>
        </w:rPr>
        <w:t xml:space="preserve"> </w:t>
      </w:r>
      <w:r w:rsidR="00A974C2" w:rsidRPr="004B047B">
        <w:rPr>
          <w:rFonts w:ascii="Arial" w:hAnsi="Arial" w:cs="Arial"/>
        </w:rPr>
        <w:t>can be broken down into a number of</w:t>
      </w:r>
      <w:r w:rsidRPr="004B047B">
        <w:rPr>
          <w:rFonts w:ascii="Arial" w:hAnsi="Arial" w:cs="Arial"/>
        </w:rPr>
        <w:t xml:space="preserve"> key features</w:t>
      </w:r>
      <w:r w:rsidR="00A974C2" w:rsidRPr="004B047B">
        <w:rPr>
          <w:rFonts w:ascii="Arial" w:hAnsi="Arial" w:cs="Arial"/>
        </w:rPr>
        <w:t xml:space="preserve"> and groups of interventions which</w:t>
      </w:r>
      <w:r w:rsidRPr="004B047B">
        <w:rPr>
          <w:rFonts w:ascii="Arial" w:hAnsi="Arial" w:cs="Arial"/>
        </w:rPr>
        <w:t xml:space="preserve"> </w:t>
      </w:r>
      <w:r w:rsidR="00D32CC3" w:rsidRPr="004B047B">
        <w:rPr>
          <w:rFonts w:ascii="Arial" w:hAnsi="Arial" w:cs="Arial"/>
        </w:rPr>
        <w:t xml:space="preserve">have come forward within the programme and </w:t>
      </w:r>
      <w:r w:rsidRPr="004B047B">
        <w:rPr>
          <w:rFonts w:ascii="Arial" w:hAnsi="Arial" w:cs="Arial"/>
        </w:rPr>
        <w:t>are:</w:t>
      </w:r>
    </w:p>
    <w:p w14:paraId="2FED97BC" w14:textId="77777777" w:rsidR="004B047B" w:rsidRPr="00B264BB" w:rsidRDefault="004B047B" w:rsidP="004B047B">
      <w:pPr>
        <w:pStyle w:val="ListParagraph"/>
        <w:rPr>
          <w:rFonts w:ascii="Arial" w:hAnsi="Arial" w:cs="Arial"/>
          <w:u w:val="single"/>
        </w:rPr>
      </w:pPr>
    </w:p>
    <w:p w14:paraId="11790CA9" w14:textId="7689F7A7" w:rsidR="00364577" w:rsidRPr="00F36333" w:rsidRDefault="00364577" w:rsidP="00F20752">
      <w:pPr>
        <w:rPr>
          <w:rFonts w:ascii="Arial" w:hAnsi="Arial" w:cs="Arial"/>
        </w:rPr>
      </w:pPr>
      <w:r w:rsidRPr="00B264BB">
        <w:rPr>
          <w:rFonts w:ascii="Arial" w:hAnsi="Arial" w:cs="Arial"/>
          <w:u w:val="single"/>
        </w:rPr>
        <w:t xml:space="preserve">Support </w:t>
      </w:r>
      <w:r w:rsidR="001C53A1" w:rsidRPr="00B264BB">
        <w:rPr>
          <w:rFonts w:ascii="Arial" w:hAnsi="Arial" w:cs="Arial"/>
          <w:u w:val="single"/>
        </w:rPr>
        <w:t>for businesses through new innovation and enterprise space</w:t>
      </w:r>
      <w:r w:rsidR="001C53A1" w:rsidRPr="00F36333">
        <w:rPr>
          <w:rFonts w:ascii="Arial" w:hAnsi="Arial" w:cs="Arial"/>
        </w:rPr>
        <w:t>:</w:t>
      </w:r>
    </w:p>
    <w:p w14:paraId="25EEBCB4" w14:textId="7384A02E" w:rsidR="001C53A1" w:rsidRPr="00F36333" w:rsidRDefault="00910B43" w:rsidP="001C53A1">
      <w:pPr>
        <w:pStyle w:val="ListParagraph"/>
        <w:numPr>
          <w:ilvl w:val="0"/>
          <w:numId w:val="15"/>
        </w:numPr>
        <w:rPr>
          <w:rFonts w:ascii="Arial" w:hAnsi="Arial" w:cs="Arial"/>
        </w:rPr>
      </w:pPr>
      <w:r w:rsidRPr="00F36333">
        <w:rPr>
          <w:rFonts w:ascii="Arial" w:hAnsi="Arial" w:cs="Arial"/>
        </w:rPr>
        <w:t>Innovation Centre 7, Keele University</w:t>
      </w:r>
      <w:r w:rsidR="007669D2" w:rsidRPr="00F36333">
        <w:rPr>
          <w:rFonts w:ascii="Arial" w:hAnsi="Arial" w:cs="Arial"/>
        </w:rPr>
        <w:t xml:space="preserve"> </w:t>
      </w:r>
      <w:r w:rsidR="007669D2" w:rsidRPr="00F36333">
        <w:rPr>
          <w:rFonts w:ascii="Arial" w:hAnsi="Arial" w:cs="Arial"/>
          <w:color w:val="000000"/>
          <w:shd w:val="clear" w:color="auto" w:fill="FFFFFF"/>
        </w:rPr>
        <w:t>will deliver 2,696m2 of BREEAM excellent innovation space at the Keele Growth Corridor University Enterprise Zone. The centre will focus on the grand challenge areas of artificial intelligence, machine learning and a data-driven digital economy. It will enable delivery of a business transformation programme focussing on supporting SMEs develop their understanding and use of advanced data analytics and related digital technologies creating over 175 jobs and contributing a net additional £10m of GVA per annum.</w:t>
      </w:r>
    </w:p>
    <w:p w14:paraId="58B8B052" w14:textId="0038028B" w:rsidR="00910B43" w:rsidRPr="00F36333" w:rsidRDefault="00154522" w:rsidP="001C53A1">
      <w:pPr>
        <w:pStyle w:val="ListParagraph"/>
        <w:numPr>
          <w:ilvl w:val="0"/>
          <w:numId w:val="15"/>
        </w:numPr>
        <w:rPr>
          <w:rFonts w:ascii="Arial" w:hAnsi="Arial" w:cs="Arial"/>
        </w:rPr>
      </w:pPr>
      <w:r>
        <w:rPr>
          <w:rFonts w:ascii="Arial" w:hAnsi="Arial" w:cs="Arial"/>
        </w:rPr>
        <w:t xml:space="preserve">Creative Lab (formerly named </w:t>
      </w:r>
      <w:r w:rsidR="00910B43" w:rsidRPr="00F36333">
        <w:rPr>
          <w:rFonts w:ascii="Arial" w:hAnsi="Arial" w:cs="Arial"/>
        </w:rPr>
        <w:t>New Enterprise Collaboratory</w:t>
      </w:r>
      <w:r>
        <w:rPr>
          <w:rFonts w:ascii="Arial" w:hAnsi="Arial" w:cs="Arial"/>
        </w:rPr>
        <w:t>)</w:t>
      </w:r>
      <w:r w:rsidR="007669D2" w:rsidRPr="00F36333">
        <w:rPr>
          <w:rFonts w:ascii="Arial" w:hAnsi="Arial" w:cs="Arial"/>
        </w:rPr>
        <w:t xml:space="preserve"> </w:t>
      </w:r>
      <w:r w:rsidR="005B579E" w:rsidRPr="00F36333">
        <w:rPr>
          <w:rFonts w:ascii="Arial" w:hAnsi="Arial" w:cs="Arial"/>
          <w:color w:val="000000"/>
          <w:shd w:val="clear" w:color="auto" w:fill="FFFFFF"/>
        </w:rPr>
        <w:t xml:space="preserve">will accelerate and strengthen the creation, survival and growth of business start-ups through access to specialist equipment, co-working environment and wider enabling facilities and support within the University's Innovation Enterprise Zone. The </w:t>
      </w:r>
      <w:r>
        <w:rPr>
          <w:rFonts w:ascii="Arial" w:hAnsi="Arial" w:cs="Arial"/>
          <w:color w:val="000000"/>
          <w:shd w:val="clear" w:color="auto" w:fill="FFFFFF"/>
        </w:rPr>
        <w:t>collaborative space</w:t>
      </w:r>
      <w:r w:rsidR="005B579E" w:rsidRPr="00F36333">
        <w:rPr>
          <w:rFonts w:ascii="Arial" w:hAnsi="Arial" w:cs="Arial"/>
          <w:color w:val="000000"/>
          <w:shd w:val="clear" w:color="auto" w:fill="FFFFFF"/>
        </w:rPr>
        <w:t xml:space="preserve"> will be centred at heart of Staffordshire University’s Stoke on Trent campus and an evolving enterprise and innovation ecosystem encompassing access to expertise, research, students, specialist support and innovation platforms.</w:t>
      </w:r>
    </w:p>
    <w:p w14:paraId="38C8CB3C" w14:textId="4D995ADF" w:rsidR="00910B43" w:rsidRPr="00F36333" w:rsidRDefault="00910B43" w:rsidP="00910B43">
      <w:pPr>
        <w:pStyle w:val="ListParagraph"/>
        <w:numPr>
          <w:ilvl w:val="0"/>
          <w:numId w:val="15"/>
        </w:numPr>
        <w:rPr>
          <w:rFonts w:ascii="Arial" w:hAnsi="Arial" w:cs="Arial"/>
        </w:rPr>
      </w:pPr>
      <w:r w:rsidRPr="00F36333">
        <w:rPr>
          <w:rFonts w:ascii="Arial" w:hAnsi="Arial" w:cs="Arial"/>
        </w:rPr>
        <w:t>Powering Up Enterprise</w:t>
      </w:r>
      <w:r w:rsidR="00983A5E" w:rsidRPr="00F36333">
        <w:rPr>
          <w:rFonts w:ascii="Arial" w:hAnsi="Arial" w:cs="Arial"/>
        </w:rPr>
        <w:t xml:space="preserve"> - a suite of </w:t>
      </w:r>
      <w:r w:rsidR="005C3AE5" w:rsidRPr="00F36333">
        <w:rPr>
          <w:rFonts w:ascii="Arial" w:hAnsi="Arial" w:cs="Arial"/>
        </w:rPr>
        <w:t xml:space="preserve">6 </w:t>
      </w:r>
      <w:r w:rsidR="00983A5E" w:rsidRPr="00F36333">
        <w:rPr>
          <w:rFonts w:ascii="Arial" w:hAnsi="Arial" w:cs="Arial"/>
        </w:rPr>
        <w:t>properties</w:t>
      </w:r>
      <w:r w:rsidR="005C3AE5" w:rsidRPr="00F36333">
        <w:rPr>
          <w:rFonts w:ascii="Arial" w:hAnsi="Arial" w:cs="Arial"/>
        </w:rPr>
        <w:t>, 5 of which are within the ownership of Stoke on Trent City Council,</w:t>
      </w:r>
      <w:r w:rsidR="00983A5E" w:rsidRPr="00F36333">
        <w:rPr>
          <w:rFonts w:ascii="Arial" w:hAnsi="Arial" w:cs="Arial"/>
        </w:rPr>
        <w:t xml:space="preserve"> suitable for conver</w:t>
      </w:r>
      <w:r w:rsidR="00ED7F0F" w:rsidRPr="00F36333">
        <w:rPr>
          <w:rFonts w:ascii="Arial" w:hAnsi="Arial" w:cs="Arial"/>
        </w:rPr>
        <w:t>sion</w:t>
      </w:r>
      <w:r w:rsidR="00983A5E" w:rsidRPr="00F36333">
        <w:rPr>
          <w:rFonts w:ascii="Arial" w:hAnsi="Arial" w:cs="Arial"/>
        </w:rPr>
        <w:t xml:space="preserve"> into new start-up / enterprise </w:t>
      </w:r>
      <w:r w:rsidR="00983A5E" w:rsidRPr="00F36333">
        <w:rPr>
          <w:rFonts w:ascii="Arial" w:hAnsi="Arial" w:cs="Arial"/>
        </w:rPr>
        <w:lastRenderedPageBreak/>
        <w:t>space</w:t>
      </w:r>
      <w:r w:rsidR="00747805" w:rsidRPr="00F36333">
        <w:rPr>
          <w:rFonts w:ascii="Arial" w:hAnsi="Arial" w:cs="Arial"/>
        </w:rPr>
        <w:t xml:space="preserve">. This </w:t>
      </w:r>
      <w:r w:rsidR="00A8244C" w:rsidRPr="00F36333">
        <w:rPr>
          <w:rFonts w:ascii="Arial" w:hAnsi="Arial" w:cs="Arial"/>
        </w:rPr>
        <w:t xml:space="preserve">provision of new floorspace, with an accessible local business support network, removes a significant barrier between the idea of starting up and making it a reality.  </w:t>
      </w:r>
    </w:p>
    <w:p w14:paraId="3387CADD" w14:textId="636BFB00" w:rsidR="00E903DF" w:rsidRDefault="00910B43" w:rsidP="00E903DF">
      <w:pPr>
        <w:pStyle w:val="ListParagraph"/>
        <w:numPr>
          <w:ilvl w:val="0"/>
          <w:numId w:val="15"/>
        </w:numPr>
        <w:spacing w:after="0" w:line="240" w:lineRule="auto"/>
        <w:rPr>
          <w:rFonts w:ascii="Arial" w:hAnsi="Arial" w:cs="Arial"/>
          <w:bCs/>
        </w:rPr>
      </w:pPr>
      <w:r w:rsidRPr="00F36333">
        <w:rPr>
          <w:rFonts w:ascii="Arial" w:hAnsi="Arial" w:cs="Arial"/>
        </w:rPr>
        <w:t>Shire Hall Business Hub</w:t>
      </w:r>
      <w:r w:rsidR="000E1B3D" w:rsidRPr="00F36333">
        <w:rPr>
          <w:rFonts w:ascii="Arial" w:hAnsi="Arial" w:cs="Arial"/>
        </w:rPr>
        <w:t xml:space="preserve"> - </w:t>
      </w:r>
      <w:r w:rsidR="000E1B3D" w:rsidRPr="00F36333">
        <w:rPr>
          <w:rFonts w:ascii="Arial" w:hAnsi="Arial" w:cs="Arial"/>
          <w:bCs/>
        </w:rPr>
        <w:t xml:space="preserve">the GBF bid focuses on the creation of the Business Hub </w:t>
      </w:r>
      <w:r w:rsidR="00E903DF" w:rsidRPr="00F36333">
        <w:rPr>
          <w:rFonts w:ascii="Arial" w:hAnsi="Arial" w:cs="Arial"/>
          <w:bCs/>
        </w:rPr>
        <w:t xml:space="preserve">in the newer part of the building </w:t>
      </w:r>
      <w:r w:rsidR="000E1B3D" w:rsidRPr="00F36333">
        <w:rPr>
          <w:rFonts w:ascii="Arial" w:hAnsi="Arial" w:cs="Arial"/>
          <w:bCs/>
        </w:rPr>
        <w:t>and improvements to the Assembly Hall events/exhibition area</w:t>
      </w:r>
      <w:r w:rsidR="00E903DF" w:rsidRPr="00F36333">
        <w:rPr>
          <w:rFonts w:ascii="Arial" w:hAnsi="Arial" w:cs="Arial"/>
          <w:bCs/>
        </w:rPr>
        <w:t xml:space="preserve">. The business hub will deliver 42 jobs, create 21 new business units and £12,000 sq m of new business floorspace, together with </w:t>
      </w:r>
      <w:r w:rsidR="006021F0" w:rsidRPr="00F36333">
        <w:rPr>
          <w:rFonts w:ascii="Arial" w:hAnsi="Arial" w:cs="Arial"/>
          <w:bCs/>
        </w:rPr>
        <w:t xml:space="preserve">bringing an important historic building into re-use and </w:t>
      </w:r>
      <w:r w:rsidR="00E903DF" w:rsidRPr="00F36333">
        <w:rPr>
          <w:rFonts w:ascii="Arial" w:hAnsi="Arial" w:cs="Arial"/>
          <w:bCs/>
        </w:rPr>
        <w:t>the resulting positive impact on the economic prosperity of the County Town.</w:t>
      </w:r>
    </w:p>
    <w:p w14:paraId="408909D0" w14:textId="77777777" w:rsidR="004B047B" w:rsidRPr="00F36333" w:rsidRDefault="004B047B" w:rsidP="004B047B">
      <w:pPr>
        <w:pStyle w:val="ListParagraph"/>
        <w:spacing w:after="0" w:line="240" w:lineRule="auto"/>
        <w:rPr>
          <w:rFonts w:ascii="Arial" w:hAnsi="Arial" w:cs="Arial"/>
          <w:bCs/>
        </w:rPr>
      </w:pPr>
    </w:p>
    <w:p w14:paraId="38FDEE8A" w14:textId="77777777" w:rsidR="004B047B" w:rsidRPr="004D2092" w:rsidRDefault="004B047B" w:rsidP="004B047B">
      <w:pPr>
        <w:spacing w:after="200" w:line="276" w:lineRule="auto"/>
        <w:rPr>
          <w:rFonts w:ascii="Arial" w:hAnsi="Arial" w:cs="Arial"/>
          <w:b/>
        </w:rPr>
      </w:pPr>
      <w:r w:rsidRPr="00B264BB">
        <w:rPr>
          <w:rFonts w:ascii="Arial" w:hAnsi="Arial" w:cs="Arial"/>
          <w:u w:val="single"/>
        </w:rPr>
        <w:t>A programme of Digital Skills Project investments including</w:t>
      </w:r>
      <w:r w:rsidRPr="004D2092">
        <w:rPr>
          <w:rFonts w:ascii="Arial" w:hAnsi="Arial" w:cs="Arial"/>
        </w:rPr>
        <w:t>:</w:t>
      </w:r>
    </w:p>
    <w:p w14:paraId="00B4E600" w14:textId="31A652AE" w:rsidR="004B047B" w:rsidRPr="00096F1E" w:rsidRDefault="004B047B" w:rsidP="004B047B">
      <w:pPr>
        <w:pStyle w:val="ListParagraph"/>
        <w:numPr>
          <w:ilvl w:val="0"/>
          <w:numId w:val="13"/>
        </w:numPr>
        <w:spacing w:after="200" w:line="276" w:lineRule="auto"/>
        <w:rPr>
          <w:rFonts w:ascii="Arial" w:hAnsi="Arial" w:cs="Arial"/>
          <w:b/>
        </w:rPr>
      </w:pPr>
      <w:r w:rsidRPr="004D2092">
        <w:rPr>
          <w:rFonts w:ascii="Arial" w:hAnsi="Arial" w:cs="Arial"/>
        </w:rPr>
        <w:t xml:space="preserve">Health Innovation Centre – Staffordshire University’s new ground-breaking initiative </w:t>
      </w:r>
      <w:r w:rsidRPr="004D2092">
        <w:rPr>
          <w:rFonts w:ascii="Arial" w:hAnsi="Arial" w:cs="Arial"/>
          <w:color w:val="000000"/>
          <w:shd w:val="clear" w:color="auto" w:fill="FFFFFF"/>
        </w:rPr>
        <w:t xml:space="preserve">will use advanced VR and AR technology; this new capability incorporates advanced digital simulation and immersion suites that enable healthcare students and existing professionals to explore and develop new patient safety techniques. </w:t>
      </w:r>
    </w:p>
    <w:p w14:paraId="54BE99FA" w14:textId="43F88FA9" w:rsidR="00096F1E" w:rsidRPr="0080174E" w:rsidRDefault="00FC2058" w:rsidP="004B047B">
      <w:pPr>
        <w:pStyle w:val="ListParagraph"/>
        <w:numPr>
          <w:ilvl w:val="0"/>
          <w:numId w:val="13"/>
        </w:numPr>
        <w:spacing w:after="200" w:line="276" w:lineRule="auto"/>
        <w:rPr>
          <w:rFonts w:ascii="Arial" w:hAnsi="Arial" w:cs="Arial"/>
          <w:b/>
        </w:rPr>
      </w:pPr>
      <w:r>
        <w:rPr>
          <w:rFonts w:ascii="Arial" w:hAnsi="Arial" w:cs="Arial"/>
          <w:color w:val="000000"/>
          <w:shd w:val="clear" w:color="auto" w:fill="FFFFFF"/>
        </w:rPr>
        <w:t xml:space="preserve">Church Street gaming Hub - </w:t>
      </w:r>
      <w:r w:rsidR="006446E0" w:rsidRPr="006446E0">
        <w:rPr>
          <w:rFonts w:ascii="Arial" w:hAnsi="Arial" w:cs="Arial"/>
          <w:color w:val="000000"/>
          <w:shd w:val="clear" w:color="auto" w:fill="FFFFFF"/>
        </w:rPr>
        <w:t>The Church Street Gaming Hub is a collaboration between Stoke-on-Trent City Council, VX Fiber and Staffordshire University in part of the Spode site. With a strong focus on the more innovative area of game streaming platforms the hub will provide educational and training support for video game development and programming across the community, offering digital skill opportunities for those upskilling, for school leavers and NEETS, as well as opportunities for graduate internships. Encouraging engagement with the central hub through a community hub system, the Innovation Hub will provide opportunities for all areas of the community. As well as an educational and training function the hub will provide an ideal environment as an incubator for business start-ups.</w:t>
      </w:r>
    </w:p>
    <w:p w14:paraId="31AC0E8D" w14:textId="0E61E00F" w:rsidR="0080174E" w:rsidRPr="00571906" w:rsidRDefault="0080174E" w:rsidP="004B047B">
      <w:pPr>
        <w:pStyle w:val="ListParagraph"/>
        <w:numPr>
          <w:ilvl w:val="0"/>
          <w:numId w:val="13"/>
        </w:numPr>
        <w:spacing w:after="200" w:line="276" w:lineRule="auto"/>
        <w:rPr>
          <w:rFonts w:ascii="Arial" w:hAnsi="Arial" w:cs="Arial"/>
          <w:b/>
        </w:rPr>
      </w:pPr>
      <w:r>
        <w:rPr>
          <w:rFonts w:ascii="Arial" w:hAnsi="Arial" w:cs="Arial"/>
          <w:color w:val="000000"/>
          <w:shd w:val="clear" w:color="auto" w:fill="FFFFFF"/>
        </w:rPr>
        <w:t xml:space="preserve">Cleveland Future Skills Hub </w:t>
      </w:r>
      <w:r w:rsidR="00C6288F">
        <w:rPr>
          <w:rFonts w:ascii="Arial" w:hAnsi="Arial" w:cs="Arial"/>
          <w:color w:val="000000"/>
          <w:shd w:val="clear" w:color="auto" w:fill="FFFFFF"/>
        </w:rPr>
        <w:t>–</w:t>
      </w:r>
      <w:r>
        <w:rPr>
          <w:rFonts w:ascii="Arial" w:hAnsi="Arial" w:cs="Arial"/>
          <w:color w:val="000000"/>
          <w:shd w:val="clear" w:color="auto" w:fill="FFFFFF"/>
        </w:rPr>
        <w:t xml:space="preserve"> </w:t>
      </w:r>
      <w:r w:rsidR="00C6288F">
        <w:rPr>
          <w:rFonts w:ascii="Arial" w:hAnsi="Arial" w:cs="Arial"/>
          <w:color w:val="000000"/>
          <w:shd w:val="clear" w:color="auto" w:fill="FFFFFF"/>
        </w:rPr>
        <w:t xml:space="preserve">to </w:t>
      </w:r>
      <w:r w:rsidR="00C6288F" w:rsidRPr="00C6288F">
        <w:rPr>
          <w:rFonts w:ascii="Arial" w:hAnsi="Arial" w:cs="Arial"/>
          <w:color w:val="000000"/>
          <w:shd w:val="clear" w:color="auto" w:fill="FFFFFF"/>
        </w:rPr>
        <w:t>provide refurbished facilities enabling more flexible education areas – providing greater capacity and improved resilience for the delivery of training courses. (e.g. in Covid-secure teaching arrangements). It will also enable PM Training to deliver the digital elements of their original submission – including digital and creative skills (e.g. Cyber Security, Digital Support, Software development, IS Solutions).</w:t>
      </w:r>
    </w:p>
    <w:p w14:paraId="17C1E55D" w14:textId="33D467B7" w:rsidR="00571906" w:rsidRPr="00571906" w:rsidRDefault="00571906" w:rsidP="00571906">
      <w:pPr>
        <w:spacing w:after="200" w:line="276" w:lineRule="auto"/>
        <w:rPr>
          <w:rFonts w:ascii="Arial" w:hAnsi="Arial" w:cs="Arial"/>
          <w:bCs/>
        </w:rPr>
      </w:pPr>
      <w:r w:rsidRPr="00571906">
        <w:rPr>
          <w:rFonts w:ascii="Arial" w:hAnsi="Arial" w:cs="Arial"/>
          <w:bCs/>
        </w:rPr>
        <w:t xml:space="preserve">and </w:t>
      </w:r>
      <w:r w:rsidRPr="00B264BB">
        <w:rPr>
          <w:rFonts w:ascii="Arial" w:hAnsi="Arial" w:cs="Arial"/>
          <w:bCs/>
          <w:u w:val="single"/>
        </w:rPr>
        <w:t>Digital Skills Projects for young people</w:t>
      </w:r>
      <w:r w:rsidRPr="00571906">
        <w:rPr>
          <w:rFonts w:ascii="Arial" w:hAnsi="Arial" w:cs="Arial"/>
          <w:bCs/>
        </w:rPr>
        <w:t>:</w:t>
      </w:r>
    </w:p>
    <w:p w14:paraId="36E83484" w14:textId="77777777" w:rsidR="004B047B" w:rsidRPr="004D2092" w:rsidRDefault="004B047B" w:rsidP="004B047B">
      <w:pPr>
        <w:pStyle w:val="ListParagraph"/>
        <w:numPr>
          <w:ilvl w:val="0"/>
          <w:numId w:val="13"/>
        </w:numPr>
        <w:rPr>
          <w:rFonts w:ascii="Arial" w:hAnsi="Arial" w:cs="Arial"/>
          <w:lang w:val="en-US"/>
        </w:rPr>
      </w:pPr>
      <w:r w:rsidRPr="004D2092">
        <w:rPr>
          <w:rFonts w:ascii="Arial" w:hAnsi="Arial" w:cs="Arial"/>
          <w:color w:val="000000"/>
          <w:shd w:val="clear" w:color="auto" w:fill="FFFFFF"/>
        </w:rPr>
        <w:t>SEF C – Digital Skills Academy</w:t>
      </w:r>
      <w:r w:rsidRPr="004D2092">
        <w:rPr>
          <w:rFonts w:ascii="Arial" w:hAnsi="Arial" w:cs="Arial"/>
        </w:rPr>
        <w:t xml:space="preserve">.  South Staffs College The Digital Skills Academy will provide digital hubs at Cannock &amp; Tamworth to provide access to high quality skills training supported by state of the art physical and digitally simulated environments in order to develop the skills needed by local and regional employers.  </w:t>
      </w:r>
      <w:r w:rsidRPr="004D2092">
        <w:rPr>
          <w:rFonts w:ascii="Arial" w:hAnsi="Arial" w:cs="Arial"/>
          <w:lang w:val="en-US"/>
        </w:rPr>
        <w:t>The Digital Skills Academy will provide technical and industry relevant courses on Microsoft and Huawei as well as emerging technologies such as Artificial Intelligence, Augmented Reality, Virtual Reality, 5G routing and switching, security, Wireless Local Area networks, cloud, storage, and big data. </w:t>
      </w:r>
    </w:p>
    <w:p w14:paraId="05336D5F" w14:textId="00E57201" w:rsidR="004B047B" w:rsidRPr="004D2092" w:rsidRDefault="004B047B" w:rsidP="004B047B">
      <w:pPr>
        <w:pStyle w:val="ListParagraph"/>
        <w:numPr>
          <w:ilvl w:val="0"/>
          <w:numId w:val="13"/>
        </w:numPr>
        <w:spacing w:after="200" w:line="276" w:lineRule="auto"/>
        <w:rPr>
          <w:rFonts w:ascii="Arial" w:hAnsi="Arial" w:cs="Arial"/>
          <w:color w:val="000000"/>
          <w:shd w:val="clear" w:color="auto" w:fill="FFFFFF"/>
        </w:rPr>
      </w:pPr>
      <w:r w:rsidRPr="004D2092">
        <w:rPr>
          <w:rFonts w:ascii="Arial" w:hAnsi="Arial" w:cs="Arial"/>
          <w:b/>
          <w:bCs/>
          <w:color w:val="000000"/>
          <w:shd w:val="clear" w:color="auto" w:fill="FFFFFF"/>
        </w:rPr>
        <w:t xml:space="preserve"> </w:t>
      </w:r>
      <w:r w:rsidRPr="004D2092">
        <w:rPr>
          <w:rFonts w:ascii="Arial" w:hAnsi="Arial" w:cs="Arial"/>
          <w:color w:val="000000"/>
          <w:shd w:val="clear" w:color="auto" w:fill="FFFFFF"/>
        </w:rPr>
        <w:t xml:space="preserve">SEF F - Creative and Digital Industries Project Phase 2.  Stoke on Trent College.  Incorporates the completion of the remodelling and refurbishment of the New Library Building to create a collaborative learning space for the development of digital skills including coding and software engineering for Digital Arts and Engineering learners at advanced and higher levels enabling them to progress to Higher Education or into local jobs. The investment will support skills growth for existing and new business </w:t>
      </w:r>
      <w:r w:rsidRPr="004D2092">
        <w:rPr>
          <w:rFonts w:ascii="Arial" w:hAnsi="Arial" w:cs="Arial"/>
          <w:color w:val="000000"/>
          <w:shd w:val="clear" w:color="auto" w:fill="FFFFFF"/>
        </w:rPr>
        <w:lastRenderedPageBreak/>
        <w:t>start-ups emerging from labour market restructuring in North Staffs and the City of Stoke-on-Trent.</w:t>
      </w:r>
    </w:p>
    <w:p w14:paraId="20F7840B" w14:textId="51A6BD39" w:rsidR="004B047B" w:rsidRDefault="004B047B" w:rsidP="004B047B">
      <w:pPr>
        <w:pStyle w:val="ListParagraph"/>
        <w:numPr>
          <w:ilvl w:val="0"/>
          <w:numId w:val="13"/>
        </w:numPr>
        <w:spacing w:after="200" w:line="276" w:lineRule="auto"/>
        <w:rPr>
          <w:rFonts w:ascii="Arial" w:hAnsi="Arial" w:cs="Arial"/>
          <w:color w:val="000000"/>
          <w:shd w:val="clear" w:color="auto" w:fill="FFFFFF"/>
        </w:rPr>
      </w:pPr>
      <w:r w:rsidRPr="004D2092">
        <w:rPr>
          <w:rFonts w:ascii="Arial" w:hAnsi="Arial" w:cs="Arial"/>
          <w:color w:val="000000"/>
          <w:shd w:val="clear" w:color="auto" w:fill="FFFFFF"/>
        </w:rPr>
        <w:t>SEF H - Digital Construction Skills.  Stoke on Trent College. The College would expand the use of the AR/ VR hubs at both sites to incorporate building information management hardware and software. Students will benefit from the opportunity to engage and interact with the latest digital technologies expanding their existing industrial skills and knowledge making them more productive and effective. They will be work ready to support the supply of sites and commercial premises. There will be an emphasis on low carbon technology to future proof students’ skills and to ensure significant improvements in economic productivity for the city and for the region.</w:t>
      </w:r>
    </w:p>
    <w:p w14:paraId="04B60216" w14:textId="0391CAE5" w:rsidR="00BB2E7E" w:rsidRDefault="00BB2E7E" w:rsidP="004B047B">
      <w:pPr>
        <w:pStyle w:val="ListParagraph"/>
        <w:numPr>
          <w:ilvl w:val="0"/>
          <w:numId w:val="13"/>
        </w:numPr>
        <w:spacing w:after="200" w:line="276" w:lineRule="auto"/>
        <w:rPr>
          <w:rFonts w:ascii="Arial" w:hAnsi="Arial" w:cs="Arial"/>
          <w:color w:val="000000"/>
          <w:shd w:val="clear" w:color="auto" w:fill="FFFFFF"/>
        </w:rPr>
      </w:pPr>
      <w:r>
        <w:rPr>
          <w:rFonts w:ascii="Arial" w:hAnsi="Arial" w:cs="Arial"/>
          <w:color w:val="000000"/>
          <w:shd w:val="clear" w:color="auto" w:fill="FFFFFF"/>
        </w:rPr>
        <w:t>SEF G – JCB Automation and Robotics suite.</w:t>
      </w:r>
      <w:r w:rsidR="00FD3CE2">
        <w:rPr>
          <w:rFonts w:ascii="Arial" w:hAnsi="Arial" w:cs="Arial"/>
          <w:color w:val="000000"/>
          <w:shd w:val="clear" w:color="auto" w:fill="FFFFFF"/>
        </w:rPr>
        <w:t xml:space="preserve">  </w:t>
      </w:r>
      <w:r w:rsidR="00FD3CE2" w:rsidRPr="00FD3CE2">
        <w:rPr>
          <w:rFonts w:ascii="Arial" w:hAnsi="Arial" w:cs="Arial"/>
          <w:color w:val="000000"/>
          <w:shd w:val="clear" w:color="auto" w:fill="FFFFFF"/>
        </w:rPr>
        <w:t>The scheme will create an Automation &amp; Robotics Suite to include a Control and Automation Suite, a cad &amp; visualisation suite and an independent study area. The suite will enable the expansion of curriculum in both the mechanical and electronic sector from level 1 to level 3. The facility will provide a bureau of specialist knowledge and equipment and will allow smaller employers access to emerging technologies and advice.</w:t>
      </w:r>
    </w:p>
    <w:p w14:paraId="387205DA" w14:textId="77777777" w:rsidR="00F20752" w:rsidRPr="004B047B" w:rsidRDefault="003F134C" w:rsidP="00F20752">
      <w:pPr>
        <w:rPr>
          <w:rFonts w:ascii="Arial" w:hAnsi="Arial" w:cs="Arial"/>
        </w:rPr>
      </w:pPr>
      <w:r w:rsidRPr="00B264BB">
        <w:rPr>
          <w:rFonts w:ascii="Arial" w:hAnsi="Arial" w:cs="Arial"/>
          <w:u w:val="single"/>
        </w:rPr>
        <w:t>I</w:t>
      </w:r>
      <w:r w:rsidR="003F56B0" w:rsidRPr="00B264BB">
        <w:rPr>
          <w:rFonts w:ascii="Arial" w:hAnsi="Arial" w:cs="Arial"/>
          <w:u w:val="single"/>
        </w:rPr>
        <w:t>nvestment in sustainable transport options</w:t>
      </w:r>
      <w:r w:rsidR="00F20752" w:rsidRPr="004B047B">
        <w:rPr>
          <w:rFonts w:ascii="Arial" w:hAnsi="Arial" w:cs="Arial"/>
        </w:rPr>
        <w:t xml:space="preserve">:  </w:t>
      </w:r>
      <w:r w:rsidR="003F56B0" w:rsidRPr="004B047B">
        <w:rPr>
          <w:rFonts w:ascii="Arial" w:hAnsi="Arial" w:cs="Arial"/>
        </w:rPr>
        <w:t xml:space="preserve"> </w:t>
      </w:r>
    </w:p>
    <w:p w14:paraId="34711F4E" w14:textId="1936E7EB" w:rsidR="00F20752" w:rsidRPr="004B047B" w:rsidRDefault="00AE23EE" w:rsidP="00F20752">
      <w:pPr>
        <w:pStyle w:val="ListParagraph"/>
        <w:numPr>
          <w:ilvl w:val="0"/>
          <w:numId w:val="13"/>
        </w:numPr>
        <w:rPr>
          <w:rFonts w:ascii="Arial" w:hAnsi="Arial" w:cs="Arial"/>
        </w:rPr>
      </w:pPr>
      <w:r w:rsidRPr="004B047B">
        <w:rPr>
          <w:rFonts w:ascii="Arial" w:hAnsi="Arial" w:cs="Arial"/>
        </w:rPr>
        <w:t>Staffordshire Local Sustainable Transport scheme</w:t>
      </w:r>
      <w:r w:rsidR="00D9069B" w:rsidRPr="004B047B">
        <w:rPr>
          <w:rFonts w:ascii="Arial" w:hAnsi="Arial" w:cs="Arial"/>
        </w:rPr>
        <w:t xml:space="preserve"> – a package of 6 schemes that </w:t>
      </w:r>
      <w:r w:rsidR="00F20752" w:rsidRPr="004B047B">
        <w:rPr>
          <w:rFonts w:ascii="Arial" w:hAnsi="Arial" w:cs="Arial"/>
        </w:rPr>
        <w:t>will deliver 3.6km of walking/cycling infrastructure in Tamworth, Biddulph, Burton, Uttoxeter, Burntwood and Eccleshall.  These will to retain and expand the rediscovery of active travel seen throughout the COVID-19 pandemic, support community priorities and promote health and mental well-being, access to jobs, social inclusivity and a sustainable alternative to public transport</w:t>
      </w:r>
      <w:r w:rsidR="004B047B" w:rsidRPr="004B047B">
        <w:rPr>
          <w:rFonts w:ascii="Arial" w:hAnsi="Arial" w:cs="Arial"/>
        </w:rPr>
        <w:t>.</w:t>
      </w:r>
    </w:p>
    <w:p w14:paraId="7E631DC7" w14:textId="41F969B7" w:rsidR="004D2092" w:rsidRDefault="00571906" w:rsidP="004D2092">
      <w:pPr>
        <w:spacing w:after="200" w:line="276" w:lineRule="auto"/>
        <w:rPr>
          <w:rFonts w:ascii="Arial" w:hAnsi="Arial" w:cs="Arial"/>
          <w:color w:val="000000"/>
          <w:shd w:val="clear" w:color="auto" w:fill="FFFFFF"/>
        </w:rPr>
      </w:pPr>
      <w:r w:rsidRPr="00B264BB">
        <w:rPr>
          <w:rFonts w:ascii="Arial" w:hAnsi="Arial" w:cs="Arial"/>
          <w:color w:val="000000"/>
          <w:u w:val="single"/>
          <w:shd w:val="clear" w:color="auto" w:fill="FFFFFF"/>
        </w:rPr>
        <w:t xml:space="preserve">Major </w:t>
      </w:r>
      <w:r w:rsidR="007076B0" w:rsidRPr="00B264BB">
        <w:rPr>
          <w:rFonts w:ascii="Arial" w:hAnsi="Arial" w:cs="Arial"/>
          <w:color w:val="000000"/>
          <w:u w:val="single"/>
          <w:shd w:val="clear" w:color="auto" w:fill="FFFFFF"/>
        </w:rPr>
        <w:t>infrastructure to unlock development sites for employment</w:t>
      </w:r>
      <w:r w:rsidR="007076B0">
        <w:rPr>
          <w:rFonts w:ascii="Arial" w:hAnsi="Arial" w:cs="Arial"/>
          <w:color w:val="000000"/>
          <w:shd w:val="clear" w:color="auto" w:fill="FFFFFF"/>
        </w:rPr>
        <w:t>:</w:t>
      </w:r>
    </w:p>
    <w:p w14:paraId="2270A70F" w14:textId="66CAEBDC" w:rsidR="00BB2027" w:rsidRDefault="00BB2027" w:rsidP="00BB2027">
      <w:pPr>
        <w:pStyle w:val="ListParagraph"/>
        <w:numPr>
          <w:ilvl w:val="0"/>
          <w:numId w:val="13"/>
        </w:numPr>
        <w:spacing w:after="200" w:line="276" w:lineRule="auto"/>
        <w:rPr>
          <w:rFonts w:ascii="Arial" w:hAnsi="Arial" w:cs="Arial"/>
          <w:color w:val="000000"/>
          <w:shd w:val="clear" w:color="auto" w:fill="FFFFFF"/>
        </w:rPr>
      </w:pPr>
      <w:r w:rsidRPr="00BB2027">
        <w:rPr>
          <w:rFonts w:ascii="Arial" w:hAnsi="Arial" w:cs="Arial"/>
          <w:color w:val="000000"/>
          <w:shd w:val="clear" w:color="auto" w:fill="FFFFFF"/>
        </w:rPr>
        <w:t xml:space="preserve">The Western Extension to the highly successful i54 South Staffordshire site will enable 60 acres of prime employment land, which can accommodate up to 1 million square of employment floor space and is expected to create up to 1700 jobs and generate £110 million of Gross </w:t>
      </w:r>
      <w:r w:rsidR="00AE5BC3" w:rsidRPr="00BB2027">
        <w:rPr>
          <w:rFonts w:ascii="Arial" w:hAnsi="Arial" w:cs="Arial"/>
          <w:color w:val="000000"/>
          <w:shd w:val="clear" w:color="auto" w:fill="FFFFFF"/>
        </w:rPr>
        <w:t>Value-Added</w:t>
      </w:r>
      <w:r w:rsidRPr="00BB2027">
        <w:rPr>
          <w:rFonts w:ascii="Arial" w:hAnsi="Arial" w:cs="Arial"/>
          <w:color w:val="000000"/>
          <w:shd w:val="clear" w:color="auto" w:fill="FFFFFF"/>
        </w:rPr>
        <w:t xml:space="preserve"> benefits. An access road to the site was completed in March 2020 and the fully serviced development plots are due for completion in summer 2021. End users on the site will join major companies on i54 such as Jaguar Land Rover, Moog aerospace and others</w:t>
      </w:r>
      <w:r>
        <w:rPr>
          <w:rFonts w:ascii="Arial" w:hAnsi="Arial" w:cs="Arial"/>
          <w:color w:val="000000"/>
          <w:shd w:val="clear" w:color="auto" w:fill="FFFFFF"/>
        </w:rPr>
        <w:t>.</w:t>
      </w:r>
    </w:p>
    <w:p w14:paraId="7FC1A29A" w14:textId="713A3A0D" w:rsidR="00FD3CE2" w:rsidRPr="004B047B" w:rsidRDefault="00162CB2" w:rsidP="00FD3CE2">
      <w:pPr>
        <w:pStyle w:val="ListParagraph"/>
        <w:numPr>
          <w:ilvl w:val="0"/>
          <w:numId w:val="14"/>
        </w:numPr>
        <w:rPr>
          <w:rFonts w:ascii="Arial" w:hAnsi="Arial" w:cs="Arial"/>
        </w:rPr>
      </w:pPr>
      <w:r w:rsidRPr="00F20752">
        <w:rPr>
          <w:rFonts w:ascii="Arial" w:hAnsi="Arial" w:cs="Arial"/>
        </w:rPr>
        <w:t xml:space="preserve">Drakelow Park </w:t>
      </w:r>
      <w:r>
        <w:rPr>
          <w:rFonts w:ascii="Arial" w:hAnsi="Arial" w:cs="Arial"/>
        </w:rPr>
        <w:t xml:space="preserve">– although funding has been de-allocated from SSLEP and re-allocated to D2N2 LEP, </w:t>
      </w:r>
      <w:r w:rsidR="00FD3CE2">
        <w:rPr>
          <w:rFonts w:ascii="Arial" w:hAnsi="Arial" w:cs="Arial"/>
        </w:rPr>
        <w:t xml:space="preserve">SSLEP </w:t>
      </w:r>
      <w:r>
        <w:rPr>
          <w:rFonts w:ascii="Arial" w:hAnsi="Arial" w:cs="Arial"/>
        </w:rPr>
        <w:t>is credited as</w:t>
      </w:r>
      <w:r w:rsidR="00FD3CE2">
        <w:rPr>
          <w:rFonts w:ascii="Arial" w:hAnsi="Arial" w:cs="Arial"/>
        </w:rPr>
        <w:t xml:space="preserve"> a co-investor</w:t>
      </w:r>
      <w:r>
        <w:rPr>
          <w:rFonts w:ascii="Arial" w:hAnsi="Arial" w:cs="Arial"/>
        </w:rPr>
        <w:t>.  T</w:t>
      </w:r>
      <w:r w:rsidR="00FD3CE2" w:rsidRPr="00F20752">
        <w:rPr>
          <w:rFonts w:ascii="Arial" w:hAnsi="Arial" w:cs="Arial"/>
        </w:rPr>
        <w:t xml:space="preserve">he delivery of the full scheme is dependent upon the completion of </w:t>
      </w:r>
      <w:r>
        <w:rPr>
          <w:rFonts w:ascii="Arial" w:hAnsi="Arial" w:cs="Arial"/>
        </w:rPr>
        <w:t>a</w:t>
      </w:r>
      <w:r w:rsidR="00FD3CE2" w:rsidRPr="004B047B">
        <w:rPr>
          <w:rFonts w:ascii="Arial" w:hAnsi="Arial" w:cs="Arial"/>
        </w:rPr>
        <w:t xml:space="preserve"> </w:t>
      </w:r>
      <w:r>
        <w:rPr>
          <w:rFonts w:ascii="Arial" w:hAnsi="Arial" w:cs="Arial"/>
        </w:rPr>
        <w:t xml:space="preserve">new </w:t>
      </w:r>
      <w:r w:rsidR="00FD3CE2" w:rsidRPr="004B047B">
        <w:rPr>
          <w:rFonts w:ascii="Arial" w:hAnsi="Arial" w:cs="Arial"/>
        </w:rPr>
        <w:t xml:space="preserve">Walton-on-Trent </w:t>
      </w:r>
      <w:r w:rsidR="00803B2B">
        <w:rPr>
          <w:rFonts w:ascii="Arial" w:hAnsi="Arial" w:cs="Arial"/>
        </w:rPr>
        <w:t xml:space="preserve">river </w:t>
      </w:r>
      <w:r>
        <w:rPr>
          <w:rFonts w:ascii="Arial" w:hAnsi="Arial" w:cs="Arial"/>
        </w:rPr>
        <w:t xml:space="preserve">bridge and </w:t>
      </w:r>
      <w:r w:rsidR="00803B2B">
        <w:rPr>
          <w:rFonts w:ascii="Arial" w:hAnsi="Arial" w:cs="Arial"/>
        </w:rPr>
        <w:t>b</w:t>
      </w:r>
      <w:r w:rsidR="00FD3CE2" w:rsidRPr="004B047B">
        <w:rPr>
          <w:rFonts w:ascii="Arial" w:hAnsi="Arial" w:cs="Arial"/>
        </w:rPr>
        <w:t>ypass to enhance access to the site. It would unlock a 110-hectare site to open up development of 2,239 homes, 12 hectares of employment land and two mixed use centres with retail, leisure and education facilities</w:t>
      </w:r>
    </w:p>
    <w:p w14:paraId="11C74C0A" w14:textId="77777777" w:rsidR="00FD3CE2" w:rsidRPr="00FD3CE2" w:rsidRDefault="00FD3CE2" w:rsidP="00FD3CE2">
      <w:pPr>
        <w:spacing w:after="200" w:line="276" w:lineRule="auto"/>
        <w:rPr>
          <w:rFonts w:ascii="Arial" w:hAnsi="Arial" w:cs="Arial"/>
          <w:color w:val="000000"/>
          <w:shd w:val="clear" w:color="auto" w:fill="FFFFFF"/>
        </w:rPr>
      </w:pPr>
    </w:p>
    <w:p w14:paraId="08845A48" w14:textId="2DCF3C7A" w:rsidR="00CA73D7" w:rsidRDefault="00047254" w:rsidP="00836508">
      <w:pPr>
        <w:ind w:left="360" w:hanging="360"/>
        <w:rPr>
          <w:rFonts w:ascii="Arial" w:hAnsi="Arial" w:cs="Arial"/>
          <w:color w:val="000000"/>
          <w:shd w:val="clear" w:color="auto" w:fill="FFFFFF"/>
        </w:rPr>
      </w:pPr>
      <w:r>
        <w:rPr>
          <w:rFonts w:ascii="Arial" w:hAnsi="Arial" w:cs="Arial"/>
          <w:bCs/>
        </w:rPr>
        <w:t>1.5</w:t>
      </w:r>
      <w:r>
        <w:rPr>
          <w:rFonts w:ascii="Arial" w:hAnsi="Arial" w:cs="Arial"/>
          <w:bCs/>
        </w:rPr>
        <w:tab/>
      </w:r>
      <w:r w:rsidR="00042757" w:rsidRPr="00042757">
        <w:rPr>
          <w:rFonts w:ascii="Arial" w:hAnsi="Arial" w:cs="Arial"/>
          <w:color w:val="000000"/>
          <w:shd w:val="clear" w:color="auto" w:fill="FFFFFF"/>
        </w:rPr>
        <w:t xml:space="preserve">Stoke-on-Trent and Staffordshire LEP will be expected to deliver the agreed projects but will have flexibility to deliver the greatest economic benefits to the area. Any significant changes to the </w:t>
      </w:r>
      <w:r w:rsidR="00050DEA">
        <w:rPr>
          <w:rFonts w:ascii="Arial" w:hAnsi="Arial" w:cs="Arial"/>
          <w:color w:val="000000"/>
          <w:shd w:val="clear" w:color="auto" w:fill="FFFFFF"/>
        </w:rPr>
        <w:t xml:space="preserve">programme or </w:t>
      </w:r>
      <w:r w:rsidR="00CF15C5">
        <w:rPr>
          <w:rFonts w:ascii="Arial" w:hAnsi="Arial" w:cs="Arial"/>
          <w:color w:val="000000"/>
          <w:shd w:val="clear" w:color="auto" w:fill="FFFFFF"/>
        </w:rPr>
        <w:t>to individual projects</w:t>
      </w:r>
      <w:r w:rsidR="00042757" w:rsidRPr="00042757">
        <w:rPr>
          <w:rFonts w:ascii="Arial" w:hAnsi="Arial" w:cs="Arial"/>
          <w:color w:val="000000"/>
          <w:shd w:val="clear" w:color="auto" w:fill="FFFFFF"/>
        </w:rPr>
        <w:t xml:space="preserve"> </w:t>
      </w:r>
      <w:r w:rsidR="00803B2B">
        <w:rPr>
          <w:rFonts w:ascii="Arial" w:hAnsi="Arial" w:cs="Arial"/>
          <w:color w:val="000000"/>
          <w:shd w:val="clear" w:color="auto" w:fill="FFFFFF"/>
        </w:rPr>
        <w:t xml:space="preserve">would be subject to </w:t>
      </w:r>
      <w:r w:rsidR="00050DEA">
        <w:rPr>
          <w:rFonts w:ascii="Arial" w:hAnsi="Arial" w:cs="Arial"/>
          <w:color w:val="000000"/>
          <w:shd w:val="clear" w:color="auto" w:fill="FFFFFF"/>
        </w:rPr>
        <w:t>an MHCLG change request process</w:t>
      </w:r>
      <w:r w:rsidR="00CF15C5">
        <w:rPr>
          <w:rFonts w:ascii="Arial" w:hAnsi="Arial" w:cs="Arial"/>
          <w:color w:val="000000"/>
          <w:shd w:val="clear" w:color="auto" w:fill="FFFFFF"/>
        </w:rPr>
        <w:t>.  A</w:t>
      </w:r>
      <w:r w:rsidR="00042757" w:rsidRPr="00042757">
        <w:rPr>
          <w:rFonts w:ascii="Arial" w:hAnsi="Arial" w:cs="Arial"/>
          <w:color w:val="000000"/>
          <w:shd w:val="clear" w:color="auto" w:fill="FFFFFF"/>
        </w:rPr>
        <w:t>ll investment decisions must be undertaken in line with locally agreed audit and scrutiny arrangements.</w:t>
      </w:r>
      <w:r w:rsidR="00CA73D7">
        <w:rPr>
          <w:rFonts w:ascii="Arial" w:hAnsi="Arial" w:cs="Arial"/>
          <w:color w:val="000000"/>
          <w:shd w:val="clear" w:color="auto" w:fill="FFFFFF"/>
        </w:rPr>
        <w:t xml:space="preserve">  </w:t>
      </w:r>
    </w:p>
    <w:p w14:paraId="5FE84B66" w14:textId="31510E72" w:rsidR="00E9204C" w:rsidRPr="00047254" w:rsidRDefault="00CA73D7" w:rsidP="00836508">
      <w:pPr>
        <w:ind w:left="360" w:hanging="360"/>
        <w:rPr>
          <w:rFonts w:ascii="Arial" w:hAnsi="Arial" w:cs="Arial"/>
          <w:bCs/>
        </w:rPr>
      </w:pPr>
      <w:r>
        <w:rPr>
          <w:rFonts w:ascii="Arial" w:hAnsi="Arial" w:cs="Arial"/>
          <w:color w:val="000000"/>
          <w:shd w:val="clear" w:color="auto" w:fill="FFFFFF"/>
        </w:rPr>
        <w:lastRenderedPageBreak/>
        <w:t xml:space="preserve">1.6 </w:t>
      </w:r>
      <w:r w:rsidR="00FF0D56" w:rsidRPr="00042757">
        <w:rPr>
          <w:rFonts w:ascii="Arial" w:hAnsi="Arial" w:cs="Arial"/>
          <w:color w:val="000000"/>
          <w:shd w:val="clear" w:color="auto" w:fill="FFFFFF"/>
        </w:rPr>
        <w:t xml:space="preserve">As </w:t>
      </w:r>
      <w:r w:rsidR="00E9204C" w:rsidRPr="00047254">
        <w:rPr>
          <w:rFonts w:ascii="Arial" w:hAnsi="Arial" w:cs="Arial"/>
          <w:bCs/>
        </w:rPr>
        <w:t xml:space="preserve">part of the development of the Monitoring and Evaluation Plan we have been mindful of the direction of travel of both the Government and the SSLEP to be reflective of </w:t>
      </w:r>
      <w:r w:rsidR="00A673E3">
        <w:rPr>
          <w:rFonts w:ascii="Arial" w:hAnsi="Arial" w:cs="Arial"/>
          <w:bCs/>
        </w:rPr>
        <w:t>SSLEP’s Strategic Economic Plan</w:t>
      </w:r>
      <w:r w:rsidR="00E9204C" w:rsidRPr="00047254">
        <w:rPr>
          <w:rFonts w:ascii="Arial" w:hAnsi="Arial" w:cs="Arial"/>
          <w:bCs/>
        </w:rPr>
        <w:t xml:space="preserve"> and the </w:t>
      </w:r>
      <w:r w:rsidR="00F84336">
        <w:rPr>
          <w:rFonts w:ascii="Arial" w:hAnsi="Arial" w:cs="Arial"/>
          <w:bCs/>
        </w:rPr>
        <w:t>challenges</w:t>
      </w:r>
      <w:r w:rsidR="00E9204C" w:rsidRPr="00047254">
        <w:rPr>
          <w:rFonts w:ascii="Arial" w:hAnsi="Arial" w:cs="Arial"/>
          <w:bCs/>
        </w:rPr>
        <w:t xml:space="preserve"> that we must face to improve productivity. </w:t>
      </w:r>
    </w:p>
    <w:p w14:paraId="610C1D84" w14:textId="229176E6" w:rsidR="00246124" w:rsidRPr="00047254" w:rsidRDefault="00047254" w:rsidP="00836508">
      <w:pPr>
        <w:ind w:left="360" w:hanging="360"/>
        <w:rPr>
          <w:rFonts w:ascii="Arial" w:hAnsi="Arial" w:cs="Arial"/>
          <w:bCs/>
        </w:rPr>
      </w:pPr>
      <w:r>
        <w:rPr>
          <w:rFonts w:ascii="Arial" w:hAnsi="Arial" w:cs="Arial"/>
          <w:bCs/>
        </w:rPr>
        <w:t>1.</w:t>
      </w:r>
      <w:r w:rsidR="00CA73D7">
        <w:rPr>
          <w:rFonts w:ascii="Arial" w:hAnsi="Arial" w:cs="Arial"/>
          <w:bCs/>
        </w:rPr>
        <w:t>7</w:t>
      </w:r>
      <w:r>
        <w:rPr>
          <w:rFonts w:ascii="Arial" w:hAnsi="Arial" w:cs="Arial"/>
          <w:bCs/>
        </w:rPr>
        <w:tab/>
      </w:r>
      <w:r w:rsidR="00E9204C" w:rsidRPr="00047254">
        <w:rPr>
          <w:rFonts w:ascii="Arial" w:hAnsi="Arial" w:cs="Arial"/>
          <w:bCs/>
        </w:rPr>
        <w:t>As well as the broad groupings of interventions highlighted above</w:t>
      </w:r>
      <w:r w:rsidR="00F4277E">
        <w:rPr>
          <w:rFonts w:ascii="Arial" w:hAnsi="Arial" w:cs="Arial"/>
          <w:bCs/>
        </w:rPr>
        <w:t>,</w:t>
      </w:r>
      <w:r w:rsidR="00E9204C" w:rsidRPr="00047254">
        <w:rPr>
          <w:rFonts w:ascii="Arial" w:hAnsi="Arial" w:cs="Arial"/>
          <w:bCs/>
        </w:rPr>
        <w:t xml:space="preserve"> we have considered how they will primarily contribute to </w:t>
      </w:r>
      <w:r w:rsidR="00DA7E18">
        <w:rPr>
          <w:rFonts w:ascii="Arial" w:hAnsi="Arial" w:cs="Arial"/>
          <w:bCs/>
        </w:rPr>
        <w:t>SSLEP</w:t>
      </w:r>
      <w:r w:rsidR="00AF50C6">
        <w:rPr>
          <w:rFonts w:ascii="Arial" w:hAnsi="Arial" w:cs="Arial"/>
          <w:bCs/>
        </w:rPr>
        <w:t xml:space="preserve">’s Strategic Economic </w:t>
      </w:r>
      <w:r w:rsidR="0082732C">
        <w:rPr>
          <w:rFonts w:ascii="Arial" w:hAnsi="Arial" w:cs="Arial"/>
          <w:bCs/>
        </w:rPr>
        <w:t>Plan</w:t>
      </w:r>
      <w:r w:rsidR="00DA7E18">
        <w:rPr>
          <w:rFonts w:ascii="Arial" w:hAnsi="Arial" w:cs="Arial"/>
          <w:bCs/>
        </w:rPr>
        <w:t xml:space="preserve"> </w:t>
      </w:r>
      <w:r w:rsidR="00E9204C" w:rsidRPr="00047254">
        <w:rPr>
          <w:rFonts w:ascii="Arial" w:hAnsi="Arial" w:cs="Arial"/>
          <w:bCs/>
        </w:rPr>
        <w:t xml:space="preserve">to help us shape our future programmes and projects around their impact and contributions. </w:t>
      </w:r>
    </w:p>
    <w:p w14:paraId="7C7A6A31" w14:textId="11CBAFFA" w:rsidR="004C29EE" w:rsidRPr="00047254" w:rsidRDefault="00047254" w:rsidP="00836508">
      <w:pPr>
        <w:ind w:left="360" w:hanging="360"/>
        <w:rPr>
          <w:rFonts w:ascii="Arial" w:hAnsi="Arial" w:cs="Arial"/>
          <w:bCs/>
        </w:rPr>
      </w:pPr>
      <w:r>
        <w:rPr>
          <w:rFonts w:ascii="Arial" w:hAnsi="Arial" w:cs="Arial"/>
          <w:bCs/>
        </w:rPr>
        <w:t>1.</w:t>
      </w:r>
      <w:r w:rsidR="00CA73D7">
        <w:rPr>
          <w:rFonts w:ascii="Arial" w:hAnsi="Arial" w:cs="Arial"/>
          <w:bCs/>
        </w:rPr>
        <w:t>8</w:t>
      </w:r>
      <w:r>
        <w:rPr>
          <w:rFonts w:ascii="Arial" w:hAnsi="Arial" w:cs="Arial"/>
          <w:bCs/>
        </w:rPr>
        <w:tab/>
      </w:r>
      <w:r w:rsidR="00EA6116">
        <w:rPr>
          <w:rFonts w:ascii="Arial" w:hAnsi="Arial" w:cs="Arial"/>
          <w:bCs/>
        </w:rPr>
        <w:t>Many</w:t>
      </w:r>
      <w:r w:rsidR="00E9204C" w:rsidRPr="00047254">
        <w:rPr>
          <w:rFonts w:ascii="Arial" w:hAnsi="Arial" w:cs="Arial"/>
          <w:bCs/>
        </w:rPr>
        <w:t xml:space="preserve"> of the projects </w:t>
      </w:r>
      <w:r w:rsidR="00700A86">
        <w:rPr>
          <w:rFonts w:ascii="Arial" w:hAnsi="Arial" w:cs="Arial"/>
          <w:bCs/>
        </w:rPr>
        <w:t>included in the GBF programme</w:t>
      </w:r>
      <w:r w:rsidR="00E9204C" w:rsidRPr="00047254">
        <w:rPr>
          <w:rFonts w:ascii="Arial" w:hAnsi="Arial" w:cs="Arial"/>
          <w:bCs/>
        </w:rPr>
        <w:t xml:space="preserve"> are likely to provide substantial contributions to the Higher Value</w:t>
      </w:r>
      <w:r w:rsidR="00EA6116">
        <w:rPr>
          <w:rFonts w:ascii="Arial" w:hAnsi="Arial" w:cs="Arial"/>
          <w:bCs/>
        </w:rPr>
        <w:t>-</w:t>
      </w:r>
      <w:r w:rsidR="00E9204C" w:rsidRPr="00047254">
        <w:rPr>
          <w:rFonts w:ascii="Arial" w:hAnsi="Arial" w:cs="Arial"/>
          <w:bCs/>
        </w:rPr>
        <w:t>Added sector priorities of the LIS</w:t>
      </w:r>
      <w:r w:rsidR="00700A86">
        <w:rPr>
          <w:rFonts w:ascii="Arial" w:hAnsi="Arial" w:cs="Arial"/>
          <w:bCs/>
        </w:rPr>
        <w:t xml:space="preserve">. </w:t>
      </w:r>
    </w:p>
    <w:p w14:paraId="77B136C5" w14:textId="77777777" w:rsidR="00E9204C" w:rsidRDefault="00E9204C" w:rsidP="00047254">
      <w:pPr>
        <w:rPr>
          <w:rFonts w:ascii="Arial" w:hAnsi="Arial" w:cs="Arial"/>
          <w:b/>
          <w:sz w:val="24"/>
          <w:szCs w:val="24"/>
        </w:rPr>
      </w:pPr>
    </w:p>
    <w:p w14:paraId="7F48D73A" w14:textId="5158A211" w:rsidR="00421DDD" w:rsidRDefault="00421DDD" w:rsidP="00047254">
      <w:pPr>
        <w:pStyle w:val="ListParagraph"/>
        <w:numPr>
          <w:ilvl w:val="0"/>
          <w:numId w:val="5"/>
        </w:numPr>
        <w:rPr>
          <w:rFonts w:ascii="Arial" w:hAnsi="Arial" w:cs="Arial"/>
          <w:b/>
          <w:sz w:val="24"/>
          <w:szCs w:val="24"/>
        </w:rPr>
      </w:pPr>
      <w:r w:rsidRPr="00047254">
        <w:rPr>
          <w:rFonts w:ascii="Arial" w:hAnsi="Arial" w:cs="Arial"/>
          <w:b/>
          <w:sz w:val="24"/>
          <w:szCs w:val="24"/>
        </w:rPr>
        <w:t xml:space="preserve">Our Approach to Monitoring and Evaluating the </w:t>
      </w:r>
      <w:r w:rsidR="00700A86">
        <w:rPr>
          <w:rFonts w:ascii="Arial" w:hAnsi="Arial" w:cs="Arial"/>
          <w:b/>
          <w:sz w:val="24"/>
          <w:szCs w:val="24"/>
        </w:rPr>
        <w:t>Getting Building Fund Programme</w:t>
      </w:r>
    </w:p>
    <w:p w14:paraId="504E5A2A" w14:textId="77777777" w:rsidR="005C4CED" w:rsidRPr="00047254" w:rsidRDefault="005C4CED" w:rsidP="005C4CED">
      <w:pPr>
        <w:pStyle w:val="ListParagraph"/>
        <w:rPr>
          <w:rFonts w:ascii="Arial" w:hAnsi="Arial" w:cs="Arial"/>
          <w:b/>
          <w:sz w:val="24"/>
          <w:szCs w:val="24"/>
        </w:rPr>
      </w:pPr>
    </w:p>
    <w:p w14:paraId="4C58629B" w14:textId="1EC70456" w:rsidR="00C63F51" w:rsidRDefault="00C63F51" w:rsidP="00047254">
      <w:pPr>
        <w:ind w:left="360" w:firstLine="360"/>
        <w:rPr>
          <w:rFonts w:ascii="Arial" w:hAnsi="Arial" w:cs="Arial"/>
          <w:b/>
          <w:bCs/>
        </w:rPr>
      </w:pPr>
      <w:r w:rsidRPr="00047254">
        <w:rPr>
          <w:rFonts w:ascii="Arial" w:hAnsi="Arial" w:cs="Arial"/>
          <w:b/>
          <w:bCs/>
        </w:rPr>
        <w:t>Principles of Monitoring and Evaluation</w:t>
      </w:r>
    </w:p>
    <w:p w14:paraId="53FE2C23" w14:textId="77777777" w:rsidR="0030329A" w:rsidRDefault="0030329A" w:rsidP="00047254">
      <w:pPr>
        <w:ind w:left="360" w:firstLine="360"/>
        <w:rPr>
          <w:rFonts w:ascii="Arial" w:hAnsi="Arial" w:cs="Arial"/>
          <w:b/>
          <w:bCs/>
        </w:rPr>
      </w:pPr>
    </w:p>
    <w:p w14:paraId="2875CEF9" w14:textId="031D61C9" w:rsidR="00421DDD" w:rsidRPr="00047254" w:rsidRDefault="00047254" w:rsidP="00836508">
      <w:pPr>
        <w:ind w:left="360" w:hanging="360"/>
        <w:rPr>
          <w:rFonts w:ascii="Arial" w:hAnsi="Arial" w:cs="Arial"/>
        </w:rPr>
      </w:pPr>
      <w:r>
        <w:rPr>
          <w:rFonts w:ascii="Arial" w:hAnsi="Arial" w:cs="Arial"/>
        </w:rPr>
        <w:t>2.1</w:t>
      </w:r>
      <w:r>
        <w:rPr>
          <w:rFonts w:ascii="Arial" w:hAnsi="Arial" w:cs="Arial"/>
        </w:rPr>
        <w:tab/>
      </w:r>
      <w:r w:rsidR="004C29EE" w:rsidRPr="00047254">
        <w:rPr>
          <w:rFonts w:ascii="Arial" w:hAnsi="Arial" w:cs="Arial"/>
        </w:rPr>
        <w:t>A</w:t>
      </w:r>
      <w:r w:rsidR="00421DDD" w:rsidRPr="00047254">
        <w:rPr>
          <w:rFonts w:ascii="Arial" w:hAnsi="Arial" w:cs="Arial"/>
        </w:rPr>
        <w:t xml:space="preserve"> requirement of the </w:t>
      </w:r>
      <w:r w:rsidR="00A52DC9">
        <w:rPr>
          <w:rFonts w:ascii="Arial" w:hAnsi="Arial" w:cs="Arial"/>
        </w:rPr>
        <w:t>Getting Building Fund</w:t>
      </w:r>
      <w:r w:rsidR="00421DDD" w:rsidRPr="00047254">
        <w:rPr>
          <w:rFonts w:ascii="Arial" w:hAnsi="Arial" w:cs="Arial"/>
        </w:rPr>
        <w:t xml:space="preserve">, and a component of any good funding programme, is the development of an agreed Monitoring and Evaluation Plan covering the capital projects allocated </w:t>
      </w:r>
      <w:r w:rsidR="00A52DC9">
        <w:rPr>
          <w:rFonts w:ascii="Arial" w:hAnsi="Arial" w:cs="Arial"/>
        </w:rPr>
        <w:t>Getting Building Fund grant</w:t>
      </w:r>
      <w:r w:rsidR="00421DDD" w:rsidRPr="00047254">
        <w:rPr>
          <w:rFonts w:ascii="Arial" w:hAnsi="Arial" w:cs="Arial"/>
        </w:rPr>
        <w:t xml:space="preserve">. </w:t>
      </w:r>
    </w:p>
    <w:p w14:paraId="4A91E685" w14:textId="614D7D6C" w:rsidR="00421DDD" w:rsidRPr="00047254" w:rsidRDefault="00047254" w:rsidP="00836508">
      <w:pPr>
        <w:ind w:left="360" w:hanging="360"/>
        <w:rPr>
          <w:rFonts w:ascii="Arial" w:hAnsi="Arial" w:cs="Arial"/>
        </w:rPr>
      </w:pPr>
      <w:r>
        <w:rPr>
          <w:rFonts w:ascii="Arial" w:hAnsi="Arial" w:cs="Arial"/>
        </w:rPr>
        <w:t>2.2</w:t>
      </w:r>
      <w:r>
        <w:rPr>
          <w:rFonts w:ascii="Arial" w:hAnsi="Arial" w:cs="Arial"/>
        </w:rPr>
        <w:tab/>
      </w:r>
      <w:r w:rsidR="00465A9E" w:rsidRPr="00047254">
        <w:rPr>
          <w:rFonts w:ascii="Arial" w:hAnsi="Arial" w:cs="Arial"/>
        </w:rPr>
        <w:t>As part of a suite of initiatives to refresh the Governance arrangements in place</w:t>
      </w:r>
      <w:r w:rsidR="00A2473F" w:rsidRPr="00047254">
        <w:rPr>
          <w:rFonts w:ascii="Arial" w:hAnsi="Arial" w:cs="Arial"/>
        </w:rPr>
        <w:t>,</w:t>
      </w:r>
      <w:r w:rsidR="00465A9E" w:rsidRPr="00047254">
        <w:rPr>
          <w:rFonts w:ascii="Arial" w:hAnsi="Arial" w:cs="Arial"/>
        </w:rPr>
        <w:t xml:space="preserve"> t</w:t>
      </w:r>
      <w:r w:rsidR="00421DDD" w:rsidRPr="00047254">
        <w:rPr>
          <w:rFonts w:ascii="Arial" w:hAnsi="Arial" w:cs="Arial"/>
        </w:rPr>
        <w:t>he</w:t>
      </w:r>
      <w:r w:rsidR="00465A9E" w:rsidRPr="00047254">
        <w:rPr>
          <w:rFonts w:ascii="Arial" w:hAnsi="Arial" w:cs="Arial"/>
        </w:rPr>
        <w:t xml:space="preserve"> SSLEP has identified </w:t>
      </w:r>
      <w:r w:rsidR="00421DDD" w:rsidRPr="00047254">
        <w:rPr>
          <w:rFonts w:ascii="Arial" w:hAnsi="Arial" w:cs="Arial"/>
        </w:rPr>
        <w:t>a set of metrics for use in monitoring project progress and outputs</w:t>
      </w:r>
      <w:r w:rsidR="007839BB" w:rsidRPr="00047254">
        <w:rPr>
          <w:rFonts w:ascii="Arial" w:hAnsi="Arial" w:cs="Arial"/>
        </w:rPr>
        <w:t xml:space="preserve"> and these are r</w:t>
      </w:r>
      <w:r w:rsidR="002132FA" w:rsidRPr="00047254">
        <w:rPr>
          <w:rFonts w:ascii="Arial" w:hAnsi="Arial" w:cs="Arial"/>
        </w:rPr>
        <w:t>egularly</w:t>
      </w:r>
      <w:r w:rsidR="007839BB" w:rsidRPr="00047254">
        <w:rPr>
          <w:rFonts w:ascii="Arial" w:hAnsi="Arial" w:cs="Arial"/>
        </w:rPr>
        <w:t xml:space="preserve"> presented to </w:t>
      </w:r>
      <w:r w:rsidR="002132FA" w:rsidRPr="00047254">
        <w:rPr>
          <w:rFonts w:ascii="Arial" w:hAnsi="Arial" w:cs="Arial"/>
        </w:rPr>
        <w:t xml:space="preserve">SSLEP’s performance management </w:t>
      </w:r>
      <w:r w:rsidR="007839BB" w:rsidRPr="00047254">
        <w:rPr>
          <w:rFonts w:ascii="Arial" w:hAnsi="Arial" w:cs="Arial"/>
        </w:rPr>
        <w:t>groups, with the relevant information reported to Government as required</w:t>
      </w:r>
      <w:r w:rsidR="00421DDD" w:rsidRPr="00047254">
        <w:rPr>
          <w:rFonts w:ascii="Arial" w:hAnsi="Arial" w:cs="Arial"/>
        </w:rPr>
        <w:t xml:space="preserve">. In addition, discussions have taken place around the development of an Evaluation Plan to measure the impact and outcomes of the programme. </w:t>
      </w:r>
    </w:p>
    <w:p w14:paraId="5AF7BC3A" w14:textId="77777777" w:rsidR="006A1DDD" w:rsidRDefault="00047254" w:rsidP="00836508">
      <w:pPr>
        <w:ind w:left="360" w:hanging="360"/>
        <w:rPr>
          <w:rFonts w:ascii="Arial" w:hAnsi="Arial" w:cs="Arial"/>
        </w:rPr>
      </w:pPr>
      <w:r>
        <w:rPr>
          <w:rFonts w:ascii="Arial" w:hAnsi="Arial" w:cs="Arial"/>
        </w:rPr>
        <w:t>2.3</w:t>
      </w:r>
      <w:r>
        <w:rPr>
          <w:rFonts w:ascii="Arial" w:hAnsi="Arial" w:cs="Arial"/>
        </w:rPr>
        <w:tab/>
      </w:r>
      <w:r w:rsidR="005B53EC" w:rsidRPr="00047254">
        <w:rPr>
          <w:rFonts w:ascii="Arial" w:hAnsi="Arial" w:cs="Arial"/>
        </w:rPr>
        <w:t>In all cases it is important that evaluation maintains a balance of proportionality and is selective; taking into consideration the scale, value and scope of an intervention.</w:t>
      </w:r>
    </w:p>
    <w:p w14:paraId="33C5ED88" w14:textId="449470A0" w:rsidR="005B53EC" w:rsidRDefault="006A1DDD" w:rsidP="00836508">
      <w:pPr>
        <w:ind w:left="360" w:hanging="360"/>
        <w:rPr>
          <w:rFonts w:ascii="Arial" w:hAnsi="Arial" w:cs="Arial"/>
        </w:rPr>
      </w:pPr>
      <w:r>
        <w:rPr>
          <w:rFonts w:ascii="Arial" w:hAnsi="Arial" w:cs="Arial"/>
        </w:rPr>
        <w:t>2.4</w:t>
      </w:r>
      <w:r w:rsidR="005B53EC" w:rsidRPr="00047254">
        <w:rPr>
          <w:rFonts w:ascii="Arial" w:hAnsi="Arial" w:cs="Arial"/>
        </w:rPr>
        <w:t xml:space="preserve"> However, as a minimum level the SSLEP has an expectation that all projects should capture and report relevant monitoring information, particularly in relation to outputs</w:t>
      </w:r>
      <w:r w:rsidR="003C04D3" w:rsidRPr="00047254">
        <w:rPr>
          <w:rFonts w:ascii="Arial" w:hAnsi="Arial" w:cs="Arial"/>
        </w:rPr>
        <w:t>,</w:t>
      </w:r>
      <w:r w:rsidR="005B53EC" w:rsidRPr="00047254">
        <w:rPr>
          <w:rFonts w:ascii="Arial" w:hAnsi="Arial" w:cs="Arial"/>
        </w:rPr>
        <w:t xml:space="preserve"> and</w:t>
      </w:r>
      <w:r w:rsidR="003C04D3" w:rsidRPr="00047254">
        <w:rPr>
          <w:rFonts w:ascii="Arial" w:hAnsi="Arial" w:cs="Arial"/>
        </w:rPr>
        <w:t xml:space="preserve"> to</w:t>
      </w:r>
      <w:r w:rsidR="005B53EC" w:rsidRPr="00047254">
        <w:rPr>
          <w:rFonts w:ascii="Arial" w:hAnsi="Arial" w:cs="Arial"/>
        </w:rPr>
        <w:t xml:space="preserve"> ensure that the learning related to the success or otherwise of a project or programme is shared</w:t>
      </w:r>
      <w:r w:rsidR="003C04D3" w:rsidRPr="00047254">
        <w:rPr>
          <w:rFonts w:ascii="Arial" w:hAnsi="Arial" w:cs="Arial"/>
        </w:rPr>
        <w:t>,</w:t>
      </w:r>
      <w:r w:rsidR="005B53EC" w:rsidRPr="00047254">
        <w:rPr>
          <w:rFonts w:ascii="Arial" w:hAnsi="Arial" w:cs="Arial"/>
        </w:rPr>
        <w:t xml:space="preserve"> to enable the LEP to reflect upon the greatest return on investment from its funding. These </w:t>
      </w:r>
      <w:r w:rsidR="003C04D3" w:rsidRPr="00047254">
        <w:rPr>
          <w:rFonts w:ascii="Arial" w:hAnsi="Arial" w:cs="Arial"/>
        </w:rPr>
        <w:t xml:space="preserve">provisions </w:t>
      </w:r>
      <w:r w:rsidR="005B53EC" w:rsidRPr="00047254">
        <w:rPr>
          <w:rFonts w:ascii="Arial" w:hAnsi="Arial" w:cs="Arial"/>
        </w:rPr>
        <w:t xml:space="preserve">should be built in as minimum level </w:t>
      </w:r>
      <w:r w:rsidR="008A1987">
        <w:rPr>
          <w:rFonts w:ascii="Arial" w:hAnsi="Arial" w:cs="Arial"/>
        </w:rPr>
        <w:t xml:space="preserve">by </w:t>
      </w:r>
      <w:r w:rsidR="005B53EC" w:rsidRPr="00047254">
        <w:rPr>
          <w:rFonts w:ascii="Arial" w:hAnsi="Arial" w:cs="Arial"/>
        </w:rPr>
        <w:t xml:space="preserve">project managers into the overall management of their projects. </w:t>
      </w:r>
    </w:p>
    <w:p w14:paraId="388C38AE" w14:textId="77777777" w:rsidR="00EF1138" w:rsidRDefault="00EF1138" w:rsidP="00836508">
      <w:pPr>
        <w:ind w:left="360" w:hanging="360"/>
        <w:rPr>
          <w:rFonts w:ascii="Arial" w:hAnsi="Arial" w:cs="Arial"/>
        </w:rPr>
      </w:pPr>
    </w:p>
    <w:p w14:paraId="644DAD0B" w14:textId="58F00CD6" w:rsidR="00C63F51" w:rsidRDefault="00C63F51" w:rsidP="00047254">
      <w:pPr>
        <w:ind w:left="360" w:firstLine="360"/>
        <w:rPr>
          <w:rFonts w:ascii="Arial" w:hAnsi="Arial" w:cs="Arial"/>
          <w:b/>
          <w:bCs/>
        </w:rPr>
      </w:pPr>
      <w:r w:rsidRPr="00047254">
        <w:rPr>
          <w:rFonts w:ascii="Arial" w:hAnsi="Arial" w:cs="Arial"/>
          <w:b/>
          <w:bCs/>
        </w:rPr>
        <w:t>Routine Project and Programme Monitoring</w:t>
      </w:r>
    </w:p>
    <w:p w14:paraId="5ED52807" w14:textId="77777777" w:rsidR="00B73C0F" w:rsidRDefault="00047254" w:rsidP="00B73C0F">
      <w:pPr>
        <w:ind w:left="360" w:hanging="360"/>
        <w:rPr>
          <w:rFonts w:ascii="Arial" w:hAnsi="Arial" w:cs="Arial"/>
        </w:rPr>
      </w:pPr>
      <w:r>
        <w:rPr>
          <w:rFonts w:ascii="Arial" w:hAnsi="Arial" w:cs="Arial"/>
        </w:rPr>
        <w:t>2.5</w:t>
      </w:r>
      <w:r>
        <w:rPr>
          <w:rFonts w:ascii="Arial" w:hAnsi="Arial" w:cs="Arial"/>
        </w:rPr>
        <w:tab/>
      </w:r>
      <w:r w:rsidR="00B73C0F" w:rsidRPr="00047254">
        <w:rPr>
          <w:rFonts w:ascii="Arial" w:hAnsi="Arial" w:cs="Arial"/>
        </w:rPr>
        <w:t>Following the recommendations of a review of SSLEP Governance arrangements undertaken by Hatch Regeneris in Autumn 2019</w:t>
      </w:r>
      <w:r w:rsidR="00B73C0F">
        <w:rPr>
          <w:rFonts w:ascii="Arial" w:hAnsi="Arial" w:cs="Arial"/>
        </w:rPr>
        <w:t>,</w:t>
      </w:r>
      <w:r w:rsidR="00B73C0F" w:rsidRPr="00047254">
        <w:rPr>
          <w:rFonts w:ascii="Arial" w:hAnsi="Arial" w:cs="Arial"/>
        </w:rPr>
        <w:t xml:space="preserve"> the monitoring of projects where delivery is ‘on track’ will now be on a quarterly basis to the SSLEP Strategic Programme Management Board. This acts as a subgroup of the LEP Executive Board with the remit to make proportionate decisions and challenge the performance of projects where necessary. </w:t>
      </w:r>
    </w:p>
    <w:p w14:paraId="62A491D9" w14:textId="31884D65" w:rsidR="007E438F" w:rsidRDefault="00047254" w:rsidP="007E438F">
      <w:pPr>
        <w:ind w:left="360" w:hanging="360"/>
        <w:rPr>
          <w:rFonts w:ascii="Arial" w:hAnsi="Arial" w:cs="Arial"/>
        </w:rPr>
      </w:pPr>
      <w:r>
        <w:rPr>
          <w:rFonts w:ascii="Arial" w:hAnsi="Arial" w:cs="Arial"/>
        </w:rPr>
        <w:t>2.6</w:t>
      </w:r>
      <w:r>
        <w:rPr>
          <w:rFonts w:ascii="Arial" w:hAnsi="Arial" w:cs="Arial"/>
        </w:rPr>
        <w:tab/>
      </w:r>
      <w:r w:rsidR="00465A9E" w:rsidRPr="00047254">
        <w:rPr>
          <w:rFonts w:ascii="Arial" w:hAnsi="Arial" w:cs="Arial"/>
        </w:rPr>
        <w:t xml:space="preserve"> </w:t>
      </w:r>
      <w:r w:rsidR="00B73C0F">
        <w:rPr>
          <w:rFonts w:ascii="Arial" w:hAnsi="Arial" w:cs="Arial"/>
        </w:rPr>
        <w:t xml:space="preserve">In </w:t>
      </w:r>
      <w:r w:rsidR="00B73C0F" w:rsidRPr="00C07095">
        <w:rPr>
          <w:rFonts w:ascii="Arial" w:hAnsi="Arial" w:cs="Arial"/>
        </w:rPr>
        <w:t xml:space="preserve">line with MHCLG grant conditions, SSLEP will be required to track project progress against core metrics and outcomes, and to provide quarterly monitoring reports to </w:t>
      </w:r>
      <w:r w:rsidR="00B73C0F" w:rsidRPr="00C07095">
        <w:rPr>
          <w:rFonts w:ascii="Arial" w:hAnsi="Arial" w:cs="Arial"/>
        </w:rPr>
        <w:lastRenderedPageBreak/>
        <w:t xml:space="preserve">MHCLG to provide an update on progress and track performance against agreed </w:t>
      </w:r>
      <w:r w:rsidR="00B73C0F" w:rsidRPr="005E3030">
        <w:rPr>
          <w:rFonts w:ascii="Arial" w:hAnsi="Arial" w:cs="Arial"/>
        </w:rPr>
        <w:t>outputs.</w:t>
      </w:r>
      <w:r w:rsidR="00B73C0F" w:rsidRPr="005E3030">
        <w:t xml:space="preserve">  </w:t>
      </w:r>
      <w:r w:rsidR="00B73C0F" w:rsidRPr="005E3030">
        <w:rPr>
          <w:rFonts w:ascii="Arial" w:hAnsi="Arial" w:cs="Arial"/>
        </w:rPr>
        <w:t xml:space="preserve"> </w:t>
      </w:r>
      <w:r w:rsidR="007E438F" w:rsidRPr="005E3030">
        <w:rPr>
          <w:rFonts w:ascii="Arial" w:hAnsi="Arial" w:cs="Arial"/>
        </w:rPr>
        <w:t>Throughout</w:t>
      </w:r>
      <w:r w:rsidR="007E438F" w:rsidRPr="007E438F">
        <w:rPr>
          <w:rFonts w:ascii="Arial" w:hAnsi="Arial" w:cs="Arial"/>
        </w:rPr>
        <w:t xml:space="preserve"> the delivery period the Cities and Local Growth Unit’s area team will liaise with </w:t>
      </w:r>
      <w:r w:rsidR="007E438F">
        <w:rPr>
          <w:rFonts w:ascii="Arial" w:hAnsi="Arial" w:cs="Arial"/>
        </w:rPr>
        <w:t>SSLEP</w:t>
      </w:r>
      <w:r w:rsidR="007E438F" w:rsidRPr="007E438F">
        <w:rPr>
          <w:rFonts w:ascii="Arial" w:hAnsi="Arial" w:cs="Arial"/>
        </w:rPr>
        <w:t xml:space="preserve"> on a regular basis. From time to time they may inspect GBF funded projects and may require additional information from </w:t>
      </w:r>
      <w:r w:rsidR="007E438F">
        <w:rPr>
          <w:rFonts w:ascii="Arial" w:hAnsi="Arial" w:cs="Arial"/>
        </w:rPr>
        <w:t>SSLEP</w:t>
      </w:r>
      <w:r w:rsidR="007E438F" w:rsidRPr="007E438F">
        <w:rPr>
          <w:rFonts w:ascii="Arial" w:hAnsi="Arial" w:cs="Arial"/>
        </w:rPr>
        <w:t xml:space="preserve"> to enable </w:t>
      </w:r>
      <w:r w:rsidR="007E438F">
        <w:rPr>
          <w:rFonts w:ascii="Arial" w:hAnsi="Arial" w:cs="Arial"/>
        </w:rPr>
        <w:t>them</w:t>
      </w:r>
      <w:r w:rsidR="007E438F" w:rsidRPr="007E438F">
        <w:rPr>
          <w:rFonts w:ascii="Arial" w:hAnsi="Arial" w:cs="Arial"/>
        </w:rPr>
        <w:t xml:space="preserve"> to monitor progress.</w:t>
      </w:r>
    </w:p>
    <w:p w14:paraId="2703B9D0" w14:textId="17490B2B" w:rsidR="00421DDD" w:rsidRDefault="00047254" w:rsidP="00836508">
      <w:pPr>
        <w:ind w:left="360" w:hanging="360"/>
        <w:rPr>
          <w:rFonts w:ascii="Arial" w:hAnsi="Arial" w:cs="Arial"/>
        </w:rPr>
      </w:pPr>
      <w:r>
        <w:rPr>
          <w:rFonts w:ascii="Arial" w:hAnsi="Arial" w:cs="Arial"/>
        </w:rPr>
        <w:t>2.7</w:t>
      </w:r>
      <w:r>
        <w:rPr>
          <w:rFonts w:ascii="Arial" w:hAnsi="Arial" w:cs="Arial"/>
        </w:rPr>
        <w:tab/>
      </w:r>
      <w:r w:rsidR="00A2473F" w:rsidRPr="00047254">
        <w:rPr>
          <w:rFonts w:ascii="Arial" w:hAnsi="Arial" w:cs="Arial"/>
        </w:rPr>
        <w:t xml:space="preserve">In accordance with the requirements of the </w:t>
      </w:r>
      <w:r w:rsidR="00C07095">
        <w:rPr>
          <w:rFonts w:ascii="Arial" w:hAnsi="Arial" w:cs="Arial"/>
        </w:rPr>
        <w:t xml:space="preserve">Ministry for Housing, Communities and Local Government (MHCLG), </w:t>
      </w:r>
      <w:r w:rsidR="007839BB" w:rsidRPr="00047254">
        <w:rPr>
          <w:rFonts w:ascii="Arial" w:hAnsi="Arial" w:cs="Arial"/>
        </w:rPr>
        <w:t xml:space="preserve">further </w:t>
      </w:r>
      <w:r w:rsidR="00C63F51" w:rsidRPr="00047254">
        <w:rPr>
          <w:rFonts w:ascii="Arial" w:hAnsi="Arial" w:cs="Arial"/>
        </w:rPr>
        <w:t>in-depth</w:t>
      </w:r>
      <w:r w:rsidR="00421DDD" w:rsidRPr="00047254">
        <w:rPr>
          <w:rFonts w:ascii="Arial" w:hAnsi="Arial" w:cs="Arial"/>
        </w:rPr>
        <w:t xml:space="preserve"> monitoring information</w:t>
      </w:r>
      <w:r w:rsidR="00A2473F" w:rsidRPr="00047254">
        <w:rPr>
          <w:rFonts w:ascii="Arial" w:hAnsi="Arial" w:cs="Arial"/>
        </w:rPr>
        <w:t xml:space="preserve"> relating to project outputs</w:t>
      </w:r>
      <w:r w:rsidR="004E0620" w:rsidRPr="00047254">
        <w:rPr>
          <w:rFonts w:ascii="Arial" w:hAnsi="Arial" w:cs="Arial"/>
        </w:rPr>
        <w:t xml:space="preserve"> and financial performance</w:t>
      </w:r>
      <w:r w:rsidR="00421DDD" w:rsidRPr="00047254">
        <w:rPr>
          <w:rFonts w:ascii="Arial" w:hAnsi="Arial" w:cs="Arial"/>
        </w:rPr>
        <w:t xml:space="preserve"> will also be </w:t>
      </w:r>
      <w:r w:rsidR="004E0620" w:rsidRPr="00047254">
        <w:rPr>
          <w:rFonts w:ascii="Arial" w:hAnsi="Arial" w:cs="Arial"/>
        </w:rPr>
        <w:t>provided</w:t>
      </w:r>
      <w:r w:rsidR="00421DDD" w:rsidRPr="00047254">
        <w:rPr>
          <w:rFonts w:ascii="Arial" w:hAnsi="Arial" w:cs="Arial"/>
        </w:rPr>
        <w:t>.</w:t>
      </w:r>
      <w:r w:rsidR="002B1E6E">
        <w:rPr>
          <w:rFonts w:ascii="Arial" w:hAnsi="Arial" w:cs="Arial"/>
        </w:rPr>
        <w:t xml:space="preserve">  (GBF grant is to have been fully expended by the deadline of 31</w:t>
      </w:r>
      <w:r w:rsidR="002B1E6E" w:rsidRPr="002B1E6E">
        <w:rPr>
          <w:rFonts w:ascii="Arial" w:hAnsi="Arial" w:cs="Arial"/>
          <w:vertAlign w:val="superscript"/>
        </w:rPr>
        <w:t>st</w:t>
      </w:r>
      <w:r w:rsidR="002B1E6E">
        <w:rPr>
          <w:rFonts w:ascii="Arial" w:hAnsi="Arial" w:cs="Arial"/>
        </w:rPr>
        <w:t xml:space="preserve"> March 2022).</w:t>
      </w:r>
    </w:p>
    <w:p w14:paraId="6F8F3AE5" w14:textId="77777777" w:rsidR="00EF1138" w:rsidRPr="00047254" w:rsidRDefault="00EF1138" w:rsidP="00836508">
      <w:pPr>
        <w:ind w:left="360" w:hanging="360"/>
        <w:rPr>
          <w:rFonts w:ascii="Arial" w:hAnsi="Arial" w:cs="Arial"/>
        </w:rPr>
      </w:pPr>
    </w:p>
    <w:p w14:paraId="68424D7D" w14:textId="5A8BC246" w:rsidR="0030329A" w:rsidRPr="00047254" w:rsidRDefault="00754508" w:rsidP="00836508">
      <w:pPr>
        <w:ind w:firstLine="360"/>
        <w:rPr>
          <w:rFonts w:ascii="Arial" w:hAnsi="Arial" w:cs="Arial"/>
          <w:b/>
          <w:bCs/>
          <w:sz w:val="24"/>
          <w:szCs w:val="24"/>
        </w:rPr>
      </w:pPr>
      <w:r w:rsidRPr="00047254">
        <w:rPr>
          <w:rFonts w:ascii="Arial" w:hAnsi="Arial" w:cs="Arial"/>
          <w:b/>
          <w:bCs/>
          <w:sz w:val="24"/>
          <w:szCs w:val="24"/>
        </w:rPr>
        <w:t>Our Proposed evaluation approaches</w:t>
      </w:r>
    </w:p>
    <w:p w14:paraId="54FC238C" w14:textId="3B3B4D4D" w:rsidR="006657C9" w:rsidRPr="00047254" w:rsidRDefault="00047254" w:rsidP="00836508">
      <w:pPr>
        <w:ind w:left="360" w:hanging="360"/>
        <w:rPr>
          <w:rFonts w:ascii="Arial" w:hAnsi="Arial" w:cs="Arial"/>
        </w:rPr>
      </w:pPr>
      <w:r>
        <w:rPr>
          <w:rFonts w:ascii="Arial" w:hAnsi="Arial" w:cs="Arial"/>
        </w:rPr>
        <w:t>2.8</w:t>
      </w:r>
      <w:r>
        <w:rPr>
          <w:rFonts w:ascii="Arial" w:hAnsi="Arial" w:cs="Arial"/>
        </w:rPr>
        <w:tab/>
      </w:r>
      <w:r w:rsidR="00B25238">
        <w:rPr>
          <w:rFonts w:ascii="Arial" w:hAnsi="Arial" w:cs="Arial"/>
        </w:rPr>
        <w:t>As a general principle, t</w:t>
      </w:r>
      <w:r w:rsidR="00421DDD" w:rsidRPr="00047254">
        <w:rPr>
          <w:rFonts w:ascii="Arial" w:hAnsi="Arial" w:cs="Arial"/>
        </w:rPr>
        <w:t xml:space="preserve">he </w:t>
      </w:r>
      <w:r w:rsidR="007839BB" w:rsidRPr="00047254">
        <w:rPr>
          <w:rFonts w:ascii="Arial" w:hAnsi="Arial" w:cs="Arial"/>
        </w:rPr>
        <w:t>SS</w:t>
      </w:r>
      <w:r w:rsidR="00421DDD" w:rsidRPr="00047254">
        <w:rPr>
          <w:rFonts w:ascii="Arial" w:hAnsi="Arial" w:cs="Arial"/>
        </w:rPr>
        <w:t xml:space="preserve">LEP </w:t>
      </w:r>
      <w:r w:rsidR="006657C9" w:rsidRPr="00047254">
        <w:rPr>
          <w:rFonts w:ascii="Arial" w:hAnsi="Arial" w:cs="Arial"/>
        </w:rPr>
        <w:t xml:space="preserve">has identified </w:t>
      </w:r>
      <w:r w:rsidR="004E0620" w:rsidRPr="00047254">
        <w:rPr>
          <w:rFonts w:ascii="Arial" w:hAnsi="Arial" w:cs="Arial"/>
        </w:rPr>
        <w:t>that the</w:t>
      </w:r>
      <w:r w:rsidR="00421DDD" w:rsidRPr="00047254">
        <w:rPr>
          <w:rFonts w:ascii="Arial" w:hAnsi="Arial" w:cs="Arial"/>
        </w:rPr>
        <w:t xml:space="preserve"> preferred approach to evaluation will be to identify those projects which offer the greatest </w:t>
      </w:r>
      <w:r w:rsidR="00CB6A07" w:rsidRPr="00047254">
        <w:rPr>
          <w:rFonts w:ascii="Arial" w:hAnsi="Arial" w:cs="Arial"/>
        </w:rPr>
        <w:t>value</w:t>
      </w:r>
      <w:r w:rsidR="00421DDD" w:rsidRPr="00047254">
        <w:rPr>
          <w:rFonts w:ascii="Arial" w:hAnsi="Arial" w:cs="Arial"/>
        </w:rPr>
        <w:t xml:space="preserve"> for others to</w:t>
      </w:r>
      <w:r w:rsidR="004E0620" w:rsidRPr="00047254">
        <w:rPr>
          <w:rFonts w:ascii="Arial" w:hAnsi="Arial" w:cs="Arial"/>
        </w:rPr>
        <w:t xml:space="preserve"> learn</w:t>
      </w:r>
      <w:r w:rsidR="00421DDD" w:rsidRPr="00047254">
        <w:rPr>
          <w:rFonts w:ascii="Arial" w:hAnsi="Arial" w:cs="Arial"/>
        </w:rPr>
        <w:t xml:space="preserve"> from – in other words a focus on projects which </w:t>
      </w:r>
      <w:r w:rsidR="00CB6A07" w:rsidRPr="00047254">
        <w:rPr>
          <w:rFonts w:ascii="Arial" w:hAnsi="Arial" w:cs="Arial"/>
        </w:rPr>
        <w:t>may be innovative</w:t>
      </w:r>
      <w:r w:rsidR="007839BB" w:rsidRPr="00047254">
        <w:rPr>
          <w:rFonts w:ascii="Arial" w:hAnsi="Arial" w:cs="Arial"/>
        </w:rPr>
        <w:t xml:space="preserve">, </w:t>
      </w:r>
      <w:r w:rsidR="004E0620" w:rsidRPr="00047254">
        <w:rPr>
          <w:rFonts w:ascii="Arial" w:hAnsi="Arial" w:cs="Arial"/>
        </w:rPr>
        <w:t>have</w:t>
      </w:r>
      <w:r w:rsidR="00CB6A07" w:rsidRPr="00047254">
        <w:rPr>
          <w:rFonts w:ascii="Arial" w:hAnsi="Arial" w:cs="Arial"/>
        </w:rPr>
        <w:t xml:space="preserve"> alternative approaches to delivery</w:t>
      </w:r>
      <w:r w:rsidR="004E0620" w:rsidRPr="00047254">
        <w:rPr>
          <w:rFonts w:ascii="Arial" w:hAnsi="Arial" w:cs="Arial"/>
        </w:rPr>
        <w:t xml:space="preserve"> or represent a way of working which maximises</w:t>
      </w:r>
      <w:r w:rsidR="007839BB" w:rsidRPr="00047254">
        <w:rPr>
          <w:rFonts w:ascii="Arial" w:hAnsi="Arial" w:cs="Arial"/>
        </w:rPr>
        <w:t xml:space="preserve"> success and</w:t>
      </w:r>
      <w:r w:rsidR="004E0620" w:rsidRPr="00047254">
        <w:rPr>
          <w:rFonts w:ascii="Arial" w:hAnsi="Arial" w:cs="Arial"/>
        </w:rPr>
        <w:t xml:space="preserve"> benefits</w:t>
      </w:r>
      <w:r w:rsidR="00421DDD" w:rsidRPr="00047254">
        <w:rPr>
          <w:rFonts w:ascii="Arial" w:hAnsi="Arial" w:cs="Arial"/>
        </w:rPr>
        <w:t>.</w:t>
      </w:r>
      <w:r w:rsidR="00CA5013">
        <w:rPr>
          <w:rFonts w:ascii="Arial" w:hAnsi="Arial" w:cs="Arial"/>
        </w:rPr>
        <w:t xml:space="preserve"> However, it should be noted that</w:t>
      </w:r>
      <w:r w:rsidR="00B25238">
        <w:rPr>
          <w:rFonts w:ascii="Arial" w:hAnsi="Arial" w:cs="Arial"/>
        </w:rPr>
        <w:t xml:space="preserve"> the</w:t>
      </w:r>
      <w:r w:rsidR="00CA5013">
        <w:rPr>
          <w:rFonts w:ascii="Arial" w:hAnsi="Arial" w:cs="Arial"/>
        </w:rPr>
        <w:t xml:space="preserve"> </w:t>
      </w:r>
      <w:r w:rsidR="00B25238">
        <w:rPr>
          <w:rFonts w:ascii="Arial" w:hAnsi="Arial" w:cs="Arial"/>
        </w:rPr>
        <w:t xml:space="preserve">Getting Building Fund has </w:t>
      </w:r>
      <w:r w:rsidR="00DC34E3">
        <w:rPr>
          <w:rFonts w:ascii="Arial" w:hAnsi="Arial" w:cs="Arial"/>
        </w:rPr>
        <w:t xml:space="preserve">specific criteria </w:t>
      </w:r>
      <w:r w:rsidR="00141D6B">
        <w:rPr>
          <w:rFonts w:ascii="Arial" w:hAnsi="Arial" w:cs="Arial"/>
        </w:rPr>
        <w:t xml:space="preserve">attached which have been </w:t>
      </w:r>
      <w:r w:rsidR="00DC34E3">
        <w:rPr>
          <w:rFonts w:ascii="Arial" w:hAnsi="Arial" w:cs="Arial"/>
        </w:rPr>
        <w:t xml:space="preserve">set by government </w:t>
      </w:r>
      <w:r w:rsidR="00141D6B">
        <w:rPr>
          <w:rFonts w:ascii="Arial" w:hAnsi="Arial" w:cs="Arial"/>
        </w:rPr>
        <w:t>to support local  recovery from Covid-19</w:t>
      </w:r>
      <w:r w:rsidR="007E438F">
        <w:rPr>
          <w:rFonts w:ascii="Arial" w:hAnsi="Arial" w:cs="Arial"/>
        </w:rPr>
        <w:t xml:space="preserve">. </w:t>
      </w:r>
      <w:r w:rsidR="00154952">
        <w:rPr>
          <w:rFonts w:ascii="Arial" w:hAnsi="Arial" w:cs="Arial"/>
        </w:rPr>
        <w:t xml:space="preserve"> </w:t>
      </w:r>
      <w:r w:rsidR="007E438F">
        <w:rPr>
          <w:rFonts w:ascii="Arial" w:hAnsi="Arial" w:cs="Arial"/>
        </w:rPr>
        <w:t>In</w:t>
      </w:r>
      <w:r w:rsidR="00154952">
        <w:rPr>
          <w:rFonts w:ascii="Arial" w:hAnsi="Arial" w:cs="Arial"/>
        </w:rPr>
        <w:t xml:space="preserve"> addition, </w:t>
      </w:r>
      <w:r w:rsidR="000A0209">
        <w:rPr>
          <w:rFonts w:ascii="Arial" w:hAnsi="Arial" w:cs="Arial"/>
        </w:rPr>
        <w:t xml:space="preserve">government </w:t>
      </w:r>
      <w:r w:rsidR="002F0BA2">
        <w:rPr>
          <w:rFonts w:ascii="Arial" w:hAnsi="Arial" w:cs="Arial"/>
        </w:rPr>
        <w:t>reserves the authority to give consent to the inclusion of a scheme in the programme</w:t>
      </w:r>
      <w:r w:rsidR="007E438F">
        <w:rPr>
          <w:rFonts w:ascii="Arial" w:hAnsi="Arial" w:cs="Arial"/>
        </w:rPr>
        <w:t xml:space="preserve"> or any changes proposed to the programme</w:t>
      </w:r>
      <w:r w:rsidR="002F0BA2">
        <w:rPr>
          <w:rFonts w:ascii="Arial" w:hAnsi="Arial" w:cs="Arial"/>
        </w:rPr>
        <w:t>.</w:t>
      </w:r>
    </w:p>
    <w:p w14:paraId="67EC9A88" w14:textId="76357B23" w:rsidR="00421DDD" w:rsidRPr="00047254" w:rsidRDefault="00047254" w:rsidP="00836508">
      <w:pPr>
        <w:ind w:left="360" w:hanging="360"/>
        <w:rPr>
          <w:rFonts w:ascii="Arial" w:hAnsi="Arial" w:cs="Arial"/>
        </w:rPr>
      </w:pPr>
      <w:r>
        <w:rPr>
          <w:rFonts w:ascii="Arial" w:hAnsi="Arial" w:cs="Arial"/>
        </w:rPr>
        <w:t>2.9</w:t>
      </w:r>
      <w:r>
        <w:rPr>
          <w:rFonts w:ascii="Arial" w:hAnsi="Arial" w:cs="Arial"/>
        </w:rPr>
        <w:tab/>
      </w:r>
      <w:r w:rsidR="00421DDD" w:rsidRPr="00047254">
        <w:rPr>
          <w:rFonts w:ascii="Arial" w:hAnsi="Arial" w:cs="Arial"/>
        </w:rPr>
        <w:t>In most cases</w:t>
      </w:r>
      <w:r w:rsidR="005D3905" w:rsidRPr="00047254">
        <w:rPr>
          <w:rFonts w:ascii="Arial" w:hAnsi="Arial" w:cs="Arial"/>
        </w:rPr>
        <w:t>,</w:t>
      </w:r>
      <w:r w:rsidR="00421DDD" w:rsidRPr="00047254">
        <w:rPr>
          <w:rFonts w:ascii="Arial" w:hAnsi="Arial" w:cs="Arial"/>
        </w:rPr>
        <w:t xml:space="preserve"> ‘standard’ transport schemes will not be subject to an </w:t>
      </w:r>
      <w:r w:rsidR="00C63F51" w:rsidRPr="00047254">
        <w:rPr>
          <w:rFonts w:ascii="Arial" w:hAnsi="Arial" w:cs="Arial"/>
        </w:rPr>
        <w:t>in-depth</w:t>
      </w:r>
      <w:r w:rsidR="00421DDD" w:rsidRPr="00047254">
        <w:rPr>
          <w:rFonts w:ascii="Arial" w:hAnsi="Arial" w:cs="Arial"/>
        </w:rPr>
        <w:t xml:space="preserve"> evaluation</w:t>
      </w:r>
      <w:r w:rsidR="007839BB" w:rsidRPr="00047254">
        <w:rPr>
          <w:rFonts w:ascii="Arial" w:hAnsi="Arial" w:cs="Arial"/>
        </w:rPr>
        <w:t xml:space="preserve"> as part of this framework</w:t>
      </w:r>
      <w:r w:rsidR="004E0620" w:rsidRPr="00047254">
        <w:rPr>
          <w:rFonts w:ascii="Arial" w:hAnsi="Arial" w:cs="Arial"/>
        </w:rPr>
        <w:t>. There is a strong body of evidence to demonstrate the quantitative and</w:t>
      </w:r>
      <w:r w:rsidR="00421DDD" w:rsidRPr="00047254">
        <w:rPr>
          <w:rFonts w:ascii="Arial" w:hAnsi="Arial" w:cs="Arial"/>
        </w:rPr>
        <w:t xml:space="preserve"> qualitative impacts of such schemes</w:t>
      </w:r>
      <w:r w:rsidR="006657C9" w:rsidRPr="00047254">
        <w:rPr>
          <w:rFonts w:ascii="Arial" w:hAnsi="Arial" w:cs="Arial"/>
        </w:rPr>
        <w:t xml:space="preserve"> and </w:t>
      </w:r>
      <w:r w:rsidR="004E0620" w:rsidRPr="00047254">
        <w:rPr>
          <w:rFonts w:ascii="Arial" w:hAnsi="Arial" w:cs="Arial"/>
        </w:rPr>
        <w:t xml:space="preserve">they </w:t>
      </w:r>
      <w:r w:rsidR="006657C9" w:rsidRPr="00047254">
        <w:rPr>
          <w:rFonts w:ascii="Arial" w:hAnsi="Arial" w:cs="Arial"/>
        </w:rPr>
        <w:t>have a strong element of evaluation built into the</w:t>
      </w:r>
      <w:r w:rsidR="005D3905" w:rsidRPr="00047254">
        <w:rPr>
          <w:rFonts w:ascii="Arial" w:hAnsi="Arial" w:cs="Arial"/>
        </w:rPr>
        <w:t>ir delivery process</w:t>
      </w:r>
      <w:r w:rsidR="006657C9" w:rsidRPr="00047254">
        <w:rPr>
          <w:rFonts w:ascii="Arial" w:hAnsi="Arial" w:cs="Arial"/>
        </w:rPr>
        <w:t xml:space="preserve"> on a </w:t>
      </w:r>
      <w:r w:rsidR="004E0620" w:rsidRPr="00047254">
        <w:rPr>
          <w:rFonts w:ascii="Arial" w:hAnsi="Arial" w:cs="Arial"/>
        </w:rPr>
        <w:t>‘</w:t>
      </w:r>
      <w:r w:rsidR="006657C9" w:rsidRPr="00047254">
        <w:rPr>
          <w:rFonts w:ascii="Arial" w:hAnsi="Arial" w:cs="Arial"/>
        </w:rPr>
        <w:t>business as usual</w:t>
      </w:r>
      <w:r w:rsidR="004E0620" w:rsidRPr="00047254">
        <w:rPr>
          <w:rFonts w:ascii="Arial" w:hAnsi="Arial" w:cs="Arial"/>
        </w:rPr>
        <w:t>’</w:t>
      </w:r>
      <w:r w:rsidR="006657C9" w:rsidRPr="00047254">
        <w:rPr>
          <w:rFonts w:ascii="Arial" w:hAnsi="Arial" w:cs="Arial"/>
        </w:rPr>
        <w:t xml:space="preserve"> basis</w:t>
      </w:r>
      <w:r w:rsidR="00421DDD" w:rsidRPr="00047254">
        <w:rPr>
          <w:rFonts w:ascii="Arial" w:hAnsi="Arial" w:cs="Arial"/>
        </w:rPr>
        <w:t>.</w:t>
      </w:r>
      <w:r w:rsidR="00A974C2" w:rsidRPr="00047254">
        <w:rPr>
          <w:rFonts w:ascii="Arial" w:hAnsi="Arial" w:cs="Arial"/>
        </w:rPr>
        <w:t xml:space="preserve"> </w:t>
      </w:r>
      <w:r w:rsidR="00817353">
        <w:rPr>
          <w:rFonts w:ascii="Arial" w:hAnsi="Arial" w:cs="Arial"/>
        </w:rPr>
        <w:t>Drakelow Park scheme would fall into this category.</w:t>
      </w:r>
      <w:r w:rsidR="00A974C2" w:rsidRPr="00047254">
        <w:rPr>
          <w:rFonts w:ascii="Arial" w:hAnsi="Arial" w:cs="Arial"/>
        </w:rPr>
        <w:t xml:space="preserve"> </w:t>
      </w:r>
    </w:p>
    <w:p w14:paraId="7AF14A17" w14:textId="5E7FCF43" w:rsidR="00421DDD" w:rsidRPr="00047254" w:rsidRDefault="00047254" w:rsidP="006A1DDD">
      <w:pPr>
        <w:ind w:left="436" w:hanging="436"/>
        <w:rPr>
          <w:rFonts w:ascii="Arial" w:hAnsi="Arial" w:cs="Arial"/>
        </w:rPr>
      </w:pPr>
      <w:r w:rsidRPr="006A1DDD">
        <w:rPr>
          <w:rFonts w:ascii="Arial" w:hAnsi="Arial" w:cs="Arial"/>
          <w:bCs/>
        </w:rPr>
        <w:t>2.10</w:t>
      </w:r>
      <w:r>
        <w:rPr>
          <w:rFonts w:ascii="Arial" w:hAnsi="Arial" w:cs="Arial"/>
          <w:b/>
        </w:rPr>
        <w:t xml:space="preserve"> </w:t>
      </w:r>
      <w:r w:rsidR="00421DDD" w:rsidRPr="00047254">
        <w:rPr>
          <w:rFonts w:ascii="Arial" w:hAnsi="Arial" w:cs="Arial"/>
          <w:b/>
        </w:rPr>
        <w:t>Annex 1</w:t>
      </w:r>
      <w:r w:rsidR="00421DDD" w:rsidRPr="00047254">
        <w:rPr>
          <w:rFonts w:ascii="Arial" w:hAnsi="Arial" w:cs="Arial"/>
        </w:rPr>
        <w:t xml:space="preserve"> to this Monitoring and Evaluation Plan sets out</w:t>
      </w:r>
      <w:r w:rsidR="004E0620" w:rsidRPr="00047254">
        <w:rPr>
          <w:rFonts w:ascii="Arial" w:hAnsi="Arial" w:cs="Arial"/>
        </w:rPr>
        <w:t xml:space="preserve"> the</w:t>
      </w:r>
      <w:r w:rsidR="00421DDD" w:rsidRPr="00047254">
        <w:rPr>
          <w:rFonts w:ascii="Arial" w:hAnsi="Arial" w:cs="Arial"/>
        </w:rPr>
        <w:t xml:space="preserve"> elements of the</w:t>
      </w:r>
      <w:r w:rsidR="004E0620" w:rsidRPr="00047254">
        <w:rPr>
          <w:rFonts w:ascii="Arial" w:hAnsi="Arial" w:cs="Arial"/>
        </w:rPr>
        <w:t xml:space="preserve"> SSLEP </w:t>
      </w:r>
      <w:r w:rsidR="00817353">
        <w:rPr>
          <w:rFonts w:ascii="Arial" w:hAnsi="Arial" w:cs="Arial"/>
        </w:rPr>
        <w:t>Getting Building Fund</w:t>
      </w:r>
      <w:r w:rsidR="004E0620" w:rsidRPr="00047254">
        <w:rPr>
          <w:rFonts w:ascii="Arial" w:hAnsi="Arial" w:cs="Arial"/>
        </w:rPr>
        <w:t xml:space="preserve"> </w:t>
      </w:r>
      <w:r w:rsidR="00421DDD" w:rsidRPr="00047254">
        <w:rPr>
          <w:rFonts w:ascii="Arial" w:hAnsi="Arial" w:cs="Arial"/>
        </w:rPr>
        <w:t xml:space="preserve">programme </w:t>
      </w:r>
      <w:r w:rsidR="004E0620" w:rsidRPr="00047254">
        <w:rPr>
          <w:rFonts w:ascii="Arial" w:hAnsi="Arial" w:cs="Arial"/>
        </w:rPr>
        <w:t>to</w:t>
      </w:r>
      <w:r w:rsidR="00421DDD" w:rsidRPr="00047254">
        <w:rPr>
          <w:rFonts w:ascii="Arial" w:hAnsi="Arial" w:cs="Arial"/>
        </w:rPr>
        <w:t xml:space="preserve"> be evaluated,</w:t>
      </w:r>
      <w:r w:rsidR="001831CB" w:rsidRPr="00047254">
        <w:rPr>
          <w:rFonts w:ascii="Arial" w:hAnsi="Arial" w:cs="Arial"/>
        </w:rPr>
        <w:t xml:space="preserve"> the proposed approach of the evaluation and</w:t>
      </w:r>
      <w:r w:rsidR="00421DDD" w:rsidRPr="00047254">
        <w:rPr>
          <w:rFonts w:ascii="Arial" w:hAnsi="Arial" w:cs="Arial"/>
        </w:rPr>
        <w:t xml:space="preserve"> </w:t>
      </w:r>
      <w:r w:rsidR="001831CB" w:rsidRPr="00047254">
        <w:rPr>
          <w:rFonts w:ascii="Arial" w:hAnsi="Arial" w:cs="Arial"/>
        </w:rPr>
        <w:t>the suggested</w:t>
      </w:r>
      <w:r w:rsidR="00421DDD" w:rsidRPr="00047254">
        <w:rPr>
          <w:rFonts w:ascii="Arial" w:hAnsi="Arial" w:cs="Arial"/>
        </w:rPr>
        <w:t xml:space="preserve"> timescales</w:t>
      </w:r>
      <w:r w:rsidR="001831CB" w:rsidRPr="00047254">
        <w:rPr>
          <w:rFonts w:ascii="Arial" w:hAnsi="Arial" w:cs="Arial"/>
        </w:rPr>
        <w:t xml:space="preserve"> for undertaking the evaluations</w:t>
      </w:r>
      <w:r w:rsidR="00421DDD" w:rsidRPr="00047254">
        <w:rPr>
          <w:rFonts w:ascii="Arial" w:hAnsi="Arial" w:cs="Arial"/>
        </w:rPr>
        <w:t>.</w:t>
      </w:r>
      <w:r w:rsidR="009373A9">
        <w:rPr>
          <w:rFonts w:ascii="Arial" w:hAnsi="Arial" w:cs="Arial"/>
        </w:rPr>
        <w:t xml:space="preserve">  </w:t>
      </w:r>
      <w:r w:rsidR="00C2057C">
        <w:rPr>
          <w:rFonts w:ascii="Arial" w:hAnsi="Arial" w:cs="Arial"/>
        </w:rPr>
        <w:t>(</w:t>
      </w:r>
      <w:r w:rsidR="009373A9">
        <w:rPr>
          <w:rFonts w:ascii="Arial" w:hAnsi="Arial" w:cs="Arial"/>
        </w:rPr>
        <w:t xml:space="preserve">Significant changes to the original programme were approved by MHCLG during 2021 and are reflected </w:t>
      </w:r>
      <w:r w:rsidR="00C2057C">
        <w:rPr>
          <w:rFonts w:ascii="Arial" w:hAnsi="Arial" w:cs="Arial"/>
        </w:rPr>
        <w:t>in this revised Annex 1).</w:t>
      </w:r>
    </w:p>
    <w:p w14:paraId="5C444268" w14:textId="60595DF7" w:rsidR="003F3B16" w:rsidRPr="00047254" w:rsidRDefault="00047254" w:rsidP="00836508">
      <w:pPr>
        <w:ind w:left="436" w:hanging="436"/>
        <w:rPr>
          <w:rFonts w:ascii="Arial" w:hAnsi="Arial" w:cs="Arial"/>
        </w:rPr>
      </w:pPr>
      <w:r>
        <w:rPr>
          <w:rFonts w:ascii="Arial" w:hAnsi="Arial" w:cs="Arial"/>
        </w:rPr>
        <w:t xml:space="preserve">2.11 </w:t>
      </w:r>
      <w:r w:rsidR="00C63F51" w:rsidRPr="00047254">
        <w:rPr>
          <w:rFonts w:ascii="Arial" w:hAnsi="Arial" w:cs="Arial"/>
        </w:rPr>
        <w:t>We recognise the importance of a structured and well</w:t>
      </w:r>
      <w:r>
        <w:rPr>
          <w:rFonts w:ascii="Arial" w:hAnsi="Arial" w:cs="Arial"/>
        </w:rPr>
        <w:t>-</w:t>
      </w:r>
      <w:r w:rsidR="00C63F51" w:rsidRPr="00047254">
        <w:rPr>
          <w:rFonts w:ascii="Arial" w:hAnsi="Arial" w:cs="Arial"/>
        </w:rPr>
        <w:t>planned approach towards evaluation both to understand the performance and successes or otherwise of our interventions as well as in providing a</w:t>
      </w:r>
      <w:r w:rsidR="003F3B16" w:rsidRPr="00047254">
        <w:rPr>
          <w:rFonts w:ascii="Arial" w:hAnsi="Arial" w:cs="Arial"/>
        </w:rPr>
        <w:t xml:space="preserve"> good evidence base to inform the direction of </w:t>
      </w:r>
      <w:r w:rsidR="00C1626A">
        <w:rPr>
          <w:rFonts w:ascii="Arial" w:hAnsi="Arial" w:cs="Arial"/>
        </w:rPr>
        <w:t>any</w:t>
      </w:r>
      <w:r w:rsidR="003F3B16" w:rsidRPr="00047254">
        <w:rPr>
          <w:rFonts w:ascii="Arial" w:hAnsi="Arial" w:cs="Arial"/>
        </w:rPr>
        <w:t xml:space="preserve"> future interventions and investments. </w:t>
      </w:r>
    </w:p>
    <w:p w14:paraId="01798095" w14:textId="3684C6AF" w:rsidR="003F3B16" w:rsidRPr="00047254" w:rsidRDefault="00047254" w:rsidP="00836508">
      <w:pPr>
        <w:ind w:left="578" w:hanging="578"/>
        <w:rPr>
          <w:rFonts w:ascii="Arial" w:hAnsi="Arial" w:cs="Arial"/>
        </w:rPr>
      </w:pPr>
      <w:r>
        <w:rPr>
          <w:rFonts w:ascii="Arial" w:hAnsi="Arial" w:cs="Arial"/>
        </w:rPr>
        <w:t xml:space="preserve">2.12 </w:t>
      </w:r>
      <w:r>
        <w:rPr>
          <w:rFonts w:ascii="Arial" w:hAnsi="Arial" w:cs="Arial"/>
        </w:rPr>
        <w:tab/>
      </w:r>
      <w:r w:rsidR="003F3B16" w:rsidRPr="00047254">
        <w:rPr>
          <w:rFonts w:ascii="Arial" w:hAnsi="Arial" w:cs="Arial"/>
        </w:rPr>
        <w:t xml:space="preserve">Our evaluation framework will be a key element in shaping our future working and the development of </w:t>
      </w:r>
      <w:r w:rsidR="00C1626A">
        <w:rPr>
          <w:rFonts w:ascii="Arial" w:hAnsi="Arial" w:cs="Arial"/>
        </w:rPr>
        <w:t>SSLEP strateg</w:t>
      </w:r>
      <w:r w:rsidR="0030329A">
        <w:rPr>
          <w:rFonts w:ascii="Arial" w:hAnsi="Arial" w:cs="Arial"/>
        </w:rPr>
        <w:t>ies</w:t>
      </w:r>
      <w:r w:rsidR="003F3B16" w:rsidRPr="00047254">
        <w:rPr>
          <w:rFonts w:ascii="Arial" w:hAnsi="Arial" w:cs="Arial"/>
        </w:rPr>
        <w:t xml:space="preserve"> and associated programmes to ensure the maximum impact for the SSLEP area.</w:t>
      </w:r>
    </w:p>
    <w:p w14:paraId="15B449C5" w14:textId="3A432BD1" w:rsidR="00421DDD" w:rsidRPr="00047254" w:rsidRDefault="00047254" w:rsidP="00836508">
      <w:pPr>
        <w:ind w:left="567" w:hanging="567"/>
        <w:rPr>
          <w:rFonts w:ascii="Arial" w:hAnsi="Arial" w:cs="Arial"/>
        </w:rPr>
      </w:pPr>
      <w:r>
        <w:rPr>
          <w:rFonts w:ascii="Arial" w:hAnsi="Arial" w:cs="Arial"/>
        </w:rPr>
        <w:t>2.13</w:t>
      </w:r>
      <w:r>
        <w:rPr>
          <w:rFonts w:ascii="Arial" w:hAnsi="Arial" w:cs="Arial"/>
        </w:rPr>
        <w:tab/>
      </w:r>
      <w:r w:rsidR="003F3B16" w:rsidRPr="00047254">
        <w:rPr>
          <w:rFonts w:ascii="Arial" w:hAnsi="Arial" w:cs="Arial"/>
        </w:rPr>
        <w:t>We anticipate that project and programme e</w:t>
      </w:r>
      <w:r w:rsidR="00421DDD" w:rsidRPr="00047254">
        <w:rPr>
          <w:rFonts w:ascii="Arial" w:hAnsi="Arial" w:cs="Arial"/>
        </w:rPr>
        <w:t xml:space="preserve">valuation will generally follow </w:t>
      </w:r>
      <w:r w:rsidR="00DB538B" w:rsidRPr="00047254">
        <w:rPr>
          <w:rFonts w:ascii="Arial" w:hAnsi="Arial" w:cs="Arial"/>
        </w:rPr>
        <w:t>four</w:t>
      </w:r>
      <w:r w:rsidR="00421DDD" w:rsidRPr="00047254">
        <w:rPr>
          <w:rFonts w:ascii="Arial" w:hAnsi="Arial" w:cs="Arial"/>
        </w:rPr>
        <w:t xml:space="preserve"> approaches: </w:t>
      </w:r>
    </w:p>
    <w:p w14:paraId="407ED652" w14:textId="77777777" w:rsidR="00421DDD" w:rsidRPr="00047254" w:rsidRDefault="00421DDD" w:rsidP="00047254">
      <w:pPr>
        <w:pStyle w:val="ListParagraph"/>
        <w:numPr>
          <w:ilvl w:val="0"/>
          <w:numId w:val="8"/>
        </w:numPr>
        <w:rPr>
          <w:rFonts w:ascii="Arial" w:hAnsi="Arial" w:cs="Arial"/>
        </w:rPr>
      </w:pPr>
      <w:r w:rsidRPr="00047254">
        <w:rPr>
          <w:rFonts w:ascii="Arial" w:hAnsi="Arial" w:cs="Arial"/>
        </w:rPr>
        <w:t>Output evaluation</w:t>
      </w:r>
    </w:p>
    <w:p w14:paraId="5CF0D3C4" w14:textId="77777777" w:rsidR="00421DDD" w:rsidRPr="00047254" w:rsidRDefault="00421DDD" w:rsidP="00047254">
      <w:pPr>
        <w:pStyle w:val="ListParagraph"/>
        <w:numPr>
          <w:ilvl w:val="0"/>
          <w:numId w:val="8"/>
        </w:numPr>
        <w:rPr>
          <w:rFonts w:ascii="Arial" w:hAnsi="Arial" w:cs="Arial"/>
        </w:rPr>
      </w:pPr>
      <w:r w:rsidRPr="00047254">
        <w:rPr>
          <w:rFonts w:ascii="Arial" w:hAnsi="Arial" w:cs="Arial"/>
        </w:rPr>
        <w:t>Process evaluation</w:t>
      </w:r>
    </w:p>
    <w:p w14:paraId="1C0BE796" w14:textId="77777777" w:rsidR="00DB538B" w:rsidRPr="00047254" w:rsidRDefault="00421DDD" w:rsidP="00047254">
      <w:pPr>
        <w:pStyle w:val="ListParagraph"/>
        <w:numPr>
          <w:ilvl w:val="0"/>
          <w:numId w:val="8"/>
        </w:numPr>
        <w:rPr>
          <w:rFonts w:ascii="Arial" w:hAnsi="Arial" w:cs="Arial"/>
        </w:rPr>
      </w:pPr>
      <w:r w:rsidRPr="00047254">
        <w:rPr>
          <w:rFonts w:ascii="Arial" w:hAnsi="Arial" w:cs="Arial"/>
        </w:rPr>
        <w:t>Impact evaluation</w:t>
      </w:r>
    </w:p>
    <w:p w14:paraId="1DF8E716" w14:textId="55E6432A" w:rsidR="00421DDD" w:rsidRPr="00047254" w:rsidRDefault="00DB538B" w:rsidP="002E3AF8">
      <w:pPr>
        <w:pStyle w:val="ListParagraph"/>
        <w:numPr>
          <w:ilvl w:val="0"/>
          <w:numId w:val="8"/>
        </w:numPr>
        <w:spacing w:after="0"/>
        <w:rPr>
          <w:rFonts w:ascii="Arial" w:hAnsi="Arial" w:cs="Arial"/>
        </w:rPr>
      </w:pPr>
      <w:r w:rsidRPr="00047254">
        <w:rPr>
          <w:rFonts w:ascii="Arial" w:hAnsi="Arial" w:cs="Arial"/>
        </w:rPr>
        <w:t>Economic evaluation</w:t>
      </w:r>
      <w:r w:rsidRPr="00047254">
        <w:rPr>
          <w:rFonts w:ascii="Arial" w:hAnsi="Arial" w:cs="Arial"/>
        </w:rPr>
        <w:br/>
      </w:r>
    </w:p>
    <w:p w14:paraId="70C60B82" w14:textId="4EA5D27E" w:rsidR="001831CB" w:rsidRDefault="00421DDD" w:rsidP="002E3AF8">
      <w:pPr>
        <w:spacing w:after="0"/>
        <w:ind w:left="709"/>
        <w:rPr>
          <w:rFonts w:ascii="Arial" w:hAnsi="Arial" w:cs="Arial"/>
        </w:rPr>
      </w:pPr>
      <w:r w:rsidRPr="00047254">
        <w:rPr>
          <w:rFonts w:ascii="Arial" w:hAnsi="Arial" w:cs="Arial"/>
        </w:rPr>
        <w:t>These are outlined in more detail below</w:t>
      </w:r>
      <w:r w:rsidR="004E0620" w:rsidRPr="00047254">
        <w:rPr>
          <w:rFonts w:ascii="Arial" w:hAnsi="Arial" w:cs="Arial"/>
        </w:rPr>
        <w:t xml:space="preserve"> and i</w:t>
      </w:r>
      <w:r w:rsidRPr="00047254">
        <w:rPr>
          <w:rFonts w:ascii="Arial" w:hAnsi="Arial" w:cs="Arial"/>
        </w:rPr>
        <w:t>t should be noted that more than one</w:t>
      </w:r>
      <w:r w:rsidR="001831CB" w:rsidRPr="00047254">
        <w:rPr>
          <w:rFonts w:ascii="Arial" w:hAnsi="Arial" w:cs="Arial"/>
        </w:rPr>
        <w:t xml:space="preserve"> of these</w:t>
      </w:r>
      <w:r w:rsidRPr="00047254">
        <w:rPr>
          <w:rFonts w:ascii="Arial" w:hAnsi="Arial" w:cs="Arial"/>
        </w:rPr>
        <w:t xml:space="preserve"> approach</w:t>
      </w:r>
      <w:r w:rsidR="001831CB" w:rsidRPr="00047254">
        <w:rPr>
          <w:rFonts w:ascii="Arial" w:hAnsi="Arial" w:cs="Arial"/>
        </w:rPr>
        <w:t>es</w:t>
      </w:r>
      <w:r w:rsidR="00DD4839" w:rsidRPr="00047254">
        <w:rPr>
          <w:rFonts w:ascii="Arial" w:hAnsi="Arial" w:cs="Arial"/>
        </w:rPr>
        <w:t xml:space="preserve"> are likely to</w:t>
      </w:r>
      <w:r w:rsidRPr="00047254">
        <w:rPr>
          <w:rFonts w:ascii="Arial" w:hAnsi="Arial" w:cs="Arial"/>
        </w:rPr>
        <w:t xml:space="preserve"> be applied to a given project</w:t>
      </w:r>
      <w:r w:rsidR="00E153D8">
        <w:rPr>
          <w:rFonts w:ascii="Arial" w:hAnsi="Arial" w:cs="Arial"/>
        </w:rPr>
        <w:t>:</w:t>
      </w:r>
    </w:p>
    <w:tbl>
      <w:tblPr>
        <w:tblStyle w:val="GridTable4-Accent2"/>
        <w:tblW w:w="0" w:type="auto"/>
        <w:tblLook w:val="04A0" w:firstRow="1" w:lastRow="0" w:firstColumn="1" w:lastColumn="0" w:noHBand="0" w:noVBand="1"/>
      </w:tblPr>
      <w:tblGrid>
        <w:gridCol w:w="2263"/>
        <w:gridCol w:w="6753"/>
      </w:tblGrid>
      <w:tr w:rsidR="00791C49" w:rsidRPr="00A974C2" w14:paraId="1C1221EF" w14:textId="77777777" w:rsidTr="00C33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E28A6F3" w14:textId="619134A7" w:rsidR="00791C49" w:rsidRPr="00047254" w:rsidRDefault="00791C49" w:rsidP="00047254">
            <w:pPr>
              <w:ind w:left="360"/>
              <w:jc w:val="center"/>
              <w:rPr>
                <w:rFonts w:ascii="Arial" w:hAnsi="Arial" w:cs="Arial"/>
              </w:rPr>
            </w:pPr>
            <w:r w:rsidRPr="00047254">
              <w:rPr>
                <w:rFonts w:ascii="Arial" w:hAnsi="Arial" w:cs="Arial"/>
              </w:rPr>
              <w:lastRenderedPageBreak/>
              <w:t>Approach</w:t>
            </w:r>
          </w:p>
        </w:tc>
        <w:tc>
          <w:tcPr>
            <w:tcW w:w="6753" w:type="dxa"/>
          </w:tcPr>
          <w:p w14:paraId="3899994F" w14:textId="77777777" w:rsidR="00791C49" w:rsidRPr="00047254" w:rsidRDefault="00791C49" w:rsidP="00047254">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47254">
              <w:rPr>
                <w:rFonts w:ascii="Arial" w:hAnsi="Arial" w:cs="Arial"/>
              </w:rPr>
              <w:t>Description</w:t>
            </w:r>
          </w:p>
          <w:p w14:paraId="779B4E27" w14:textId="77777777" w:rsidR="00791C49" w:rsidRPr="00A974C2" w:rsidRDefault="00791C49" w:rsidP="0004725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791C49" w:rsidRPr="00D32CC3" w14:paraId="76350C34" w14:textId="77777777" w:rsidTr="00C33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EAC99B9" w14:textId="77777777" w:rsidR="00791C49" w:rsidRPr="00047254" w:rsidRDefault="00791C49" w:rsidP="00047254">
            <w:pPr>
              <w:ind w:left="360"/>
              <w:rPr>
                <w:rFonts w:ascii="Arial" w:hAnsi="Arial" w:cs="Arial"/>
                <w:sz w:val="20"/>
                <w:szCs w:val="20"/>
              </w:rPr>
            </w:pPr>
            <w:r w:rsidRPr="00047254">
              <w:rPr>
                <w:rFonts w:ascii="Arial" w:hAnsi="Arial" w:cs="Arial"/>
                <w:sz w:val="20"/>
                <w:szCs w:val="20"/>
              </w:rPr>
              <w:t>Output</w:t>
            </w:r>
          </w:p>
        </w:tc>
        <w:tc>
          <w:tcPr>
            <w:tcW w:w="6753" w:type="dxa"/>
          </w:tcPr>
          <w:p w14:paraId="75BCF7C6" w14:textId="136055EF" w:rsidR="004E0620" w:rsidRPr="00047254" w:rsidRDefault="004E0620" w:rsidP="00047254">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7254">
              <w:rPr>
                <w:rFonts w:ascii="Arial" w:hAnsi="Arial" w:cs="Arial"/>
                <w:sz w:val="18"/>
                <w:szCs w:val="18"/>
              </w:rPr>
              <w:t>A quantitative measure of whether the project has achieved it</w:t>
            </w:r>
            <w:r w:rsidR="005C661B">
              <w:rPr>
                <w:rFonts w:ascii="Arial" w:hAnsi="Arial" w:cs="Arial"/>
                <w:sz w:val="18"/>
                <w:szCs w:val="18"/>
              </w:rPr>
              <w:t>s</w:t>
            </w:r>
            <w:r w:rsidRPr="00047254">
              <w:rPr>
                <w:rFonts w:ascii="Arial" w:hAnsi="Arial" w:cs="Arial"/>
                <w:sz w:val="18"/>
                <w:szCs w:val="18"/>
              </w:rPr>
              <w:t xml:space="preserve"> targeted numerical outputs. This could include</w:t>
            </w:r>
            <w:r w:rsidR="00791C49" w:rsidRPr="00047254">
              <w:rPr>
                <w:rFonts w:ascii="Arial" w:hAnsi="Arial" w:cs="Arial"/>
                <w:sz w:val="18"/>
                <w:szCs w:val="18"/>
              </w:rPr>
              <w:t xml:space="preserve"> jobs created, floorspace developed, homes constructed. </w:t>
            </w:r>
          </w:p>
          <w:p w14:paraId="0DD9C3B1" w14:textId="77777777" w:rsidR="00A77492" w:rsidRPr="00AC02A9" w:rsidRDefault="00A77492" w:rsidP="000472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91C49" w:rsidRPr="00D32CC3" w14:paraId="79BD0A7D" w14:textId="77777777" w:rsidTr="00C339B3">
        <w:tc>
          <w:tcPr>
            <w:cnfStyle w:val="001000000000" w:firstRow="0" w:lastRow="0" w:firstColumn="1" w:lastColumn="0" w:oddVBand="0" w:evenVBand="0" w:oddHBand="0" w:evenHBand="0" w:firstRowFirstColumn="0" w:firstRowLastColumn="0" w:lastRowFirstColumn="0" w:lastRowLastColumn="0"/>
            <w:tcW w:w="2263" w:type="dxa"/>
          </w:tcPr>
          <w:p w14:paraId="6C221BDA" w14:textId="77777777" w:rsidR="00791C49" w:rsidRPr="00047254" w:rsidRDefault="00791C49" w:rsidP="00047254">
            <w:pPr>
              <w:ind w:left="360"/>
              <w:rPr>
                <w:rFonts w:ascii="Arial" w:hAnsi="Arial" w:cs="Arial"/>
                <w:sz w:val="20"/>
                <w:szCs w:val="20"/>
              </w:rPr>
            </w:pPr>
            <w:r w:rsidRPr="00047254">
              <w:rPr>
                <w:rFonts w:ascii="Arial" w:hAnsi="Arial" w:cs="Arial"/>
                <w:sz w:val="20"/>
                <w:szCs w:val="20"/>
              </w:rPr>
              <w:t>Process</w:t>
            </w:r>
          </w:p>
        </w:tc>
        <w:tc>
          <w:tcPr>
            <w:tcW w:w="6753" w:type="dxa"/>
          </w:tcPr>
          <w:p w14:paraId="739368DD" w14:textId="548A3058" w:rsidR="00791C49" w:rsidRPr="00047254" w:rsidRDefault="00791C49" w:rsidP="00047254">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7254">
              <w:rPr>
                <w:rFonts w:ascii="Arial" w:hAnsi="Arial" w:cs="Arial"/>
                <w:sz w:val="18"/>
                <w:szCs w:val="18"/>
              </w:rPr>
              <w:t xml:space="preserve">This is a qualitative evaluation and will consider </w:t>
            </w:r>
            <w:r w:rsidR="00A77492" w:rsidRPr="00047254">
              <w:rPr>
                <w:rFonts w:ascii="Arial" w:hAnsi="Arial" w:cs="Arial"/>
                <w:sz w:val="18"/>
                <w:szCs w:val="18"/>
              </w:rPr>
              <w:t xml:space="preserve">how </w:t>
            </w:r>
            <w:r w:rsidRPr="00047254">
              <w:rPr>
                <w:rFonts w:ascii="Arial" w:hAnsi="Arial" w:cs="Arial"/>
                <w:sz w:val="18"/>
                <w:szCs w:val="18"/>
              </w:rPr>
              <w:t>projects were delivered</w:t>
            </w:r>
            <w:r w:rsidR="00A77492" w:rsidRPr="00047254">
              <w:rPr>
                <w:rFonts w:ascii="Arial" w:hAnsi="Arial" w:cs="Arial"/>
                <w:sz w:val="18"/>
                <w:szCs w:val="18"/>
              </w:rPr>
              <w:t xml:space="preserve"> </w:t>
            </w:r>
            <w:r w:rsidRPr="00047254">
              <w:rPr>
                <w:rFonts w:ascii="Arial" w:hAnsi="Arial" w:cs="Arial"/>
                <w:sz w:val="18"/>
                <w:szCs w:val="18"/>
              </w:rPr>
              <w:t>in terms of</w:t>
            </w:r>
            <w:r w:rsidR="00A77492" w:rsidRPr="00047254">
              <w:rPr>
                <w:rFonts w:ascii="Arial" w:hAnsi="Arial" w:cs="Arial"/>
                <w:sz w:val="18"/>
                <w:szCs w:val="18"/>
              </w:rPr>
              <w:t xml:space="preserve"> their</w:t>
            </w:r>
            <w:r w:rsidRPr="00047254">
              <w:rPr>
                <w:rFonts w:ascii="Arial" w:hAnsi="Arial" w:cs="Arial"/>
                <w:sz w:val="18"/>
                <w:szCs w:val="18"/>
              </w:rPr>
              <w:t xml:space="preserve"> process</w:t>
            </w:r>
            <w:r w:rsidR="00A77492" w:rsidRPr="00047254">
              <w:rPr>
                <w:rFonts w:ascii="Arial" w:hAnsi="Arial" w:cs="Arial"/>
                <w:sz w:val="18"/>
                <w:szCs w:val="18"/>
              </w:rPr>
              <w:t>es</w:t>
            </w:r>
            <w:r w:rsidRPr="00047254">
              <w:rPr>
                <w:rFonts w:ascii="Arial" w:hAnsi="Arial" w:cs="Arial"/>
                <w:sz w:val="18"/>
                <w:szCs w:val="18"/>
              </w:rPr>
              <w:t xml:space="preserve">. For instance in the case of a </w:t>
            </w:r>
            <w:r w:rsidR="00230806" w:rsidRPr="00047254">
              <w:rPr>
                <w:rFonts w:ascii="Arial" w:hAnsi="Arial" w:cs="Arial"/>
                <w:sz w:val="18"/>
                <w:szCs w:val="18"/>
              </w:rPr>
              <w:t>‘programme’ approach</w:t>
            </w:r>
            <w:r w:rsidRPr="00047254">
              <w:rPr>
                <w:rFonts w:ascii="Arial" w:hAnsi="Arial" w:cs="Arial"/>
                <w:sz w:val="18"/>
                <w:szCs w:val="18"/>
              </w:rPr>
              <w:t xml:space="preserve">, </w:t>
            </w:r>
            <w:r w:rsidR="00591E49" w:rsidRPr="00047254">
              <w:rPr>
                <w:rFonts w:ascii="Arial" w:hAnsi="Arial" w:cs="Arial"/>
                <w:sz w:val="18"/>
                <w:szCs w:val="18"/>
              </w:rPr>
              <w:t xml:space="preserve">did the programme </w:t>
            </w:r>
            <w:r w:rsidRPr="00047254">
              <w:rPr>
                <w:rFonts w:ascii="Arial" w:hAnsi="Arial" w:cs="Arial"/>
                <w:sz w:val="18"/>
                <w:szCs w:val="18"/>
              </w:rPr>
              <w:t xml:space="preserve">effectively and efficiently operate or were there issues that could be captured and used to improve future </w:t>
            </w:r>
            <w:r w:rsidR="00D91BC3" w:rsidRPr="00047254">
              <w:rPr>
                <w:rFonts w:ascii="Arial" w:hAnsi="Arial" w:cs="Arial"/>
                <w:sz w:val="18"/>
                <w:szCs w:val="18"/>
              </w:rPr>
              <w:t xml:space="preserve">processes and </w:t>
            </w:r>
            <w:r w:rsidRPr="00047254">
              <w:rPr>
                <w:rFonts w:ascii="Arial" w:hAnsi="Arial" w:cs="Arial"/>
                <w:sz w:val="18"/>
                <w:szCs w:val="18"/>
              </w:rPr>
              <w:t>arrangements?</w:t>
            </w:r>
          </w:p>
          <w:p w14:paraId="792ACB10" w14:textId="77777777" w:rsidR="00A77492" w:rsidRPr="00AC02A9" w:rsidRDefault="00A77492" w:rsidP="000472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91C49" w:rsidRPr="00D32CC3" w14:paraId="44C8493C" w14:textId="77777777" w:rsidTr="00C33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44849FB" w14:textId="77777777" w:rsidR="00791C49" w:rsidRPr="00047254" w:rsidRDefault="00791C49" w:rsidP="00047254">
            <w:pPr>
              <w:ind w:left="360"/>
              <w:rPr>
                <w:rFonts w:ascii="Arial" w:hAnsi="Arial" w:cs="Arial"/>
                <w:sz w:val="20"/>
                <w:szCs w:val="20"/>
              </w:rPr>
            </w:pPr>
            <w:r w:rsidRPr="00047254">
              <w:rPr>
                <w:rFonts w:ascii="Arial" w:hAnsi="Arial" w:cs="Arial"/>
                <w:sz w:val="20"/>
                <w:szCs w:val="20"/>
              </w:rPr>
              <w:t>Impact</w:t>
            </w:r>
          </w:p>
        </w:tc>
        <w:tc>
          <w:tcPr>
            <w:tcW w:w="6753" w:type="dxa"/>
          </w:tcPr>
          <w:p w14:paraId="444B03AA" w14:textId="77777777" w:rsidR="00024D9E" w:rsidRPr="00047254" w:rsidRDefault="00791C49" w:rsidP="00047254">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7254">
              <w:rPr>
                <w:rFonts w:ascii="Arial" w:hAnsi="Arial" w:cs="Arial"/>
                <w:sz w:val="18"/>
                <w:szCs w:val="18"/>
              </w:rPr>
              <w:t>This is</w:t>
            </w:r>
            <w:r w:rsidR="00024D9E" w:rsidRPr="00047254">
              <w:rPr>
                <w:rFonts w:ascii="Arial" w:hAnsi="Arial" w:cs="Arial"/>
                <w:sz w:val="18"/>
                <w:szCs w:val="18"/>
              </w:rPr>
              <w:t xml:space="preserve"> likely to involve both</w:t>
            </w:r>
            <w:r w:rsidRPr="00047254">
              <w:rPr>
                <w:rFonts w:ascii="Arial" w:hAnsi="Arial" w:cs="Arial"/>
                <w:sz w:val="18"/>
                <w:szCs w:val="18"/>
              </w:rPr>
              <w:t xml:space="preserve"> quantitative and qualitative evaluation and will look at the overall difference a project has made to the local economy. </w:t>
            </w:r>
          </w:p>
          <w:p w14:paraId="0CD876AA" w14:textId="77777777" w:rsidR="00024D9E" w:rsidRPr="00AC02A9" w:rsidRDefault="00024D9E" w:rsidP="000472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74D0C6E" w14:textId="7389FBC7" w:rsidR="00791C49" w:rsidRPr="00047254" w:rsidRDefault="00D91BC3" w:rsidP="00047254">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7254">
              <w:rPr>
                <w:rFonts w:ascii="Arial" w:hAnsi="Arial" w:cs="Arial"/>
                <w:sz w:val="18"/>
                <w:szCs w:val="18"/>
              </w:rPr>
              <w:t xml:space="preserve">Impact </w:t>
            </w:r>
            <w:r w:rsidR="00791C49" w:rsidRPr="00047254">
              <w:rPr>
                <w:rFonts w:ascii="Arial" w:hAnsi="Arial" w:cs="Arial"/>
                <w:sz w:val="18"/>
                <w:szCs w:val="18"/>
              </w:rPr>
              <w:t>evaluations will be more in depth and generally be reserved for those projects which are novel or offer the greatest opportunity for others to gain learning from.</w:t>
            </w:r>
          </w:p>
          <w:p w14:paraId="11E2CC67" w14:textId="77777777" w:rsidR="00A77492" w:rsidRPr="00AC02A9" w:rsidRDefault="00A77492" w:rsidP="000472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B538B" w:rsidRPr="00D32CC3" w14:paraId="46923925" w14:textId="77777777" w:rsidTr="00C339B3">
        <w:tc>
          <w:tcPr>
            <w:cnfStyle w:val="001000000000" w:firstRow="0" w:lastRow="0" w:firstColumn="1" w:lastColumn="0" w:oddVBand="0" w:evenVBand="0" w:oddHBand="0" w:evenHBand="0" w:firstRowFirstColumn="0" w:firstRowLastColumn="0" w:lastRowFirstColumn="0" w:lastRowLastColumn="0"/>
            <w:tcW w:w="2263" w:type="dxa"/>
          </w:tcPr>
          <w:p w14:paraId="6693DDC1" w14:textId="349011F6" w:rsidR="00DB538B" w:rsidRPr="00047254" w:rsidRDefault="00DB538B" w:rsidP="00047254">
            <w:pPr>
              <w:ind w:left="360"/>
              <w:rPr>
                <w:rFonts w:ascii="Arial" w:hAnsi="Arial" w:cs="Arial"/>
                <w:sz w:val="20"/>
                <w:szCs w:val="20"/>
              </w:rPr>
            </w:pPr>
            <w:r w:rsidRPr="00047254">
              <w:rPr>
                <w:rFonts w:ascii="Arial" w:hAnsi="Arial" w:cs="Arial"/>
                <w:sz w:val="20"/>
                <w:szCs w:val="20"/>
              </w:rPr>
              <w:t xml:space="preserve">Economic </w:t>
            </w:r>
          </w:p>
        </w:tc>
        <w:tc>
          <w:tcPr>
            <w:tcW w:w="6753" w:type="dxa"/>
          </w:tcPr>
          <w:p w14:paraId="0DDA8524" w14:textId="77777777" w:rsidR="00DB538B" w:rsidRPr="00047254" w:rsidRDefault="00DB538B" w:rsidP="00047254">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7254">
              <w:rPr>
                <w:rFonts w:ascii="Arial" w:hAnsi="Arial" w:cs="Arial"/>
                <w:sz w:val="18"/>
                <w:szCs w:val="18"/>
              </w:rPr>
              <w:t>This is a quantitative measurement to calculate how the economic costs associated with a project and an economic translation of the impact or benefits of a project can be represented as a return on investment.</w:t>
            </w:r>
          </w:p>
          <w:p w14:paraId="10D17535" w14:textId="77777777" w:rsidR="00DB538B" w:rsidRPr="00AC02A9" w:rsidRDefault="00DB538B" w:rsidP="000472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099A789" w14:textId="2D56A43B" w:rsidR="00DB538B" w:rsidRPr="00047254" w:rsidRDefault="00DB538B" w:rsidP="00047254">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7254">
              <w:rPr>
                <w:rFonts w:ascii="Arial" w:hAnsi="Arial" w:cs="Arial"/>
                <w:sz w:val="18"/>
                <w:szCs w:val="18"/>
              </w:rPr>
              <w:t>Different types of economic evaluation will apply to different projects such as using a cost per unit of outcome, a wider cost benefit analysis exercise (as is often associated with large transport schemes) and as a net gain in terms of a quantifiable financial or other metric.</w:t>
            </w:r>
          </w:p>
          <w:p w14:paraId="51AF2102" w14:textId="05F61BD7" w:rsidR="00DB538B" w:rsidRPr="00AC02A9" w:rsidRDefault="00DB538B" w:rsidP="00047254">
            <w:pPr>
              <w:ind w:left="4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52AE5704" w14:textId="77777777" w:rsidR="00791C49" w:rsidRPr="00A974C2" w:rsidRDefault="00791C49" w:rsidP="00047254">
      <w:pPr>
        <w:rPr>
          <w:rFonts w:ascii="Arial" w:hAnsi="Arial" w:cs="Arial"/>
        </w:rPr>
      </w:pPr>
    </w:p>
    <w:p w14:paraId="054D1497" w14:textId="4F226E7A" w:rsidR="00591E49" w:rsidRPr="00047254" w:rsidRDefault="00D1741F" w:rsidP="00D1741F">
      <w:pPr>
        <w:ind w:left="426" w:hanging="502"/>
        <w:rPr>
          <w:rFonts w:ascii="Arial" w:hAnsi="Arial" w:cs="Arial"/>
        </w:rPr>
      </w:pPr>
      <w:r>
        <w:rPr>
          <w:rFonts w:ascii="Arial" w:hAnsi="Arial" w:cs="Arial"/>
        </w:rPr>
        <w:t>2.14</w:t>
      </w:r>
      <w:r w:rsidR="0059408A">
        <w:rPr>
          <w:rFonts w:ascii="Arial" w:hAnsi="Arial" w:cs="Arial"/>
        </w:rPr>
        <w:t xml:space="preserve"> </w:t>
      </w:r>
      <w:r w:rsidR="00CC25B3" w:rsidRPr="00047254">
        <w:rPr>
          <w:rFonts w:ascii="Arial" w:hAnsi="Arial" w:cs="Arial"/>
        </w:rPr>
        <w:t xml:space="preserve">Our </w:t>
      </w:r>
      <w:r w:rsidR="006543B4">
        <w:rPr>
          <w:rFonts w:ascii="Arial" w:hAnsi="Arial" w:cs="Arial"/>
        </w:rPr>
        <w:t>Getting Building Fund</w:t>
      </w:r>
      <w:r w:rsidR="00CC25B3" w:rsidRPr="00047254">
        <w:rPr>
          <w:rFonts w:ascii="Arial" w:hAnsi="Arial" w:cs="Arial"/>
        </w:rPr>
        <w:t xml:space="preserve"> projects are key elements in delivering the objectives of the</w:t>
      </w:r>
      <w:r w:rsidR="006543B4">
        <w:rPr>
          <w:rFonts w:ascii="Arial" w:hAnsi="Arial" w:cs="Arial"/>
        </w:rPr>
        <w:t xml:space="preserve"> </w:t>
      </w:r>
      <w:r w:rsidR="00F33BA6">
        <w:rPr>
          <w:rFonts w:ascii="Arial" w:hAnsi="Arial" w:cs="Arial"/>
        </w:rPr>
        <w:t>government’s Covid-19 local recovery plan and align with the</w:t>
      </w:r>
      <w:r w:rsidR="00CC25B3" w:rsidRPr="00047254">
        <w:rPr>
          <w:rFonts w:ascii="Arial" w:hAnsi="Arial" w:cs="Arial"/>
        </w:rPr>
        <w:t xml:space="preserve"> LEP’s Strategic Economic Plan</w:t>
      </w:r>
      <w:r w:rsidR="00F33BA6">
        <w:rPr>
          <w:rFonts w:ascii="Arial" w:hAnsi="Arial" w:cs="Arial"/>
        </w:rPr>
        <w:t>.</w:t>
      </w:r>
      <w:r w:rsidR="00CC25B3" w:rsidRPr="00047254">
        <w:rPr>
          <w:rFonts w:ascii="Arial" w:hAnsi="Arial" w:cs="Arial"/>
        </w:rPr>
        <w:t xml:space="preserve"> </w:t>
      </w:r>
    </w:p>
    <w:p w14:paraId="7B296075" w14:textId="77777777" w:rsidR="00D62375" w:rsidRDefault="00D1741F" w:rsidP="00D1741F">
      <w:pPr>
        <w:ind w:left="360" w:hanging="502"/>
        <w:rPr>
          <w:rFonts w:ascii="Arial" w:hAnsi="Arial" w:cs="Arial"/>
        </w:rPr>
      </w:pPr>
      <w:r>
        <w:rPr>
          <w:rFonts w:ascii="Arial" w:hAnsi="Arial" w:cs="Arial"/>
        </w:rPr>
        <w:t>2.15</w:t>
      </w:r>
      <w:r>
        <w:rPr>
          <w:rFonts w:ascii="Arial" w:hAnsi="Arial" w:cs="Arial"/>
        </w:rPr>
        <w:tab/>
      </w:r>
      <w:r w:rsidR="00F33BA6">
        <w:rPr>
          <w:rFonts w:ascii="Arial" w:hAnsi="Arial" w:cs="Arial"/>
        </w:rPr>
        <w:t xml:space="preserve">It </w:t>
      </w:r>
      <w:r w:rsidR="00CC25B3" w:rsidRPr="00047254">
        <w:rPr>
          <w:rFonts w:ascii="Arial" w:hAnsi="Arial" w:cs="Arial"/>
        </w:rPr>
        <w:t xml:space="preserve">is essential that all projects are evaluated and monitored at least against their stated business plan delivery targets to understand the contribution they have made and the extent to which </w:t>
      </w:r>
      <w:r w:rsidR="00F33BA6">
        <w:rPr>
          <w:rFonts w:ascii="Arial" w:hAnsi="Arial" w:cs="Arial"/>
        </w:rPr>
        <w:t>GBF</w:t>
      </w:r>
      <w:r w:rsidR="00CC25B3" w:rsidRPr="00047254">
        <w:rPr>
          <w:rFonts w:ascii="Arial" w:hAnsi="Arial" w:cs="Arial"/>
        </w:rPr>
        <w:t xml:space="preserve"> investment has helped </w:t>
      </w:r>
      <w:r w:rsidR="000110A6" w:rsidRPr="003C0509">
        <w:rPr>
          <w:rFonts w:ascii="Arial" w:hAnsi="Arial" w:cs="Arial"/>
        </w:rPr>
        <w:t xml:space="preserve">to </w:t>
      </w:r>
      <w:r w:rsidR="000110A6">
        <w:rPr>
          <w:rFonts w:ascii="Arial" w:hAnsi="Arial" w:cs="Arial"/>
        </w:rPr>
        <w:t>support</w:t>
      </w:r>
      <w:r w:rsidR="00D62375">
        <w:rPr>
          <w:rFonts w:ascii="Arial" w:hAnsi="Arial" w:cs="Arial"/>
        </w:rPr>
        <w:t xml:space="preserve"> the government’s post-Covid recovery plan: </w:t>
      </w:r>
    </w:p>
    <w:p w14:paraId="0674D947" w14:textId="77777777" w:rsidR="00D62375" w:rsidRDefault="000110A6" w:rsidP="00D62375">
      <w:pPr>
        <w:pStyle w:val="ListParagraph"/>
        <w:numPr>
          <w:ilvl w:val="0"/>
          <w:numId w:val="13"/>
        </w:numPr>
        <w:rPr>
          <w:rFonts w:ascii="Arial" w:hAnsi="Arial" w:cs="Arial"/>
        </w:rPr>
      </w:pPr>
      <w:r w:rsidRPr="00D62375">
        <w:rPr>
          <w:rFonts w:ascii="Arial" w:hAnsi="Arial" w:cs="Arial"/>
        </w:rPr>
        <w:t>deliver support for businesses through new innovation and enterprise space</w:t>
      </w:r>
    </w:p>
    <w:p w14:paraId="0A276F1C" w14:textId="77777777" w:rsidR="00D62375" w:rsidRDefault="000110A6" w:rsidP="00D62375">
      <w:pPr>
        <w:pStyle w:val="ListParagraph"/>
        <w:numPr>
          <w:ilvl w:val="0"/>
          <w:numId w:val="13"/>
        </w:numPr>
        <w:rPr>
          <w:rFonts w:ascii="Arial" w:hAnsi="Arial" w:cs="Arial"/>
        </w:rPr>
      </w:pPr>
      <w:r w:rsidRPr="00D62375">
        <w:rPr>
          <w:rFonts w:ascii="Arial" w:hAnsi="Arial" w:cs="Arial"/>
        </w:rPr>
        <w:t>investment in digital skills for young people</w:t>
      </w:r>
    </w:p>
    <w:p w14:paraId="7ACC5998" w14:textId="77777777" w:rsidR="00D62375" w:rsidRDefault="000110A6" w:rsidP="00D62375">
      <w:pPr>
        <w:pStyle w:val="ListParagraph"/>
        <w:numPr>
          <w:ilvl w:val="0"/>
          <w:numId w:val="13"/>
        </w:numPr>
        <w:rPr>
          <w:rFonts w:ascii="Arial" w:hAnsi="Arial" w:cs="Arial"/>
        </w:rPr>
      </w:pPr>
      <w:r w:rsidRPr="00D62375">
        <w:rPr>
          <w:rFonts w:ascii="Arial" w:hAnsi="Arial" w:cs="Arial"/>
        </w:rPr>
        <w:t>improvements to transport infrastructure which will unlock new housing sites</w:t>
      </w:r>
    </w:p>
    <w:p w14:paraId="791B9A0D" w14:textId="46A19E6A" w:rsidR="00421DDD" w:rsidRPr="00D62375" w:rsidRDefault="00D62375" w:rsidP="00D62375">
      <w:pPr>
        <w:pStyle w:val="ListParagraph"/>
        <w:numPr>
          <w:ilvl w:val="0"/>
          <w:numId w:val="13"/>
        </w:numPr>
        <w:rPr>
          <w:rFonts w:ascii="Arial" w:hAnsi="Arial" w:cs="Arial"/>
        </w:rPr>
      </w:pPr>
      <w:r>
        <w:rPr>
          <w:rFonts w:ascii="Arial" w:hAnsi="Arial" w:cs="Arial"/>
        </w:rPr>
        <w:t>e</w:t>
      </w:r>
      <w:r w:rsidR="000110A6" w:rsidRPr="00D62375">
        <w:rPr>
          <w:rFonts w:ascii="Arial" w:hAnsi="Arial" w:cs="Arial"/>
        </w:rPr>
        <w:t>nable increased active travel, helping to facilitate a green recovery.</w:t>
      </w:r>
    </w:p>
    <w:p w14:paraId="32F1E394" w14:textId="368C52AB" w:rsidR="00C339B3" w:rsidRDefault="00D1741F" w:rsidP="00AE5BC3">
      <w:pPr>
        <w:spacing w:after="0" w:line="240" w:lineRule="auto"/>
        <w:ind w:left="360" w:hanging="502"/>
        <w:rPr>
          <w:rFonts w:ascii="Arial" w:hAnsi="Arial" w:cs="Arial"/>
        </w:rPr>
      </w:pPr>
      <w:r>
        <w:rPr>
          <w:rFonts w:ascii="Arial" w:hAnsi="Arial" w:cs="Arial"/>
        </w:rPr>
        <w:t xml:space="preserve">2.16 </w:t>
      </w:r>
      <w:r w:rsidR="00591E49" w:rsidRPr="00047254">
        <w:rPr>
          <w:rFonts w:ascii="Arial" w:hAnsi="Arial" w:cs="Arial"/>
        </w:rPr>
        <w:t xml:space="preserve">The greatest value is likely to be gained from a flexible approach to </w:t>
      </w:r>
      <w:r w:rsidR="00D91BC3" w:rsidRPr="00047254">
        <w:rPr>
          <w:rFonts w:ascii="Arial" w:hAnsi="Arial" w:cs="Arial"/>
        </w:rPr>
        <w:t xml:space="preserve">evaluation, targeting where the greatest learning benefits </w:t>
      </w:r>
      <w:r w:rsidR="00591E49" w:rsidRPr="00047254">
        <w:rPr>
          <w:rFonts w:ascii="Arial" w:hAnsi="Arial" w:cs="Arial"/>
        </w:rPr>
        <w:t xml:space="preserve">can be gained. </w:t>
      </w:r>
    </w:p>
    <w:p w14:paraId="404C381F" w14:textId="77777777" w:rsidR="00A60F9A" w:rsidRDefault="00A60F9A" w:rsidP="00AE5BC3">
      <w:pPr>
        <w:spacing w:after="0" w:line="240" w:lineRule="auto"/>
        <w:ind w:left="360" w:hanging="502"/>
        <w:rPr>
          <w:rFonts w:ascii="Arial" w:hAnsi="Arial" w:cs="Arial"/>
        </w:rPr>
      </w:pPr>
    </w:p>
    <w:p w14:paraId="1D1A6533" w14:textId="77777777" w:rsidR="002E3AF8" w:rsidRDefault="002E3AF8" w:rsidP="00AE5BC3">
      <w:pPr>
        <w:spacing w:after="0" w:line="240" w:lineRule="auto"/>
        <w:ind w:left="360" w:hanging="502"/>
        <w:rPr>
          <w:rFonts w:ascii="Arial" w:hAnsi="Arial" w:cs="Arial"/>
        </w:rPr>
      </w:pPr>
    </w:p>
    <w:p w14:paraId="77561E41" w14:textId="57B8660A" w:rsidR="002E3AF8" w:rsidRDefault="00742B24" w:rsidP="00AE5BC3">
      <w:pPr>
        <w:pStyle w:val="ListParagraph"/>
        <w:numPr>
          <w:ilvl w:val="0"/>
          <w:numId w:val="5"/>
        </w:numPr>
        <w:spacing w:after="0" w:line="240" w:lineRule="auto"/>
        <w:rPr>
          <w:rFonts w:ascii="Arial" w:hAnsi="Arial" w:cs="Arial"/>
          <w:b/>
          <w:bCs/>
          <w:sz w:val="24"/>
          <w:szCs w:val="24"/>
        </w:rPr>
      </w:pPr>
      <w:r w:rsidRPr="00AE5BC3">
        <w:rPr>
          <w:rFonts w:ascii="Arial" w:hAnsi="Arial" w:cs="Arial"/>
          <w:b/>
          <w:bCs/>
          <w:sz w:val="24"/>
          <w:szCs w:val="24"/>
        </w:rPr>
        <w:t>Key evaluation principles</w:t>
      </w:r>
    </w:p>
    <w:p w14:paraId="582F7EEC" w14:textId="77777777" w:rsidR="00AE5BC3" w:rsidRPr="00AE5BC3" w:rsidRDefault="00AE5BC3" w:rsidP="00AE5BC3">
      <w:pPr>
        <w:pStyle w:val="ListParagraph"/>
        <w:spacing w:after="0" w:line="240" w:lineRule="auto"/>
        <w:rPr>
          <w:rFonts w:ascii="Arial" w:hAnsi="Arial" w:cs="Arial"/>
          <w:b/>
          <w:bCs/>
          <w:sz w:val="24"/>
          <w:szCs w:val="24"/>
        </w:rPr>
      </w:pPr>
    </w:p>
    <w:p w14:paraId="71C1A341" w14:textId="18893E15" w:rsidR="00742B24" w:rsidRPr="00D1741F" w:rsidRDefault="00D1741F" w:rsidP="00836508">
      <w:pPr>
        <w:spacing w:after="0"/>
        <w:ind w:left="360" w:hanging="360"/>
        <w:rPr>
          <w:rFonts w:ascii="Arial" w:hAnsi="Arial" w:cs="Arial"/>
        </w:rPr>
      </w:pPr>
      <w:r>
        <w:rPr>
          <w:rFonts w:ascii="Arial" w:hAnsi="Arial" w:cs="Arial"/>
        </w:rPr>
        <w:t>3.1</w:t>
      </w:r>
      <w:r>
        <w:rPr>
          <w:rFonts w:ascii="Arial" w:hAnsi="Arial" w:cs="Arial"/>
        </w:rPr>
        <w:tab/>
      </w:r>
      <w:r w:rsidR="00742B24" w:rsidRPr="00D1741F">
        <w:rPr>
          <w:rFonts w:ascii="Arial" w:hAnsi="Arial" w:cs="Arial"/>
        </w:rPr>
        <w:t xml:space="preserve">A flexible approach to evaluation is likely to offer the greatest benefit for the learning and direction of </w:t>
      </w:r>
      <w:r w:rsidR="006A406A">
        <w:rPr>
          <w:rFonts w:ascii="Arial" w:hAnsi="Arial" w:cs="Arial"/>
        </w:rPr>
        <w:t xml:space="preserve">any </w:t>
      </w:r>
      <w:r w:rsidR="00742B24" w:rsidRPr="00D1741F">
        <w:rPr>
          <w:rFonts w:ascii="Arial" w:hAnsi="Arial" w:cs="Arial"/>
        </w:rPr>
        <w:t xml:space="preserve">future project and programme development. </w:t>
      </w:r>
      <w:r w:rsidR="00564E3B" w:rsidRPr="00D1741F">
        <w:rPr>
          <w:rFonts w:ascii="Arial" w:hAnsi="Arial" w:cs="Arial"/>
        </w:rPr>
        <w:t>SSLEP will work with BEIS and beneficiary projects to determine the best approach.</w:t>
      </w:r>
    </w:p>
    <w:p w14:paraId="44B7C299" w14:textId="22CCBDC4" w:rsidR="00E153D8" w:rsidRDefault="00D1741F" w:rsidP="00836508">
      <w:pPr>
        <w:ind w:left="360" w:hanging="360"/>
        <w:rPr>
          <w:rFonts w:ascii="Arial" w:hAnsi="Arial" w:cs="Arial"/>
        </w:rPr>
      </w:pPr>
      <w:r w:rsidRPr="00D1741F">
        <w:rPr>
          <w:rFonts w:ascii="Arial" w:hAnsi="Arial" w:cs="Arial"/>
        </w:rPr>
        <w:t>3.2</w:t>
      </w:r>
      <w:r w:rsidRPr="00D1741F">
        <w:rPr>
          <w:rFonts w:ascii="Arial" w:hAnsi="Arial" w:cs="Arial"/>
        </w:rPr>
        <w:tab/>
      </w:r>
      <w:r w:rsidR="00742B24" w:rsidRPr="00D1741F">
        <w:rPr>
          <w:rFonts w:ascii="Arial" w:hAnsi="Arial" w:cs="Arial"/>
        </w:rPr>
        <w:t>The key principles of our proposed evaluation framework are set out in the table below.</w:t>
      </w:r>
      <w:r w:rsidR="00C30D6B" w:rsidRPr="00D1741F">
        <w:rPr>
          <w:rFonts w:ascii="Arial" w:hAnsi="Arial" w:cs="Arial"/>
        </w:rPr>
        <w:t xml:space="preserve"> As with all similar frameworks it will be important to ensure that this is periodically reviewed to ensure that it remains fit for purpose. </w:t>
      </w:r>
    </w:p>
    <w:p w14:paraId="2398D7C7" w14:textId="77777777" w:rsidR="006A406A" w:rsidRPr="00D1741F" w:rsidRDefault="006A406A" w:rsidP="00836508">
      <w:pPr>
        <w:ind w:left="360" w:hanging="360"/>
        <w:rPr>
          <w:rFonts w:ascii="Arial" w:hAnsi="Arial" w:cs="Arial"/>
        </w:rPr>
      </w:pPr>
    </w:p>
    <w:tbl>
      <w:tblPr>
        <w:tblStyle w:val="GridTable5Dark-Accent2"/>
        <w:tblW w:w="9209" w:type="dxa"/>
        <w:tblLayout w:type="fixed"/>
        <w:tblLook w:val="04A0" w:firstRow="1" w:lastRow="0" w:firstColumn="1" w:lastColumn="0" w:noHBand="0" w:noVBand="1"/>
      </w:tblPr>
      <w:tblGrid>
        <w:gridCol w:w="1696"/>
        <w:gridCol w:w="2835"/>
        <w:gridCol w:w="2268"/>
        <w:gridCol w:w="2410"/>
      </w:tblGrid>
      <w:tr w:rsidR="000102D4" w:rsidRPr="00A974C2" w14:paraId="288F37EB" w14:textId="77777777" w:rsidTr="00CB1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75C4A8" w14:textId="77777777" w:rsidR="000102D4" w:rsidRPr="00D1741F" w:rsidRDefault="000102D4" w:rsidP="00CB1990">
            <w:pPr>
              <w:ind w:left="360"/>
              <w:jc w:val="center"/>
              <w:rPr>
                <w:rFonts w:ascii="Arial" w:hAnsi="Arial" w:cs="Arial"/>
              </w:rPr>
            </w:pPr>
            <w:r w:rsidRPr="00D1741F">
              <w:rPr>
                <w:rFonts w:ascii="Arial" w:hAnsi="Arial" w:cs="Arial"/>
              </w:rPr>
              <w:lastRenderedPageBreak/>
              <w:t>Approach</w:t>
            </w:r>
          </w:p>
        </w:tc>
        <w:tc>
          <w:tcPr>
            <w:tcW w:w="2835" w:type="dxa"/>
          </w:tcPr>
          <w:p w14:paraId="5C063433" w14:textId="77777777" w:rsidR="000102D4" w:rsidRPr="00D1741F" w:rsidRDefault="000102D4" w:rsidP="00CB1990">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741F">
              <w:rPr>
                <w:rFonts w:ascii="Arial" w:hAnsi="Arial" w:cs="Arial"/>
              </w:rPr>
              <w:t>Rationale</w:t>
            </w:r>
          </w:p>
          <w:p w14:paraId="750D7A31" w14:textId="77777777" w:rsidR="000102D4" w:rsidRPr="00A974C2" w:rsidRDefault="000102D4" w:rsidP="00CB199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8" w:type="dxa"/>
          </w:tcPr>
          <w:p w14:paraId="211598B2" w14:textId="77777777" w:rsidR="000102D4" w:rsidRPr="00D1741F" w:rsidRDefault="000102D4" w:rsidP="00CB1990">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741F">
              <w:rPr>
                <w:rFonts w:ascii="Arial" w:hAnsi="Arial" w:cs="Arial"/>
              </w:rPr>
              <w:t>Method of Evaluation</w:t>
            </w:r>
          </w:p>
        </w:tc>
        <w:tc>
          <w:tcPr>
            <w:tcW w:w="2410" w:type="dxa"/>
          </w:tcPr>
          <w:p w14:paraId="548FB7E9" w14:textId="77777777" w:rsidR="000102D4" w:rsidRPr="00D1741F" w:rsidRDefault="000102D4" w:rsidP="00CB1990">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741F">
              <w:rPr>
                <w:rFonts w:ascii="Arial" w:hAnsi="Arial" w:cs="Arial"/>
              </w:rPr>
              <w:t>Dissemination of Information</w:t>
            </w:r>
          </w:p>
        </w:tc>
      </w:tr>
      <w:tr w:rsidR="000102D4" w:rsidRPr="00D32CC3" w14:paraId="41A12BC1" w14:textId="77777777" w:rsidTr="00CB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960F6C9" w14:textId="77777777" w:rsidR="000102D4" w:rsidRPr="00D1741F" w:rsidRDefault="000102D4" w:rsidP="00CB1990">
            <w:pPr>
              <w:ind w:left="360"/>
              <w:rPr>
                <w:rFonts w:ascii="Arial" w:hAnsi="Arial" w:cs="Arial"/>
                <w:sz w:val="20"/>
                <w:szCs w:val="20"/>
              </w:rPr>
            </w:pPr>
            <w:r w:rsidRPr="00D1741F">
              <w:rPr>
                <w:rFonts w:ascii="Arial" w:hAnsi="Arial" w:cs="Arial"/>
                <w:sz w:val="20"/>
                <w:szCs w:val="20"/>
              </w:rPr>
              <w:t>Output</w:t>
            </w:r>
          </w:p>
        </w:tc>
        <w:tc>
          <w:tcPr>
            <w:tcW w:w="2835" w:type="dxa"/>
          </w:tcPr>
          <w:p w14:paraId="37E82A47" w14:textId="77777777" w:rsidR="000102D4" w:rsidRDefault="000102D4" w:rsidP="00CB1990">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 xml:space="preserve">Appropriate for projects where standard methodologies are in place for appraising projects or where standard metrics apply. </w:t>
            </w:r>
          </w:p>
          <w:p w14:paraId="60AAB48A" w14:textId="77777777" w:rsidR="000102D4" w:rsidRPr="00D1741F" w:rsidRDefault="000102D4" w:rsidP="00CB1990">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8" w:type="dxa"/>
          </w:tcPr>
          <w:p w14:paraId="0FDD0EAB" w14:textId="77777777" w:rsidR="000102D4" w:rsidRPr="00D1741F" w:rsidRDefault="000102D4" w:rsidP="00CB1990">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 xml:space="preserve">Normal project monitoring reports submitted to the LEP. No funding generally required </w:t>
            </w:r>
          </w:p>
        </w:tc>
        <w:tc>
          <w:tcPr>
            <w:tcW w:w="2410" w:type="dxa"/>
          </w:tcPr>
          <w:p w14:paraId="2E886541" w14:textId="77777777" w:rsidR="000102D4" w:rsidRPr="00D1741F" w:rsidRDefault="000102D4" w:rsidP="00CB1990">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Management information through SSLEP website and reports to relevant groups and boards</w:t>
            </w:r>
          </w:p>
        </w:tc>
      </w:tr>
      <w:tr w:rsidR="000102D4" w:rsidRPr="00D32CC3" w14:paraId="12F9288E" w14:textId="77777777" w:rsidTr="00CB1990">
        <w:trPr>
          <w:trHeight w:val="2619"/>
        </w:trPr>
        <w:tc>
          <w:tcPr>
            <w:cnfStyle w:val="001000000000" w:firstRow="0" w:lastRow="0" w:firstColumn="1" w:lastColumn="0" w:oddVBand="0" w:evenVBand="0" w:oddHBand="0" w:evenHBand="0" w:firstRowFirstColumn="0" w:firstRowLastColumn="0" w:lastRowFirstColumn="0" w:lastRowLastColumn="0"/>
            <w:tcW w:w="1696" w:type="dxa"/>
          </w:tcPr>
          <w:p w14:paraId="5F186D58" w14:textId="77777777" w:rsidR="000102D4" w:rsidRPr="00D1741F" w:rsidRDefault="000102D4" w:rsidP="00CB1990">
            <w:pPr>
              <w:ind w:left="360"/>
              <w:rPr>
                <w:rFonts w:ascii="Arial" w:hAnsi="Arial" w:cs="Arial"/>
                <w:sz w:val="20"/>
                <w:szCs w:val="20"/>
              </w:rPr>
            </w:pPr>
            <w:r w:rsidRPr="00D1741F">
              <w:rPr>
                <w:rFonts w:ascii="Arial" w:hAnsi="Arial" w:cs="Arial"/>
                <w:sz w:val="20"/>
                <w:szCs w:val="20"/>
              </w:rPr>
              <w:t>Process</w:t>
            </w:r>
          </w:p>
        </w:tc>
        <w:tc>
          <w:tcPr>
            <w:tcW w:w="2835" w:type="dxa"/>
          </w:tcPr>
          <w:p w14:paraId="4727A7D4" w14:textId="77777777" w:rsidR="000102D4" w:rsidRPr="00D1741F" w:rsidRDefault="000102D4" w:rsidP="00CB199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Appropriate for projects which were more reliant on a ‘process’ to drive delivery. Evaluation is likely to consider the operation and efficiency of the process and the best ways of sharing best practice and lessons learnt.</w:t>
            </w:r>
          </w:p>
        </w:tc>
        <w:tc>
          <w:tcPr>
            <w:tcW w:w="2268" w:type="dxa"/>
          </w:tcPr>
          <w:p w14:paraId="575E4835" w14:textId="77777777" w:rsidR="000102D4" w:rsidRDefault="000102D4" w:rsidP="00CB199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91C10">
              <w:rPr>
                <w:rFonts w:ascii="Arial" w:hAnsi="Arial" w:cs="Arial"/>
                <w:b/>
                <w:bCs/>
                <w:sz w:val="18"/>
                <w:szCs w:val="18"/>
              </w:rPr>
              <w:t>Independent detailed evaluation</w:t>
            </w:r>
            <w:r w:rsidRPr="00D1741F">
              <w:rPr>
                <w:rFonts w:ascii="Arial" w:hAnsi="Arial" w:cs="Arial"/>
                <w:sz w:val="18"/>
                <w:szCs w:val="18"/>
              </w:rPr>
              <w:t>.</w:t>
            </w:r>
          </w:p>
          <w:p w14:paraId="5704EB13" w14:textId="77777777" w:rsidR="000102D4" w:rsidRPr="00DB538B" w:rsidRDefault="000102D4" w:rsidP="00CB199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BB1F3A" w14:textId="77777777" w:rsidR="000102D4" w:rsidRPr="00DB538B" w:rsidRDefault="000102D4" w:rsidP="00CB199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 xml:space="preserve">This should ideally be commissioned and funded by the project sponsor, however the historic requirements within funding agreements may mean that it is difficult to secure funding. </w:t>
            </w:r>
          </w:p>
        </w:tc>
        <w:tc>
          <w:tcPr>
            <w:tcW w:w="2410" w:type="dxa"/>
          </w:tcPr>
          <w:p w14:paraId="0FA9E06B" w14:textId="77777777" w:rsidR="000102D4" w:rsidRPr="00D1741F" w:rsidRDefault="000102D4" w:rsidP="00CB199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SSLEP website,</w:t>
            </w:r>
          </w:p>
          <w:p w14:paraId="03133587" w14:textId="77777777" w:rsidR="000102D4" w:rsidRPr="00D1741F" w:rsidRDefault="000102D4" w:rsidP="00CB199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Case studies, presentations at LEP events,  stakeholder events etc.</w:t>
            </w:r>
          </w:p>
        </w:tc>
      </w:tr>
      <w:tr w:rsidR="000102D4" w:rsidRPr="00D32CC3" w14:paraId="3BC0B26A" w14:textId="77777777" w:rsidTr="00CB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B957F04" w14:textId="77777777" w:rsidR="000102D4" w:rsidRPr="00D1741F" w:rsidRDefault="000102D4" w:rsidP="00CB1990">
            <w:pPr>
              <w:ind w:left="360"/>
              <w:rPr>
                <w:rFonts w:ascii="Arial" w:hAnsi="Arial" w:cs="Arial"/>
                <w:sz w:val="20"/>
                <w:szCs w:val="20"/>
              </w:rPr>
            </w:pPr>
            <w:r w:rsidRPr="00D1741F">
              <w:rPr>
                <w:rFonts w:ascii="Arial" w:hAnsi="Arial" w:cs="Arial"/>
                <w:sz w:val="20"/>
                <w:szCs w:val="20"/>
              </w:rPr>
              <w:t>Impact</w:t>
            </w:r>
          </w:p>
        </w:tc>
        <w:tc>
          <w:tcPr>
            <w:tcW w:w="2835" w:type="dxa"/>
          </w:tcPr>
          <w:p w14:paraId="3136AC79" w14:textId="77777777" w:rsidR="000102D4" w:rsidRDefault="000102D4" w:rsidP="00CB1990">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Appropriate for projects which are more innovative or unique in their objectives; or approach. Evaluation should focus on the key learning points such as how could the project be delivered differently and what learning opportunities could be shared to shape similar projects in the future to reduce costs, deliver more quickly or achieve better outcomes, reduce risks and or/improve quality.</w:t>
            </w:r>
          </w:p>
          <w:p w14:paraId="198366B7" w14:textId="77777777" w:rsidR="000102D4" w:rsidRPr="00D1741F" w:rsidRDefault="000102D4" w:rsidP="00CB1990">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 xml:space="preserve">  </w:t>
            </w:r>
          </w:p>
        </w:tc>
        <w:tc>
          <w:tcPr>
            <w:tcW w:w="2268" w:type="dxa"/>
          </w:tcPr>
          <w:p w14:paraId="61083C44" w14:textId="77777777" w:rsidR="000102D4" w:rsidRDefault="000102D4" w:rsidP="00CB1990">
            <w:pPr>
              <w:ind w:left="36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91C10">
              <w:rPr>
                <w:rFonts w:ascii="Arial" w:hAnsi="Arial" w:cs="Arial"/>
                <w:b/>
                <w:bCs/>
                <w:sz w:val="18"/>
                <w:szCs w:val="18"/>
              </w:rPr>
              <w:t>Independent detailed evaluation.</w:t>
            </w:r>
          </w:p>
          <w:p w14:paraId="13FCE8FA" w14:textId="77777777" w:rsidR="000102D4" w:rsidRPr="00891C10" w:rsidRDefault="000102D4" w:rsidP="00CB1990">
            <w:pPr>
              <w:ind w:left="36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p w14:paraId="6882845A" w14:textId="77777777" w:rsidR="000102D4" w:rsidRPr="00D1741F" w:rsidRDefault="000102D4" w:rsidP="00CB1990">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 xml:space="preserve">This should ideally be commissioned and funded by the project sponsor, however the historic requirements within funding agreements may mean that it is difficult to secure funding. </w:t>
            </w:r>
          </w:p>
          <w:p w14:paraId="721C601C" w14:textId="77777777" w:rsidR="000102D4" w:rsidRPr="00DB538B" w:rsidRDefault="000102D4" w:rsidP="00CB199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10" w:type="dxa"/>
          </w:tcPr>
          <w:p w14:paraId="45A01632" w14:textId="77777777" w:rsidR="000102D4" w:rsidRPr="00D1741F" w:rsidRDefault="000102D4" w:rsidP="00CB1990">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SSLEP website,</w:t>
            </w:r>
          </w:p>
          <w:p w14:paraId="2980581A" w14:textId="77777777" w:rsidR="000102D4" w:rsidRPr="00D1741F" w:rsidRDefault="000102D4" w:rsidP="00CB1990">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Case studies, presentations at LEP events,  stakeholder events etc.</w:t>
            </w:r>
          </w:p>
        </w:tc>
      </w:tr>
      <w:tr w:rsidR="000102D4" w:rsidRPr="00D32CC3" w14:paraId="7FD3D564" w14:textId="77777777" w:rsidTr="00CB1990">
        <w:tc>
          <w:tcPr>
            <w:cnfStyle w:val="001000000000" w:firstRow="0" w:lastRow="0" w:firstColumn="1" w:lastColumn="0" w:oddVBand="0" w:evenVBand="0" w:oddHBand="0" w:evenHBand="0" w:firstRowFirstColumn="0" w:firstRowLastColumn="0" w:lastRowFirstColumn="0" w:lastRowLastColumn="0"/>
            <w:tcW w:w="1696" w:type="dxa"/>
          </w:tcPr>
          <w:p w14:paraId="6A896598" w14:textId="77777777" w:rsidR="000102D4" w:rsidRPr="00D1741F" w:rsidRDefault="000102D4" w:rsidP="00CB1990">
            <w:pPr>
              <w:ind w:left="360"/>
              <w:rPr>
                <w:rFonts w:ascii="Arial" w:hAnsi="Arial" w:cs="Arial"/>
                <w:sz w:val="20"/>
                <w:szCs w:val="20"/>
              </w:rPr>
            </w:pPr>
            <w:r w:rsidRPr="00D1741F">
              <w:rPr>
                <w:rFonts w:ascii="Arial" w:hAnsi="Arial" w:cs="Arial"/>
                <w:sz w:val="20"/>
                <w:szCs w:val="20"/>
              </w:rPr>
              <w:t>Economic</w:t>
            </w:r>
          </w:p>
        </w:tc>
        <w:tc>
          <w:tcPr>
            <w:tcW w:w="2835" w:type="dxa"/>
          </w:tcPr>
          <w:p w14:paraId="340B774C" w14:textId="77777777" w:rsidR="000102D4" w:rsidRPr="00D1741F" w:rsidRDefault="000102D4" w:rsidP="00CB199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To establish the cost per unit outcome or cost/benefit analysis of a project.</w:t>
            </w:r>
          </w:p>
        </w:tc>
        <w:tc>
          <w:tcPr>
            <w:tcW w:w="2268" w:type="dxa"/>
          </w:tcPr>
          <w:p w14:paraId="36EC7AD9" w14:textId="77777777" w:rsidR="000102D4" w:rsidRDefault="000102D4" w:rsidP="00CB199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 xml:space="preserve">A recognition of the need to define quantifiable project costs and benefits at the outset of a project will be required. </w:t>
            </w:r>
          </w:p>
          <w:p w14:paraId="2931A150" w14:textId="77777777" w:rsidR="000102D4" w:rsidRPr="00D1741F" w:rsidRDefault="000102D4" w:rsidP="00CB199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10" w:type="dxa"/>
          </w:tcPr>
          <w:p w14:paraId="700642AA" w14:textId="77777777" w:rsidR="000102D4" w:rsidRPr="00D1741F" w:rsidRDefault="000102D4" w:rsidP="00CB199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Management information through SSLEP website and reports to relevant groups and boards. Case studies etc.</w:t>
            </w:r>
          </w:p>
          <w:p w14:paraId="3B387456" w14:textId="77777777" w:rsidR="000102D4" w:rsidRPr="00DB538B" w:rsidRDefault="000102D4" w:rsidP="00CB1990">
            <w:pPr>
              <w:ind w:left="4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102D4" w:rsidRPr="00D32CC3" w14:paraId="0A36FA25" w14:textId="77777777" w:rsidTr="00CB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4"/>
          </w:tcPr>
          <w:p w14:paraId="7CAE4879" w14:textId="77777777" w:rsidR="000102D4" w:rsidRPr="00D1741F" w:rsidRDefault="000102D4" w:rsidP="00CB1990">
            <w:pPr>
              <w:ind w:left="360"/>
              <w:jc w:val="center"/>
              <w:rPr>
                <w:rFonts w:ascii="Arial" w:hAnsi="Arial" w:cs="Arial"/>
                <w:sz w:val="20"/>
                <w:szCs w:val="20"/>
              </w:rPr>
            </w:pPr>
          </w:p>
          <w:p w14:paraId="451F4092" w14:textId="77777777" w:rsidR="000102D4" w:rsidRDefault="000102D4" w:rsidP="00CB1990">
            <w:pPr>
              <w:ind w:left="360"/>
              <w:jc w:val="center"/>
              <w:rPr>
                <w:rFonts w:ascii="Arial" w:hAnsi="Arial" w:cs="Arial"/>
                <w:b w:val="0"/>
                <w:bCs w:val="0"/>
                <w:sz w:val="20"/>
                <w:szCs w:val="20"/>
              </w:rPr>
            </w:pPr>
            <w:r w:rsidRPr="00D1741F">
              <w:rPr>
                <w:rFonts w:ascii="Arial" w:hAnsi="Arial" w:cs="Arial"/>
                <w:sz w:val="20"/>
                <w:szCs w:val="20"/>
              </w:rPr>
              <w:t>Anticipated Level of Evaluation Detail</w:t>
            </w:r>
          </w:p>
          <w:p w14:paraId="5AFCE932" w14:textId="77777777" w:rsidR="000102D4" w:rsidRPr="00D1741F" w:rsidRDefault="000102D4" w:rsidP="00CB1990">
            <w:pPr>
              <w:ind w:left="360"/>
              <w:rPr>
                <w:rFonts w:ascii="Arial" w:hAnsi="Arial" w:cs="Arial"/>
                <w:sz w:val="20"/>
                <w:szCs w:val="20"/>
              </w:rPr>
            </w:pPr>
            <w:r>
              <w:rPr>
                <w:noProof/>
              </w:rPr>
              <w:drawing>
                <wp:inline distT="0" distB="0" distL="0" distR="0" wp14:anchorId="51FD8CBF" wp14:editId="070D656A">
                  <wp:extent cx="5400675" cy="247650"/>
                  <wp:effectExtent l="19050" t="38100" r="9525"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38AF9EF" w14:textId="77777777" w:rsidR="000102D4" w:rsidRDefault="000102D4" w:rsidP="00CB1990">
            <w:pPr>
              <w:rPr>
                <w:rFonts w:ascii="Arial" w:hAnsi="Arial" w:cs="Arial"/>
                <w:b w:val="0"/>
                <w:bCs w:val="0"/>
                <w:sz w:val="20"/>
                <w:szCs w:val="20"/>
              </w:rPr>
            </w:pPr>
          </w:p>
          <w:p w14:paraId="75A30656" w14:textId="77777777" w:rsidR="000102D4" w:rsidRPr="00D1741F" w:rsidRDefault="000102D4" w:rsidP="00CB1990">
            <w:pPr>
              <w:ind w:left="360"/>
              <w:jc w:val="center"/>
              <w:rPr>
                <w:rFonts w:ascii="Arial" w:hAnsi="Arial" w:cs="Arial"/>
                <w:sz w:val="20"/>
                <w:szCs w:val="20"/>
              </w:rPr>
            </w:pPr>
            <w:r w:rsidRPr="00D1741F">
              <w:rPr>
                <w:rFonts w:ascii="Arial" w:hAnsi="Arial" w:cs="Arial"/>
                <w:sz w:val="20"/>
                <w:szCs w:val="20"/>
              </w:rPr>
              <w:t xml:space="preserve">Scale of Intervention </w:t>
            </w:r>
          </w:p>
        </w:tc>
      </w:tr>
      <w:tr w:rsidR="000102D4" w:rsidRPr="0030569B" w14:paraId="78F45F6B" w14:textId="77777777" w:rsidTr="00CB1990">
        <w:trPr>
          <w:trHeight w:val="1833"/>
        </w:trPr>
        <w:tc>
          <w:tcPr>
            <w:cnfStyle w:val="001000000000" w:firstRow="0" w:lastRow="0" w:firstColumn="1" w:lastColumn="0" w:oddVBand="0" w:evenVBand="0" w:oddHBand="0" w:evenHBand="0" w:firstRowFirstColumn="0" w:firstRowLastColumn="0" w:lastRowFirstColumn="0" w:lastRowLastColumn="0"/>
            <w:tcW w:w="9209" w:type="dxa"/>
            <w:gridSpan w:val="4"/>
            <w:shd w:val="clear" w:color="auto" w:fill="F4B083" w:themeFill="accent2" w:themeFillTint="99"/>
          </w:tcPr>
          <w:p w14:paraId="7A271C4E" w14:textId="77777777" w:rsidR="000102D4" w:rsidRPr="00697823" w:rsidRDefault="000102D4" w:rsidP="00CB1990">
            <w:pPr>
              <w:ind w:left="360"/>
              <w:rPr>
                <w:rFonts w:ascii="Arial" w:hAnsi="Arial" w:cs="Arial"/>
                <w:b w:val="0"/>
                <w:bCs w:val="0"/>
                <w:color w:val="auto"/>
                <w:sz w:val="20"/>
                <w:szCs w:val="20"/>
              </w:rPr>
            </w:pPr>
          </w:p>
          <w:p w14:paraId="4975C563" w14:textId="77777777" w:rsidR="000102D4" w:rsidRPr="00697823" w:rsidRDefault="000102D4" w:rsidP="00CB1990">
            <w:pPr>
              <w:ind w:left="360"/>
              <w:rPr>
                <w:rFonts w:ascii="Arial" w:hAnsi="Arial" w:cs="Arial"/>
                <w:b w:val="0"/>
                <w:bCs w:val="0"/>
                <w:color w:val="auto"/>
                <w:sz w:val="18"/>
                <w:szCs w:val="18"/>
              </w:rPr>
            </w:pPr>
            <w:r w:rsidRPr="00697823">
              <w:rPr>
                <w:rFonts w:ascii="Arial" w:hAnsi="Arial" w:cs="Arial"/>
                <w:b w:val="0"/>
                <w:bCs w:val="0"/>
                <w:color w:val="auto"/>
                <w:sz w:val="18"/>
                <w:szCs w:val="18"/>
              </w:rPr>
              <w:t>The Scope and scale of evaluation information provided by relevant projects and programmes is likely to be in accordance with the scale of the intervention (in respect of planned benefits, length of project and investment required)</w:t>
            </w:r>
          </w:p>
          <w:p w14:paraId="462233EB" w14:textId="77777777" w:rsidR="000102D4" w:rsidRPr="00697823" w:rsidRDefault="000102D4" w:rsidP="00CB1990">
            <w:pPr>
              <w:rPr>
                <w:rFonts w:ascii="Arial" w:hAnsi="Arial" w:cs="Arial"/>
                <w:b w:val="0"/>
                <w:bCs w:val="0"/>
                <w:color w:val="auto"/>
                <w:sz w:val="18"/>
                <w:szCs w:val="18"/>
              </w:rPr>
            </w:pPr>
          </w:p>
          <w:p w14:paraId="292E86C1" w14:textId="77777777" w:rsidR="000102D4" w:rsidRPr="00D1741F" w:rsidRDefault="000102D4" w:rsidP="00CB1990">
            <w:pPr>
              <w:ind w:left="360"/>
              <w:rPr>
                <w:rFonts w:ascii="Arial" w:hAnsi="Arial" w:cs="Arial"/>
                <w:sz w:val="18"/>
                <w:szCs w:val="18"/>
              </w:rPr>
            </w:pPr>
            <w:r w:rsidRPr="00697823">
              <w:rPr>
                <w:rFonts w:ascii="Arial" w:hAnsi="Arial" w:cs="Arial"/>
                <w:b w:val="0"/>
                <w:bCs w:val="0"/>
                <w:color w:val="auto"/>
                <w:sz w:val="18"/>
                <w:szCs w:val="18"/>
              </w:rPr>
              <w:t>As discussed above, the Major Scheme Business Cases for large transport projects are likely to include a level of detail and complexity which may sit beyond the scope of this framework</w:t>
            </w:r>
          </w:p>
        </w:tc>
      </w:tr>
    </w:tbl>
    <w:p w14:paraId="009DE6C2" w14:textId="2D5C6754" w:rsidR="00AF76BF" w:rsidRPr="00A974C2" w:rsidRDefault="00AF76BF">
      <w:pPr>
        <w:rPr>
          <w:rFonts w:ascii="Arial" w:hAnsi="Arial" w:cs="Arial"/>
          <w:b/>
          <w:u w:val="single"/>
        </w:rPr>
      </w:pPr>
    </w:p>
    <w:p w14:paraId="09917E42" w14:textId="77777777" w:rsidR="00AC02A9" w:rsidRDefault="00AC02A9">
      <w:pPr>
        <w:rPr>
          <w:rFonts w:ascii="Arial" w:hAnsi="Arial" w:cs="Arial"/>
          <w:b/>
          <w:sz w:val="24"/>
          <w:szCs w:val="24"/>
        </w:rPr>
      </w:pPr>
    </w:p>
    <w:p w14:paraId="51469383" w14:textId="477C6091" w:rsidR="00D42453" w:rsidRPr="00047254" w:rsidRDefault="00D42453" w:rsidP="00047254">
      <w:pPr>
        <w:pStyle w:val="ListParagraph"/>
        <w:numPr>
          <w:ilvl w:val="0"/>
          <w:numId w:val="5"/>
        </w:numPr>
        <w:rPr>
          <w:rFonts w:ascii="Arial" w:hAnsi="Arial" w:cs="Arial"/>
          <w:b/>
          <w:sz w:val="24"/>
          <w:szCs w:val="24"/>
        </w:rPr>
      </w:pPr>
      <w:r w:rsidRPr="00047254">
        <w:rPr>
          <w:rFonts w:ascii="Arial" w:hAnsi="Arial" w:cs="Arial"/>
          <w:b/>
          <w:sz w:val="24"/>
          <w:szCs w:val="24"/>
        </w:rPr>
        <w:lastRenderedPageBreak/>
        <w:t>Lessons Learned Logs and Project Closure information</w:t>
      </w:r>
    </w:p>
    <w:p w14:paraId="3D1E0BAA" w14:textId="20CC4FBF" w:rsidR="0030569B" w:rsidRPr="00D1741F" w:rsidRDefault="00D1741F" w:rsidP="00836508">
      <w:pPr>
        <w:ind w:left="360" w:hanging="360"/>
        <w:rPr>
          <w:rFonts w:ascii="Arial" w:hAnsi="Arial" w:cs="Arial"/>
          <w:bCs/>
        </w:rPr>
      </w:pPr>
      <w:r>
        <w:rPr>
          <w:rFonts w:ascii="Arial" w:hAnsi="Arial" w:cs="Arial"/>
          <w:bCs/>
        </w:rPr>
        <w:t>4.1</w:t>
      </w:r>
      <w:r>
        <w:rPr>
          <w:rFonts w:ascii="Arial" w:hAnsi="Arial" w:cs="Arial"/>
          <w:bCs/>
        </w:rPr>
        <w:tab/>
      </w:r>
      <w:r w:rsidR="00D42453" w:rsidRPr="00D1741F">
        <w:rPr>
          <w:rFonts w:ascii="Arial" w:hAnsi="Arial" w:cs="Arial"/>
          <w:bCs/>
        </w:rPr>
        <w:t>As</w:t>
      </w:r>
      <w:r w:rsidR="002E5D90" w:rsidRPr="00D1741F">
        <w:rPr>
          <w:rFonts w:ascii="Arial" w:hAnsi="Arial" w:cs="Arial"/>
          <w:bCs/>
        </w:rPr>
        <w:t xml:space="preserve"> a key</w:t>
      </w:r>
      <w:r w:rsidR="00D42453" w:rsidRPr="00D1741F">
        <w:rPr>
          <w:rFonts w:ascii="Arial" w:hAnsi="Arial" w:cs="Arial"/>
          <w:bCs/>
        </w:rPr>
        <w:t xml:space="preserve"> part of the ongoing programme management of the </w:t>
      </w:r>
      <w:r w:rsidR="002E3AF8">
        <w:rPr>
          <w:rFonts w:ascii="Arial" w:hAnsi="Arial" w:cs="Arial"/>
          <w:bCs/>
        </w:rPr>
        <w:t>Getting Building Fund</w:t>
      </w:r>
      <w:r w:rsidR="00D42453" w:rsidRPr="00D1741F">
        <w:rPr>
          <w:rFonts w:ascii="Arial" w:hAnsi="Arial" w:cs="Arial"/>
          <w:bCs/>
        </w:rPr>
        <w:t xml:space="preserve"> as well as other relevant programmes under its jurisdiction, the SSLEP has introduced a Lessons Learned process to capture, learn from and share relevant findings from active and completed projects and programmes. </w:t>
      </w:r>
    </w:p>
    <w:p w14:paraId="3EE219D3" w14:textId="678F7354" w:rsidR="00D42453" w:rsidRPr="00D1741F" w:rsidRDefault="00D1741F" w:rsidP="00836508">
      <w:pPr>
        <w:ind w:left="360" w:hanging="360"/>
        <w:rPr>
          <w:rFonts w:ascii="Arial" w:hAnsi="Arial" w:cs="Arial"/>
          <w:bCs/>
        </w:rPr>
      </w:pPr>
      <w:r>
        <w:rPr>
          <w:rFonts w:ascii="Arial" w:hAnsi="Arial" w:cs="Arial"/>
          <w:bCs/>
        </w:rPr>
        <w:t>4.2</w:t>
      </w:r>
      <w:r>
        <w:rPr>
          <w:rFonts w:ascii="Arial" w:hAnsi="Arial" w:cs="Arial"/>
          <w:bCs/>
        </w:rPr>
        <w:tab/>
      </w:r>
      <w:r w:rsidR="00D42453" w:rsidRPr="00D1741F">
        <w:rPr>
          <w:rFonts w:ascii="Arial" w:hAnsi="Arial" w:cs="Arial"/>
          <w:bCs/>
        </w:rPr>
        <w:t xml:space="preserve">The Lessons Learned information has </w:t>
      </w:r>
      <w:r w:rsidR="00A974C2" w:rsidRPr="00D1741F">
        <w:rPr>
          <w:rFonts w:ascii="Arial" w:hAnsi="Arial" w:cs="Arial"/>
          <w:bCs/>
        </w:rPr>
        <w:t xml:space="preserve">informed recent improvements to the SSLEPs programme management arrangement such as how outputs are captured and reported, the structure of and mechanisms contained within funding agreements, and the criteria against which candidate projects are assessed for potential funding. </w:t>
      </w:r>
    </w:p>
    <w:p w14:paraId="2B2EFF75" w14:textId="1193C17E" w:rsidR="00A974C2" w:rsidRDefault="00D1741F" w:rsidP="00836508">
      <w:pPr>
        <w:ind w:left="360" w:hanging="360"/>
        <w:rPr>
          <w:rFonts w:ascii="Arial" w:hAnsi="Arial" w:cs="Arial"/>
          <w:bCs/>
        </w:rPr>
      </w:pPr>
      <w:r>
        <w:rPr>
          <w:rFonts w:ascii="Arial" w:hAnsi="Arial" w:cs="Arial"/>
          <w:bCs/>
        </w:rPr>
        <w:t>4.3</w:t>
      </w:r>
      <w:r>
        <w:rPr>
          <w:rFonts w:ascii="Arial" w:hAnsi="Arial" w:cs="Arial"/>
          <w:bCs/>
        </w:rPr>
        <w:tab/>
      </w:r>
      <w:r w:rsidR="00A974C2" w:rsidRPr="00D1741F">
        <w:rPr>
          <w:rFonts w:ascii="Arial" w:hAnsi="Arial" w:cs="Arial"/>
          <w:bCs/>
        </w:rPr>
        <w:t xml:space="preserve">At the closure of relevant projects, the SSLEP will request a project closure report from the project sponsors. Such project closure reports will invariably include a substantial body of evidence which will be valuable to the overall monitoring and evaluation framework. </w:t>
      </w:r>
    </w:p>
    <w:p w14:paraId="6C72B578" w14:textId="77777777" w:rsidR="00D1741F" w:rsidRPr="00D1741F" w:rsidRDefault="00D1741F" w:rsidP="00D1741F">
      <w:pPr>
        <w:ind w:left="720" w:hanging="360"/>
        <w:rPr>
          <w:rFonts w:ascii="Arial" w:hAnsi="Arial" w:cs="Arial"/>
          <w:bCs/>
        </w:rPr>
      </w:pPr>
    </w:p>
    <w:p w14:paraId="0EF8D630" w14:textId="24E38C1F" w:rsidR="00DD4839" w:rsidRPr="00047254" w:rsidRDefault="00DD4839" w:rsidP="00047254">
      <w:pPr>
        <w:pStyle w:val="ListParagraph"/>
        <w:numPr>
          <w:ilvl w:val="0"/>
          <w:numId w:val="5"/>
        </w:numPr>
        <w:rPr>
          <w:rFonts w:ascii="Arial" w:hAnsi="Arial" w:cs="Arial"/>
          <w:b/>
          <w:sz w:val="24"/>
          <w:szCs w:val="24"/>
        </w:rPr>
      </w:pPr>
      <w:r w:rsidRPr="00047254">
        <w:rPr>
          <w:rFonts w:ascii="Arial" w:hAnsi="Arial" w:cs="Arial"/>
          <w:b/>
          <w:sz w:val="24"/>
          <w:szCs w:val="24"/>
        </w:rPr>
        <w:t>Conclusion</w:t>
      </w:r>
    </w:p>
    <w:p w14:paraId="562FA021" w14:textId="336575C8" w:rsidR="00591E49" w:rsidRPr="00D1741F" w:rsidRDefault="00D1741F" w:rsidP="00836508">
      <w:pPr>
        <w:ind w:left="360" w:hanging="360"/>
        <w:rPr>
          <w:rFonts w:ascii="Arial" w:hAnsi="Arial" w:cs="Arial"/>
          <w:bCs/>
        </w:rPr>
      </w:pPr>
      <w:r>
        <w:rPr>
          <w:rFonts w:ascii="Arial" w:hAnsi="Arial" w:cs="Arial"/>
          <w:bCs/>
        </w:rPr>
        <w:t>5.1</w:t>
      </w:r>
      <w:r>
        <w:rPr>
          <w:rFonts w:ascii="Arial" w:hAnsi="Arial" w:cs="Arial"/>
          <w:bCs/>
        </w:rPr>
        <w:tab/>
      </w:r>
      <w:r w:rsidR="00DD4839" w:rsidRPr="00D1741F">
        <w:rPr>
          <w:rFonts w:ascii="Arial" w:hAnsi="Arial" w:cs="Arial"/>
          <w:bCs/>
        </w:rPr>
        <w:t xml:space="preserve">The above proposals are considered to provide an appropriate and proportionate approach to the monitoring and evaluation of the SSLEP </w:t>
      </w:r>
      <w:r w:rsidR="002E3AF8">
        <w:rPr>
          <w:rFonts w:ascii="Arial" w:hAnsi="Arial" w:cs="Arial"/>
          <w:bCs/>
        </w:rPr>
        <w:t xml:space="preserve">Getting Building Fund </w:t>
      </w:r>
      <w:r w:rsidR="00DD4839" w:rsidRPr="00D1741F">
        <w:rPr>
          <w:rFonts w:ascii="Arial" w:hAnsi="Arial" w:cs="Arial"/>
          <w:bCs/>
        </w:rPr>
        <w:t xml:space="preserve"> programme. It will be important to periodically review the contents of this framework to ensure that it remains relevant and adds the greatest level of value to the SSLEP, its partners and projects for now and the future. </w:t>
      </w:r>
    </w:p>
    <w:p w14:paraId="0E19E47C" w14:textId="7F604DE8" w:rsidR="0030569B" w:rsidRPr="00D1741F" w:rsidRDefault="00D1741F" w:rsidP="00836508">
      <w:pPr>
        <w:ind w:left="360" w:hanging="360"/>
        <w:rPr>
          <w:rFonts w:ascii="Arial" w:hAnsi="Arial" w:cs="Arial"/>
          <w:bCs/>
        </w:rPr>
      </w:pPr>
      <w:r>
        <w:rPr>
          <w:rFonts w:ascii="Arial" w:hAnsi="Arial" w:cs="Arial"/>
          <w:bCs/>
        </w:rPr>
        <w:t>5.2</w:t>
      </w:r>
      <w:r>
        <w:rPr>
          <w:rFonts w:ascii="Arial" w:hAnsi="Arial" w:cs="Arial"/>
          <w:bCs/>
        </w:rPr>
        <w:tab/>
      </w:r>
      <w:r w:rsidR="0030569B" w:rsidRPr="00D1741F">
        <w:rPr>
          <w:rFonts w:ascii="Arial" w:hAnsi="Arial" w:cs="Arial"/>
          <w:bCs/>
        </w:rPr>
        <w:t>Using all of the above principles and with consideration of value for money, lessons learned and understanding the delivery of benefits</w:t>
      </w:r>
      <w:r w:rsidR="00F47881">
        <w:rPr>
          <w:rFonts w:ascii="Arial" w:hAnsi="Arial" w:cs="Arial"/>
          <w:bCs/>
        </w:rPr>
        <w:t>,</w:t>
      </w:r>
      <w:r w:rsidR="0030569B" w:rsidRPr="00D1741F">
        <w:rPr>
          <w:rFonts w:ascii="Arial" w:hAnsi="Arial" w:cs="Arial"/>
          <w:bCs/>
        </w:rPr>
        <w:t xml:space="preserve"> the SSLEP will be in the best placed position to consider the most relevant and impactful projects and programmes in which resource</w:t>
      </w:r>
      <w:r w:rsidR="00F47881">
        <w:rPr>
          <w:rFonts w:ascii="Arial" w:hAnsi="Arial" w:cs="Arial"/>
          <w:bCs/>
        </w:rPr>
        <w:t>s</w:t>
      </w:r>
      <w:r w:rsidR="0030569B" w:rsidRPr="00D1741F">
        <w:rPr>
          <w:rFonts w:ascii="Arial" w:hAnsi="Arial" w:cs="Arial"/>
          <w:bCs/>
        </w:rPr>
        <w:t xml:space="preserve"> and invest</w:t>
      </w:r>
      <w:r w:rsidR="00F47881">
        <w:rPr>
          <w:rFonts w:ascii="Arial" w:hAnsi="Arial" w:cs="Arial"/>
          <w:bCs/>
        </w:rPr>
        <w:t>ment can be placed</w:t>
      </w:r>
      <w:r w:rsidR="0030569B" w:rsidRPr="00D1741F">
        <w:rPr>
          <w:rFonts w:ascii="Arial" w:hAnsi="Arial" w:cs="Arial"/>
          <w:bCs/>
        </w:rPr>
        <w:t xml:space="preserve"> in the future. </w:t>
      </w:r>
    </w:p>
    <w:p w14:paraId="1FA935FC" w14:textId="3988BCF8" w:rsidR="00DD4839" w:rsidRDefault="00DD4839">
      <w:pPr>
        <w:rPr>
          <w:rFonts w:ascii="Arial" w:hAnsi="Arial" w:cs="Arial"/>
          <w:b/>
          <w:u w:val="single"/>
        </w:rPr>
      </w:pPr>
    </w:p>
    <w:p w14:paraId="4DC64751" w14:textId="4AAAC45E" w:rsidR="00DD4839" w:rsidRDefault="00DD4839">
      <w:pPr>
        <w:rPr>
          <w:rFonts w:ascii="Arial" w:hAnsi="Arial" w:cs="Arial"/>
          <w:b/>
          <w:u w:val="single"/>
        </w:rPr>
      </w:pPr>
    </w:p>
    <w:p w14:paraId="143C311A" w14:textId="64347BF3" w:rsidR="00DD4839" w:rsidRDefault="00DD4839">
      <w:pPr>
        <w:rPr>
          <w:rFonts w:ascii="Arial" w:hAnsi="Arial" w:cs="Arial"/>
          <w:b/>
          <w:u w:val="single"/>
        </w:rPr>
      </w:pPr>
    </w:p>
    <w:p w14:paraId="4C83FA62" w14:textId="7E296B06" w:rsidR="00DD4839" w:rsidRDefault="00DD4839">
      <w:pPr>
        <w:rPr>
          <w:rFonts w:ascii="Arial" w:hAnsi="Arial" w:cs="Arial"/>
          <w:b/>
          <w:u w:val="single"/>
        </w:rPr>
      </w:pPr>
    </w:p>
    <w:p w14:paraId="15FBB4D3" w14:textId="7454CF00" w:rsidR="00DD4839" w:rsidRDefault="00DD4839">
      <w:pPr>
        <w:rPr>
          <w:rFonts w:ascii="Arial" w:hAnsi="Arial" w:cs="Arial"/>
          <w:b/>
          <w:u w:val="single"/>
        </w:rPr>
      </w:pPr>
    </w:p>
    <w:p w14:paraId="749636B9" w14:textId="41BE3DA2" w:rsidR="00DD4839" w:rsidRDefault="00DD4839">
      <w:pPr>
        <w:rPr>
          <w:rFonts w:ascii="Arial" w:hAnsi="Arial" w:cs="Arial"/>
          <w:b/>
          <w:u w:val="single"/>
        </w:rPr>
      </w:pPr>
    </w:p>
    <w:p w14:paraId="3A4F5561" w14:textId="108B48CD" w:rsidR="00DD4839" w:rsidRDefault="00DD4839">
      <w:pPr>
        <w:rPr>
          <w:rFonts w:ascii="Arial" w:hAnsi="Arial" w:cs="Arial"/>
          <w:b/>
          <w:u w:val="single"/>
        </w:rPr>
      </w:pPr>
    </w:p>
    <w:p w14:paraId="5258ECC4" w14:textId="77777777" w:rsidR="00DD4839" w:rsidRPr="00A974C2" w:rsidRDefault="00DD4839">
      <w:pPr>
        <w:rPr>
          <w:rFonts w:ascii="Arial" w:hAnsi="Arial" w:cs="Arial"/>
          <w:b/>
          <w:u w:val="single"/>
        </w:rPr>
      </w:pPr>
    </w:p>
    <w:sectPr w:rsidR="00DD4839" w:rsidRPr="00A974C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283E" w14:textId="77777777" w:rsidR="000807FD" w:rsidRDefault="000807FD" w:rsidP="005E0C66">
      <w:pPr>
        <w:spacing w:after="0" w:line="240" w:lineRule="auto"/>
      </w:pPr>
      <w:r>
        <w:separator/>
      </w:r>
    </w:p>
  </w:endnote>
  <w:endnote w:type="continuationSeparator" w:id="0">
    <w:p w14:paraId="68C0CA63" w14:textId="77777777" w:rsidR="000807FD" w:rsidRDefault="000807FD" w:rsidP="005E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33BF" w14:textId="77777777" w:rsidR="00A866DF" w:rsidRDefault="00A86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389115"/>
      <w:docPartObj>
        <w:docPartGallery w:val="Page Numbers (Bottom of Page)"/>
        <w:docPartUnique/>
      </w:docPartObj>
    </w:sdtPr>
    <w:sdtEndPr>
      <w:rPr>
        <w:noProof/>
      </w:rPr>
    </w:sdtEndPr>
    <w:sdtContent>
      <w:p w14:paraId="66A99EE7" w14:textId="40075494" w:rsidR="00047254" w:rsidRDefault="000472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4D276D" w14:textId="77777777" w:rsidR="00047254" w:rsidRDefault="00047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EC72" w14:textId="77777777" w:rsidR="00A866DF" w:rsidRDefault="00A86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AB96" w14:textId="77777777" w:rsidR="000807FD" w:rsidRDefault="000807FD" w:rsidP="005E0C66">
      <w:pPr>
        <w:spacing w:after="0" w:line="240" w:lineRule="auto"/>
      </w:pPr>
      <w:r>
        <w:separator/>
      </w:r>
    </w:p>
  </w:footnote>
  <w:footnote w:type="continuationSeparator" w:id="0">
    <w:p w14:paraId="3F917BD5" w14:textId="77777777" w:rsidR="000807FD" w:rsidRDefault="000807FD" w:rsidP="005E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7F45" w14:textId="1701BA65" w:rsidR="00047254" w:rsidRDefault="00047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44E7" w14:textId="38588085" w:rsidR="00047254" w:rsidRDefault="00047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A02B" w14:textId="373C1516" w:rsidR="00047254" w:rsidRDefault="00047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AFF"/>
    <w:multiLevelType w:val="hybridMultilevel"/>
    <w:tmpl w:val="9E1C415C"/>
    <w:lvl w:ilvl="0" w:tplc="C31EE0F8">
      <w:start w:val="1"/>
      <w:numFmt w:val="upperLetter"/>
      <w:lvlText w:val="(%1)"/>
      <w:lvlJc w:val="left"/>
      <w:pPr>
        <w:ind w:left="360" w:hanging="360"/>
      </w:pPr>
      <w:rPr>
        <w:rFonts w:ascii="Arial" w:eastAsia="Calibri" w:hAnsi="Arial" w:cs="Arial"/>
        <w:strike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773BF"/>
    <w:multiLevelType w:val="hybridMultilevel"/>
    <w:tmpl w:val="FACA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E2140"/>
    <w:multiLevelType w:val="hybridMultilevel"/>
    <w:tmpl w:val="AF5C12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547AD"/>
    <w:multiLevelType w:val="hybridMultilevel"/>
    <w:tmpl w:val="365E17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15134"/>
    <w:multiLevelType w:val="hybridMultilevel"/>
    <w:tmpl w:val="644637C0"/>
    <w:lvl w:ilvl="0" w:tplc="08090005">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75D778F"/>
    <w:multiLevelType w:val="hybridMultilevel"/>
    <w:tmpl w:val="E2B6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76D6A"/>
    <w:multiLevelType w:val="hybridMultilevel"/>
    <w:tmpl w:val="351603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4C2CFE"/>
    <w:multiLevelType w:val="hybridMultilevel"/>
    <w:tmpl w:val="7BCEE9C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C92AD8"/>
    <w:multiLevelType w:val="hybridMultilevel"/>
    <w:tmpl w:val="F150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2447B"/>
    <w:multiLevelType w:val="hybridMultilevel"/>
    <w:tmpl w:val="EFD8DE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10F75"/>
    <w:multiLevelType w:val="hybridMultilevel"/>
    <w:tmpl w:val="6CD0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E23EA"/>
    <w:multiLevelType w:val="hybridMultilevel"/>
    <w:tmpl w:val="EC8A2E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1AF33E3"/>
    <w:multiLevelType w:val="hybridMultilevel"/>
    <w:tmpl w:val="AAA0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E0FF6"/>
    <w:multiLevelType w:val="multilevel"/>
    <w:tmpl w:val="0804CD84"/>
    <w:lvl w:ilvl="0">
      <w:start w:val="1"/>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4" w15:restartNumberingAfterBreak="0">
    <w:nsid w:val="79F928BC"/>
    <w:multiLevelType w:val="hybridMultilevel"/>
    <w:tmpl w:val="BDC6D8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2"/>
  </w:num>
  <w:num w:numId="4">
    <w:abstractNumId w:val="4"/>
  </w:num>
  <w:num w:numId="5">
    <w:abstractNumId w:val="6"/>
  </w:num>
  <w:num w:numId="6">
    <w:abstractNumId w:val="7"/>
  </w:num>
  <w:num w:numId="7">
    <w:abstractNumId w:val="2"/>
  </w:num>
  <w:num w:numId="8">
    <w:abstractNumId w:val="14"/>
  </w:num>
  <w:num w:numId="9">
    <w:abstractNumId w:val="13"/>
  </w:num>
  <w:num w:numId="10">
    <w:abstractNumId w:val="0"/>
  </w:num>
  <w:num w:numId="11">
    <w:abstractNumId w:val="11"/>
  </w:num>
  <w:num w:numId="12">
    <w:abstractNumId w:val="10"/>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F"/>
    <w:rsid w:val="000102D4"/>
    <w:rsid w:val="000110A6"/>
    <w:rsid w:val="000228DA"/>
    <w:rsid w:val="00024D9E"/>
    <w:rsid w:val="00030702"/>
    <w:rsid w:val="0004195D"/>
    <w:rsid w:val="00042757"/>
    <w:rsid w:val="00043C57"/>
    <w:rsid w:val="00047254"/>
    <w:rsid w:val="00050A49"/>
    <w:rsid w:val="00050DEA"/>
    <w:rsid w:val="000807FD"/>
    <w:rsid w:val="00096F1E"/>
    <w:rsid w:val="000A0209"/>
    <w:rsid w:val="000B0E64"/>
    <w:rsid w:val="000C6AFF"/>
    <w:rsid w:val="000E1B3D"/>
    <w:rsid w:val="000F0B05"/>
    <w:rsid w:val="00115D7F"/>
    <w:rsid w:val="00141D6B"/>
    <w:rsid w:val="00154522"/>
    <w:rsid w:val="00154952"/>
    <w:rsid w:val="00154C14"/>
    <w:rsid w:val="00162CB2"/>
    <w:rsid w:val="001658C8"/>
    <w:rsid w:val="001734E0"/>
    <w:rsid w:val="001766DB"/>
    <w:rsid w:val="001831CB"/>
    <w:rsid w:val="00190239"/>
    <w:rsid w:val="00192B62"/>
    <w:rsid w:val="001C53A1"/>
    <w:rsid w:val="00204A85"/>
    <w:rsid w:val="00206C1C"/>
    <w:rsid w:val="002132FA"/>
    <w:rsid w:val="00230806"/>
    <w:rsid w:val="00246124"/>
    <w:rsid w:val="002513B6"/>
    <w:rsid w:val="00280DF2"/>
    <w:rsid w:val="00293230"/>
    <w:rsid w:val="00296CAC"/>
    <w:rsid w:val="002A5653"/>
    <w:rsid w:val="002A70FF"/>
    <w:rsid w:val="002B1E6E"/>
    <w:rsid w:val="002C0A37"/>
    <w:rsid w:val="002C0FF0"/>
    <w:rsid w:val="002E03DF"/>
    <w:rsid w:val="002E07CD"/>
    <w:rsid w:val="002E3AF8"/>
    <w:rsid w:val="002E5D90"/>
    <w:rsid w:val="002F0BA2"/>
    <w:rsid w:val="0030329A"/>
    <w:rsid w:val="0030569B"/>
    <w:rsid w:val="00314B40"/>
    <w:rsid w:val="003358FC"/>
    <w:rsid w:val="00364577"/>
    <w:rsid w:val="00372081"/>
    <w:rsid w:val="00391B98"/>
    <w:rsid w:val="003C04D3"/>
    <w:rsid w:val="003C0509"/>
    <w:rsid w:val="003E0E39"/>
    <w:rsid w:val="003F134C"/>
    <w:rsid w:val="003F3B16"/>
    <w:rsid w:val="003F56B0"/>
    <w:rsid w:val="00421DDD"/>
    <w:rsid w:val="00422683"/>
    <w:rsid w:val="00422B08"/>
    <w:rsid w:val="00455132"/>
    <w:rsid w:val="00465A9E"/>
    <w:rsid w:val="004708FF"/>
    <w:rsid w:val="0049251A"/>
    <w:rsid w:val="004B047B"/>
    <w:rsid w:val="004B4BDD"/>
    <w:rsid w:val="004C29EE"/>
    <w:rsid w:val="004C5ED2"/>
    <w:rsid w:val="004D2092"/>
    <w:rsid w:val="004E0620"/>
    <w:rsid w:val="004F6ED6"/>
    <w:rsid w:val="00551BBE"/>
    <w:rsid w:val="00561E80"/>
    <w:rsid w:val="00564E3B"/>
    <w:rsid w:val="00566B4F"/>
    <w:rsid w:val="00571906"/>
    <w:rsid w:val="00591E49"/>
    <w:rsid w:val="0059408A"/>
    <w:rsid w:val="005A261A"/>
    <w:rsid w:val="005A309F"/>
    <w:rsid w:val="005A54AF"/>
    <w:rsid w:val="005B53EC"/>
    <w:rsid w:val="005B579E"/>
    <w:rsid w:val="005C3AE5"/>
    <w:rsid w:val="005C4CED"/>
    <w:rsid w:val="005C661B"/>
    <w:rsid w:val="005D3905"/>
    <w:rsid w:val="005E0C66"/>
    <w:rsid w:val="005E3030"/>
    <w:rsid w:val="006021F0"/>
    <w:rsid w:val="00626151"/>
    <w:rsid w:val="0064374B"/>
    <w:rsid w:val="006446E0"/>
    <w:rsid w:val="006543B4"/>
    <w:rsid w:val="006657C9"/>
    <w:rsid w:val="006A1DDD"/>
    <w:rsid w:val="006A406A"/>
    <w:rsid w:val="006B5EF1"/>
    <w:rsid w:val="006F618D"/>
    <w:rsid w:val="00700A86"/>
    <w:rsid w:val="0070280C"/>
    <w:rsid w:val="00704A6D"/>
    <w:rsid w:val="007076B0"/>
    <w:rsid w:val="00742B24"/>
    <w:rsid w:val="00747805"/>
    <w:rsid w:val="00754508"/>
    <w:rsid w:val="007669D2"/>
    <w:rsid w:val="00766DD5"/>
    <w:rsid w:val="00773B6B"/>
    <w:rsid w:val="007839BB"/>
    <w:rsid w:val="00791C49"/>
    <w:rsid w:val="007E438F"/>
    <w:rsid w:val="0080174E"/>
    <w:rsid w:val="00803B2B"/>
    <w:rsid w:val="00817353"/>
    <w:rsid w:val="00823F2C"/>
    <w:rsid w:val="0082732C"/>
    <w:rsid w:val="00832CB9"/>
    <w:rsid w:val="00834D45"/>
    <w:rsid w:val="00836508"/>
    <w:rsid w:val="008461F6"/>
    <w:rsid w:val="0086529D"/>
    <w:rsid w:val="00865D46"/>
    <w:rsid w:val="00876A1F"/>
    <w:rsid w:val="008A1987"/>
    <w:rsid w:val="008B03A7"/>
    <w:rsid w:val="008D7A41"/>
    <w:rsid w:val="008F22EF"/>
    <w:rsid w:val="00910B43"/>
    <w:rsid w:val="00913347"/>
    <w:rsid w:val="00924BF4"/>
    <w:rsid w:val="009373A9"/>
    <w:rsid w:val="00961D5E"/>
    <w:rsid w:val="00962A98"/>
    <w:rsid w:val="00983A5E"/>
    <w:rsid w:val="009855B1"/>
    <w:rsid w:val="009A5C33"/>
    <w:rsid w:val="009C6B02"/>
    <w:rsid w:val="009D7A60"/>
    <w:rsid w:val="009E1F71"/>
    <w:rsid w:val="00A16671"/>
    <w:rsid w:val="00A2473F"/>
    <w:rsid w:val="00A25665"/>
    <w:rsid w:val="00A27973"/>
    <w:rsid w:val="00A52DC9"/>
    <w:rsid w:val="00A60F9A"/>
    <w:rsid w:val="00A63A2D"/>
    <w:rsid w:val="00A64096"/>
    <w:rsid w:val="00A673E3"/>
    <w:rsid w:val="00A70509"/>
    <w:rsid w:val="00A77492"/>
    <w:rsid w:val="00A8244C"/>
    <w:rsid w:val="00A829CE"/>
    <w:rsid w:val="00A82B0D"/>
    <w:rsid w:val="00A866DF"/>
    <w:rsid w:val="00A86B01"/>
    <w:rsid w:val="00A95504"/>
    <w:rsid w:val="00A974C2"/>
    <w:rsid w:val="00AA686C"/>
    <w:rsid w:val="00AC02A9"/>
    <w:rsid w:val="00AE23EE"/>
    <w:rsid w:val="00AE5BC3"/>
    <w:rsid w:val="00AF1E13"/>
    <w:rsid w:val="00AF50C6"/>
    <w:rsid w:val="00AF607B"/>
    <w:rsid w:val="00AF76BF"/>
    <w:rsid w:val="00B21331"/>
    <w:rsid w:val="00B25238"/>
    <w:rsid w:val="00B264BB"/>
    <w:rsid w:val="00B43FD2"/>
    <w:rsid w:val="00B5403B"/>
    <w:rsid w:val="00B73C0F"/>
    <w:rsid w:val="00BA16DC"/>
    <w:rsid w:val="00BB0FFB"/>
    <w:rsid w:val="00BB2027"/>
    <w:rsid w:val="00BB2E7E"/>
    <w:rsid w:val="00BC4883"/>
    <w:rsid w:val="00BE67C0"/>
    <w:rsid w:val="00C050A9"/>
    <w:rsid w:val="00C07095"/>
    <w:rsid w:val="00C1157D"/>
    <w:rsid w:val="00C1626A"/>
    <w:rsid w:val="00C2057C"/>
    <w:rsid w:val="00C30D6B"/>
    <w:rsid w:val="00C339B3"/>
    <w:rsid w:val="00C6288F"/>
    <w:rsid w:val="00C63F51"/>
    <w:rsid w:val="00C74283"/>
    <w:rsid w:val="00C877CC"/>
    <w:rsid w:val="00C92FA1"/>
    <w:rsid w:val="00CA5013"/>
    <w:rsid w:val="00CA73D7"/>
    <w:rsid w:val="00CB6A07"/>
    <w:rsid w:val="00CC25B3"/>
    <w:rsid w:val="00CD681B"/>
    <w:rsid w:val="00CE614B"/>
    <w:rsid w:val="00CF15C5"/>
    <w:rsid w:val="00D10E93"/>
    <w:rsid w:val="00D1741F"/>
    <w:rsid w:val="00D203F0"/>
    <w:rsid w:val="00D328B7"/>
    <w:rsid w:val="00D32CC3"/>
    <w:rsid w:val="00D42453"/>
    <w:rsid w:val="00D62375"/>
    <w:rsid w:val="00D85912"/>
    <w:rsid w:val="00D9069B"/>
    <w:rsid w:val="00D91BC3"/>
    <w:rsid w:val="00DA2576"/>
    <w:rsid w:val="00DA7E18"/>
    <w:rsid w:val="00DB538B"/>
    <w:rsid w:val="00DC34E3"/>
    <w:rsid w:val="00DD1D0B"/>
    <w:rsid w:val="00DD4839"/>
    <w:rsid w:val="00E153D8"/>
    <w:rsid w:val="00E519AA"/>
    <w:rsid w:val="00E8478C"/>
    <w:rsid w:val="00E903DF"/>
    <w:rsid w:val="00E9204C"/>
    <w:rsid w:val="00EA6116"/>
    <w:rsid w:val="00EC6DD0"/>
    <w:rsid w:val="00ED7F0F"/>
    <w:rsid w:val="00EE7F45"/>
    <w:rsid w:val="00EF1062"/>
    <w:rsid w:val="00EF1138"/>
    <w:rsid w:val="00F15AE1"/>
    <w:rsid w:val="00F20752"/>
    <w:rsid w:val="00F20AEF"/>
    <w:rsid w:val="00F33BA6"/>
    <w:rsid w:val="00F36333"/>
    <w:rsid w:val="00F4277E"/>
    <w:rsid w:val="00F47881"/>
    <w:rsid w:val="00F47BBE"/>
    <w:rsid w:val="00F60BA6"/>
    <w:rsid w:val="00F70F5C"/>
    <w:rsid w:val="00F73846"/>
    <w:rsid w:val="00F74AD7"/>
    <w:rsid w:val="00F7638F"/>
    <w:rsid w:val="00F84336"/>
    <w:rsid w:val="00F94FF0"/>
    <w:rsid w:val="00FC2058"/>
    <w:rsid w:val="00FD3CE2"/>
    <w:rsid w:val="00FF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5B095F"/>
  <w15:chartTrackingRefBased/>
  <w15:docId w15:val="{6773BF6F-61B8-43BE-9ADF-B5E5C228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DD"/>
    <w:pPr>
      <w:ind w:left="720"/>
      <w:contextualSpacing/>
    </w:pPr>
  </w:style>
  <w:style w:type="paragraph" w:styleId="NormalWeb">
    <w:name w:val="Normal (Web)"/>
    <w:basedOn w:val="Normal"/>
    <w:uiPriority w:val="99"/>
    <w:unhideWhenUsed/>
    <w:rsid w:val="00421DD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5Dark-Accent5">
    <w:name w:val="Grid Table 5 Dark Accent 5"/>
    <w:basedOn w:val="TableNormal"/>
    <w:uiPriority w:val="50"/>
    <w:rsid w:val="00791C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91E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2">
    <w:name w:val="Grid Table 4 Accent 2"/>
    <w:basedOn w:val="TableNormal"/>
    <w:uiPriority w:val="49"/>
    <w:rsid w:val="00591E4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C339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Header">
    <w:name w:val="header"/>
    <w:basedOn w:val="Normal"/>
    <w:link w:val="HeaderChar"/>
    <w:uiPriority w:val="99"/>
    <w:unhideWhenUsed/>
    <w:rsid w:val="005E0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C66"/>
  </w:style>
  <w:style w:type="paragraph" w:styleId="Footer">
    <w:name w:val="footer"/>
    <w:basedOn w:val="Normal"/>
    <w:link w:val="FooterChar"/>
    <w:uiPriority w:val="99"/>
    <w:unhideWhenUsed/>
    <w:rsid w:val="005E0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C66"/>
  </w:style>
  <w:style w:type="character" w:styleId="Hyperlink">
    <w:name w:val="Hyperlink"/>
    <w:basedOn w:val="DefaultParagraphFont"/>
    <w:uiPriority w:val="99"/>
    <w:unhideWhenUsed/>
    <w:rsid w:val="00C050A9"/>
    <w:rPr>
      <w:color w:val="0563C1" w:themeColor="hyperlink"/>
      <w:u w:val="single"/>
    </w:rPr>
  </w:style>
  <w:style w:type="character" w:styleId="UnresolvedMention">
    <w:name w:val="Unresolved Mention"/>
    <w:basedOn w:val="DefaultParagraphFont"/>
    <w:uiPriority w:val="99"/>
    <w:semiHidden/>
    <w:unhideWhenUsed/>
    <w:rsid w:val="00C050A9"/>
    <w:rPr>
      <w:color w:val="605E5C"/>
      <w:shd w:val="clear" w:color="auto" w:fill="E1DFDD"/>
    </w:rPr>
  </w:style>
  <w:style w:type="character" w:styleId="FollowedHyperlink">
    <w:name w:val="FollowedHyperlink"/>
    <w:basedOn w:val="DefaultParagraphFont"/>
    <w:uiPriority w:val="99"/>
    <w:semiHidden/>
    <w:unhideWhenUsed/>
    <w:rsid w:val="002C0A37"/>
    <w:rPr>
      <w:color w:val="954F72" w:themeColor="followedHyperlink"/>
      <w:u w:val="single"/>
    </w:rPr>
  </w:style>
  <w:style w:type="paragraph" w:styleId="BalloonText">
    <w:name w:val="Balloon Text"/>
    <w:basedOn w:val="Normal"/>
    <w:link w:val="BalloonTextChar"/>
    <w:uiPriority w:val="99"/>
    <w:semiHidden/>
    <w:unhideWhenUsed/>
    <w:rsid w:val="00492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2876">
      <w:bodyDiv w:val="1"/>
      <w:marLeft w:val="0"/>
      <w:marRight w:val="0"/>
      <w:marTop w:val="0"/>
      <w:marBottom w:val="0"/>
      <w:divBdr>
        <w:top w:val="none" w:sz="0" w:space="0" w:color="auto"/>
        <w:left w:val="none" w:sz="0" w:space="0" w:color="auto"/>
        <w:bottom w:val="none" w:sz="0" w:space="0" w:color="auto"/>
        <w:right w:val="none" w:sz="0" w:space="0" w:color="auto"/>
      </w:divBdr>
    </w:div>
    <w:div w:id="1291135001">
      <w:bodyDiv w:val="1"/>
      <w:marLeft w:val="0"/>
      <w:marRight w:val="0"/>
      <w:marTop w:val="0"/>
      <w:marBottom w:val="0"/>
      <w:divBdr>
        <w:top w:val="none" w:sz="0" w:space="0" w:color="auto"/>
        <w:left w:val="none" w:sz="0" w:space="0" w:color="auto"/>
        <w:bottom w:val="none" w:sz="0" w:space="0" w:color="auto"/>
        <w:right w:val="none" w:sz="0" w:space="0" w:color="auto"/>
      </w:divBdr>
    </w:div>
    <w:div w:id="1918705370">
      <w:bodyDiv w:val="1"/>
      <w:marLeft w:val="0"/>
      <w:marRight w:val="0"/>
      <w:marTop w:val="0"/>
      <w:marBottom w:val="0"/>
      <w:divBdr>
        <w:top w:val="none" w:sz="0" w:space="0" w:color="auto"/>
        <w:left w:val="none" w:sz="0" w:space="0" w:color="auto"/>
        <w:bottom w:val="none" w:sz="0" w:space="0" w:color="auto"/>
        <w:right w:val="none" w:sz="0" w:space="0" w:color="auto"/>
      </w:divBdr>
    </w:div>
    <w:div w:id="19964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kestaffslep.org.uk/delivering-growth/deals/getting-building-fund/"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A8131-AB71-43CA-A041-FF6123BB498E}" type="doc">
      <dgm:prSet loTypeId="urn:microsoft.com/office/officeart/2005/8/layout/chevron1" loCatId="process" qsTypeId="urn:microsoft.com/office/officeart/2005/8/quickstyle/simple1" qsCatId="simple" csTypeId="urn:microsoft.com/office/officeart/2005/8/colors/accent1_2" csCatId="accent1" phldr="1"/>
      <dgm:spPr/>
    </dgm:pt>
    <dgm:pt modelId="{8483CD2A-BB05-4B32-A9E8-3769CD700F84}">
      <dgm:prSet phldrT="[Text]"/>
      <dgm:spPr>
        <a:solidFill>
          <a:schemeClr val="bg1">
            <a:lumMod val="50000"/>
          </a:schemeClr>
        </a:solidFill>
      </dgm:spPr>
      <dgm:t>
        <a:bodyPr/>
        <a:lstStyle/>
        <a:p>
          <a:r>
            <a:rPr lang="en-GB"/>
            <a:t>Low</a:t>
          </a:r>
        </a:p>
      </dgm:t>
    </dgm:pt>
    <dgm:pt modelId="{F7158E63-AB3F-495B-B1AA-90F9C2A9AC04}" type="parTrans" cxnId="{EBB98339-4C33-4708-A633-E3FEABDCFD95}">
      <dgm:prSet/>
      <dgm:spPr/>
      <dgm:t>
        <a:bodyPr/>
        <a:lstStyle/>
        <a:p>
          <a:endParaRPr lang="en-GB"/>
        </a:p>
      </dgm:t>
    </dgm:pt>
    <dgm:pt modelId="{B7E0D56A-6289-4F5F-8E56-A8056A60BF48}" type="sibTrans" cxnId="{EBB98339-4C33-4708-A633-E3FEABDCFD95}">
      <dgm:prSet/>
      <dgm:spPr/>
      <dgm:t>
        <a:bodyPr/>
        <a:lstStyle/>
        <a:p>
          <a:endParaRPr lang="en-GB"/>
        </a:p>
      </dgm:t>
    </dgm:pt>
    <dgm:pt modelId="{6A12DAA0-5478-443C-941C-0DFDD5D31676}">
      <dgm:prSet phldrT="[Text]"/>
      <dgm:spPr>
        <a:solidFill>
          <a:schemeClr val="bg1">
            <a:lumMod val="50000"/>
          </a:schemeClr>
        </a:solidFill>
      </dgm:spPr>
      <dgm:t>
        <a:bodyPr/>
        <a:lstStyle/>
        <a:p>
          <a:r>
            <a:rPr lang="en-GB"/>
            <a:t>Medium</a:t>
          </a:r>
        </a:p>
      </dgm:t>
    </dgm:pt>
    <dgm:pt modelId="{A7AC11C3-2392-4F1F-86D1-2BDFA005E1A6}" type="parTrans" cxnId="{430C5A67-560A-415E-96CF-3EB71C68792A}">
      <dgm:prSet/>
      <dgm:spPr/>
      <dgm:t>
        <a:bodyPr/>
        <a:lstStyle/>
        <a:p>
          <a:endParaRPr lang="en-GB"/>
        </a:p>
      </dgm:t>
    </dgm:pt>
    <dgm:pt modelId="{F584875B-3F9E-49BC-AA12-984B478EC724}" type="sibTrans" cxnId="{430C5A67-560A-415E-96CF-3EB71C68792A}">
      <dgm:prSet/>
      <dgm:spPr/>
      <dgm:t>
        <a:bodyPr/>
        <a:lstStyle/>
        <a:p>
          <a:endParaRPr lang="en-GB"/>
        </a:p>
      </dgm:t>
    </dgm:pt>
    <dgm:pt modelId="{B0BA654C-FD2D-447C-8349-4C19B29ECF28}">
      <dgm:prSet phldrT="[Text]"/>
      <dgm:spPr>
        <a:solidFill>
          <a:schemeClr val="bg1">
            <a:lumMod val="50000"/>
          </a:schemeClr>
        </a:solidFill>
      </dgm:spPr>
      <dgm:t>
        <a:bodyPr/>
        <a:lstStyle/>
        <a:p>
          <a:r>
            <a:rPr lang="en-GB"/>
            <a:t>High </a:t>
          </a:r>
        </a:p>
      </dgm:t>
    </dgm:pt>
    <dgm:pt modelId="{1EB0A498-3DF0-49DD-8A52-AEAEB2C69E2E}" type="parTrans" cxnId="{E3A63DD6-3A90-4635-B4B3-E6D32789A785}">
      <dgm:prSet/>
      <dgm:spPr/>
      <dgm:t>
        <a:bodyPr/>
        <a:lstStyle/>
        <a:p>
          <a:endParaRPr lang="en-GB"/>
        </a:p>
      </dgm:t>
    </dgm:pt>
    <dgm:pt modelId="{252ED2E3-3E1C-4AAE-AA3A-7FEA151E3609}" type="sibTrans" cxnId="{E3A63DD6-3A90-4635-B4B3-E6D32789A785}">
      <dgm:prSet/>
      <dgm:spPr/>
      <dgm:t>
        <a:bodyPr/>
        <a:lstStyle/>
        <a:p>
          <a:endParaRPr lang="en-GB"/>
        </a:p>
      </dgm:t>
    </dgm:pt>
    <dgm:pt modelId="{AF74EAA3-C31C-45AC-AD13-4B04E1572F0A}" type="pres">
      <dgm:prSet presAssocID="{657A8131-AB71-43CA-A041-FF6123BB498E}" presName="Name0" presStyleCnt="0">
        <dgm:presLayoutVars>
          <dgm:dir/>
          <dgm:animLvl val="lvl"/>
          <dgm:resizeHandles val="exact"/>
        </dgm:presLayoutVars>
      </dgm:prSet>
      <dgm:spPr/>
    </dgm:pt>
    <dgm:pt modelId="{4B88E85C-9944-4A86-A4ED-B708369D51F9}" type="pres">
      <dgm:prSet presAssocID="{8483CD2A-BB05-4B32-A9E8-3769CD700F84}" presName="parTxOnly" presStyleLbl="node1" presStyleIdx="0" presStyleCnt="3" custScaleX="114761">
        <dgm:presLayoutVars>
          <dgm:chMax val="0"/>
          <dgm:chPref val="0"/>
          <dgm:bulletEnabled val="1"/>
        </dgm:presLayoutVars>
      </dgm:prSet>
      <dgm:spPr/>
    </dgm:pt>
    <dgm:pt modelId="{D9E83098-8765-421C-8BDF-85238149E7E5}" type="pres">
      <dgm:prSet presAssocID="{B7E0D56A-6289-4F5F-8E56-A8056A60BF48}" presName="parTxOnlySpace" presStyleCnt="0"/>
      <dgm:spPr/>
    </dgm:pt>
    <dgm:pt modelId="{1B7493B2-7B86-4E52-B7EE-8A3CD0B305A2}" type="pres">
      <dgm:prSet presAssocID="{6A12DAA0-5478-443C-941C-0DFDD5D31676}" presName="parTxOnly" presStyleLbl="node1" presStyleIdx="1" presStyleCnt="3" custScaleX="100682">
        <dgm:presLayoutVars>
          <dgm:chMax val="0"/>
          <dgm:chPref val="0"/>
          <dgm:bulletEnabled val="1"/>
        </dgm:presLayoutVars>
      </dgm:prSet>
      <dgm:spPr/>
    </dgm:pt>
    <dgm:pt modelId="{6D9F65C2-41A9-460C-A51F-A67C1621FFD2}" type="pres">
      <dgm:prSet presAssocID="{F584875B-3F9E-49BC-AA12-984B478EC724}" presName="parTxOnlySpace" presStyleCnt="0"/>
      <dgm:spPr/>
    </dgm:pt>
    <dgm:pt modelId="{64C1CC48-7475-4EE3-8585-8538B51D0BB9}" type="pres">
      <dgm:prSet presAssocID="{B0BA654C-FD2D-447C-8349-4C19B29ECF28}" presName="parTxOnly" presStyleLbl="node1" presStyleIdx="2" presStyleCnt="3">
        <dgm:presLayoutVars>
          <dgm:chMax val="0"/>
          <dgm:chPref val="0"/>
          <dgm:bulletEnabled val="1"/>
        </dgm:presLayoutVars>
      </dgm:prSet>
      <dgm:spPr/>
    </dgm:pt>
  </dgm:ptLst>
  <dgm:cxnLst>
    <dgm:cxn modelId="{18A14403-629C-4F78-9728-9C3981C0C537}" type="presOf" srcId="{B0BA654C-FD2D-447C-8349-4C19B29ECF28}" destId="{64C1CC48-7475-4EE3-8585-8538B51D0BB9}" srcOrd="0" destOrd="0" presId="urn:microsoft.com/office/officeart/2005/8/layout/chevron1"/>
    <dgm:cxn modelId="{4B0F9636-B18A-4CE7-8F81-A588E415D492}" type="presOf" srcId="{657A8131-AB71-43CA-A041-FF6123BB498E}" destId="{AF74EAA3-C31C-45AC-AD13-4B04E1572F0A}" srcOrd="0" destOrd="0" presId="urn:microsoft.com/office/officeart/2005/8/layout/chevron1"/>
    <dgm:cxn modelId="{47908C38-95A2-491F-8A48-37DCD02A98CA}" type="presOf" srcId="{8483CD2A-BB05-4B32-A9E8-3769CD700F84}" destId="{4B88E85C-9944-4A86-A4ED-B708369D51F9}" srcOrd="0" destOrd="0" presId="urn:microsoft.com/office/officeart/2005/8/layout/chevron1"/>
    <dgm:cxn modelId="{EBB98339-4C33-4708-A633-E3FEABDCFD95}" srcId="{657A8131-AB71-43CA-A041-FF6123BB498E}" destId="{8483CD2A-BB05-4B32-A9E8-3769CD700F84}" srcOrd="0" destOrd="0" parTransId="{F7158E63-AB3F-495B-B1AA-90F9C2A9AC04}" sibTransId="{B7E0D56A-6289-4F5F-8E56-A8056A60BF48}"/>
    <dgm:cxn modelId="{43902F3B-A28E-41A6-986F-4A824154EEB7}" type="presOf" srcId="{6A12DAA0-5478-443C-941C-0DFDD5D31676}" destId="{1B7493B2-7B86-4E52-B7EE-8A3CD0B305A2}" srcOrd="0" destOrd="0" presId="urn:microsoft.com/office/officeart/2005/8/layout/chevron1"/>
    <dgm:cxn modelId="{430C5A67-560A-415E-96CF-3EB71C68792A}" srcId="{657A8131-AB71-43CA-A041-FF6123BB498E}" destId="{6A12DAA0-5478-443C-941C-0DFDD5D31676}" srcOrd="1" destOrd="0" parTransId="{A7AC11C3-2392-4F1F-86D1-2BDFA005E1A6}" sibTransId="{F584875B-3F9E-49BC-AA12-984B478EC724}"/>
    <dgm:cxn modelId="{E3A63DD6-3A90-4635-B4B3-E6D32789A785}" srcId="{657A8131-AB71-43CA-A041-FF6123BB498E}" destId="{B0BA654C-FD2D-447C-8349-4C19B29ECF28}" srcOrd="2" destOrd="0" parTransId="{1EB0A498-3DF0-49DD-8A52-AEAEB2C69E2E}" sibTransId="{252ED2E3-3E1C-4AAE-AA3A-7FEA151E3609}"/>
    <dgm:cxn modelId="{915A4025-01C7-4C14-9598-B4203ED8812E}" type="presParOf" srcId="{AF74EAA3-C31C-45AC-AD13-4B04E1572F0A}" destId="{4B88E85C-9944-4A86-A4ED-B708369D51F9}" srcOrd="0" destOrd="0" presId="urn:microsoft.com/office/officeart/2005/8/layout/chevron1"/>
    <dgm:cxn modelId="{A55C6911-BE21-40EE-A340-8997A33862A0}" type="presParOf" srcId="{AF74EAA3-C31C-45AC-AD13-4B04E1572F0A}" destId="{D9E83098-8765-421C-8BDF-85238149E7E5}" srcOrd="1" destOrd="0" presId="urn:microsoft.com/office/officeart/2005/8/layout/chevron1"/>
    <dgm:cxn modelId="{1A3911F2-DF47-4FD4-AA5A-83BA111BE04C}" type="presParOf" srcId="{AF74EAA3-C31C-45AC-AD13-4B04E1572F0A}" destId="{1B7493B2-7B86-4E52-B7EE-8A3CD0B305A2}" srcOrd="2" destOrd="0" presId="urn:microsoft.com/office/officeart/2005/8/layout/chevron1"/>
    <dgm:cxn modelId="{434CB5B1-2647-4772-8113-55D2880FE80A}" type="presParOf" srcId="{AF74EAA3-C31C-45AC-AD13-4B04E1572F0A}" destId="{6D9F65C2-41A9-460C-A51F-A67C1621FFD2}" srcOrd="3" destOrd="0" presId="urn:microsoft.com/office/officeart/2005/8/layout/chevron1"/>
    <dgm:cxn modelId="{F5B4A47F-A5EB-4377-BD28-304D2BB74D55}" type="presParOf" srcId="{AF74EAA3-C31C-45AC-AD13-4B04E1572F0A}" destId="{64C1CC48-7475-4EE3-8585-8538B51D0BB9}" srcOrd="4" destOrd="0" presId="urn:microsoft.com/office/officeart/2005/8/layout/chevron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88E85C-9944-4A86-A4ED-B708369D51F9}">
      <dsp:nvSpPr>
        <dsp:cNvPr id="0" name=""/>
        <dsp:cNvSpPr/>
      </dsp:nvSpPr>
      <dsp:spPr>
        <a:xfrm>
          <a:off x="764" y="0"/>
          <a:ext cx="2097228" cy="247650"/>
        </a:xfrm>
        <a:prstGeom prst="chevron">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GB" sz="1400" kern="1200"/>
            <a:t>Low</a:t>
          </a:r>
        </a:p>
      </dsp:txBody>
      <dsp:txXfrm>
        <a:off x="124589" y="0"/>
        <a:ext cx="1849578" cy="247650"/>
      </dsp:txXfrm>
    </dsp:sp>
    <dsp:sp modelId="{1B7493B2-7B86-4E52-B7EE-8A3CD0B305A2}">
      <dsp:nvSpPr>
        <dsp:cNvPr id="0" name=""/>
        <dsp:cNvSpPr/>
      </dsp:nvSpPr>
      <dsp:spPr>
        <a:xfrm>
          <a:off x="1915245" y="0"/>
          <a:ext cx="1839937" cy="247650"/>
        </a:xfrm>
        <a:prstGeom prst="chevron">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GB" sz="1400" kern="1200"/>
            <a:t>Medium</a:t>
          </a:r>
        </a:p>
      </dsp:txBody>
      <dsp:txXfrm>
        <a:off x="2039070" y="0"/>
        <a:ext cx="1592287" cy="247650"/>
      </dsp:txXfrm>
    </dsp:sp>
    <dsp:sp modelId="{64C1CC48-7475-4EE3-8585-8538B51D0BB9}">
      <dsp:nvSpPr>
        <dsp:cNvPr id="0" name=""/>
        <dsp:cNvSpPr/>
      </dsp:nvSpPr>
      <dsp:spPr>
        <a:xfrm>
          <a:off x="3572435" y="0"/>
          <a:ext cx="1827474" cy="247650"/>
        </a:xfrm>
        <a:prstGeom prst="chevron">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GB" sz="1400" kern="1200"/>
            <a:t>High </a:t>
          </a:r>
        </a:p>
      </dsp:txBody>
      <dsp:txXfrm>
        <a:off x="3696260" y="0"/>
        <a:ext cx="1579824" cy="2476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9</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Vining, Jonathan (E,I&amp;S)</dc:creator>
  <cp:keywords/>
  <dc:description/>
  <cp:lastModifiedBy>Palphreyman, Sharon (Corporate)</cp:lastModifiedBy>
  <cp:revision>186</cp:revision>
  <dcterms:created xsi:type="dcterms:W3CDTF">2020-12-10T15:13:00Z</dcterms:created>
  <dcterms:modified xsi:type="dcterms:W3CDTF">2022-01-10T14:37:00Z</dcterms:modified>
</cp:coreProperties>
</file>