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C870" w14:textId="77777777" w:rsidR="00A974C2" w:rsidRDefault="00A974C2" w:rsidP="00421DDD">
      <w:pPr>
        <w:rPr>
          <w:rFonts w:ascii="Arial" w:hAnsi="Arial" w:cs="Arial"/>
          <w:b/>
        </w:rPr>
      </w:pPr>
    </w:p>
    <w:p w14:paraId="5A32E670" w14:textId="2BD87210" w:rsidR="00A974C2" w:rsidRDefault="00A974C2" w:rsidP="00421DDD">
      <w:pPr>
        <w:rPr>
          <w:rFonts w:ascii="Arial" w:hAnsi="Arial" w:cs="Arial"/>
          <w:b/>
        </w:rPr>
      </w:pPr>
      <w:r>
        <w:rPr>
          <w:noProof/>
        </w:rPr>
        <w:drawing>
          <wp:inline distT="0" distB="0" distL="0" distR="0" wp14:anchorId="59ACC3CA" wp14:editId="56DE89BC">
            <wp:extent cx="5731510" cy="19456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945640"/>
                    </a:xfrm>
                    <a:prstGeom prst="rect">
                      <a:avLst/>
                    </a:prstGeom>
                    <a:noFill/>
                    <a:ln>
                      <a:noFill/>
                    </a:ln>
                  </pic:spPr>
                </pic:pic>
              </a:graphicData>
            </a:graphic>
          </wp:inline>
        </w:drawing>
      </w:r>
    </w:p>
    <w:p w14:paraId="5B5C3536" w14:textId="77777777" w:rsidR="00A974C2" w:rsidRDefault="00A974C2" w:rsidP="00421DDD">
      <w:pPr>
        <w:rPr>
          <w:rFonts w:ascii="Arial" w:hAnsi="Arial" w:cs="Arial"/>
          <w:b/>
        </w:rPr>
      </w:pPr>
    </w:p>
    <w:p w14:paraId="6B61D1FF" w14:textId="77777777" w:rsidR="00A974C2" w:rsidRDefault="00A974C2" w:rsidP="00421DDD">
      <w:pPr>
        <w:rPr>
          <w:rFonts w:ascii="Arial" w:hAnsi="Arial" w:cs="Arial"/>
          <w:b/>
        </w:rPr>
      </w:pPr>
    </w:p>
    <w:p w14:paraId="08F1EE61" w14:textId="77777777" w:rsidR="00A974C2" w:rsidRDefault="00A974C2" w:rsidP="00421DDD">
      <w:pPr>
        <w:rPr>
          <w:rFonts w:ascii="Arial" w:hAnsi="Arial" w:cs="Arial"/>
          <w:b/>
        </w:rPr>
      </w:pPr>
    </w:p>
    <w:p w14:paraId="6FA60CF9" w14:textId="24C716A5" w:rsidR="00A974C2" w:rsidRPr="00A974C2" w:rsidRDefault="00A974C2" w:rsidP="00A974C2">
      <w:pPr>
        <w:jc w:val="center"/>
        <w:rPr>
          <w:rFonts w:ascii="Arial" w:hAnsi="Arial" w:cs="Arial"/>
          <w:b/>
          <w:sz w:val="36"/>
          <w:szCs w:val="36"/>
        </w:rPr>
      </w:pPr>
      <w:r w:rsidRPr="00A974C2">
        <w:rPr>
          <w:rFonts w:ascii="Arial" w:hAnsi="Arial" w:cs="Arial"/>
          <w:b/>
          <w:sz w:val="36"/>
          <w:szCs w:val="36"/>
        </w:rPr>
        <w:t>Growth Deal Monitoring and Evaluation Plan</w:t>
      </w:r>
    </w:p>
    <w:p w14:paraId="2857C36B" w14:textId="77777777" w:rsidR="00A974C2" w:rsidRPr="00A974C2" w:rsidRDefault="00A974C2" w:rsidP="00A974C2">
      <w:pPr>
        <w:jc w:val="center"/>
        <w:rPr>
          <w:rFonts w:ascii="Arial" w:hAnsi="Arial" w:cs="Arial"/>
          <w:b/>
          <w:sz w:val="36"/>
          <w:szCs w:val="36"/>
        </w:rPr>
      </w:pPr>
    </w:p>
    <w:p w14:paraId="33850951" w14:textId="0F230BFA" w:rsidR="00A974C2" w:rsidRPr="00A974C2" w:rsidRDefault="00DD4839" w:rsidP="00A974C2">
      <w:pPr>
        <w:jc w:val="center"/>
        <w:rPr>
          <w:rFonts w:ascii="Arial" w:hAnsi="Arial" w:cs="Arial"/>
          <w:b/>
          <w:sz w:val="36"/>
          <w:szCs w:val="36"/>
        </w:rPr>
      </w:pPr>
      <w:r>
        <w:rPr>
          <w:rFonts w:ascii="Arial" w:hAnsi="Arial" w:cs="Arial"/>
          <w:b/>
          <w:sz w:val="36"/>
          <w:szCs w:val="36"/>
        </w:rPr>
        <w:t xml:space="preserve">Date </w:t>
      </w:r>
      <w:r w:rsidR="00043C57">
        <w:rPr>
          <w:rFonts w:ascii="Arial" w:hAnsi="Arial" w:cs="Arial"/>
          <w:b/>
          <w:sz w:val="36"/>
          <w:szCs w:val="36"/>
        </w:rPr>
        <w:t>–</w:t>
      </w:r>
      <w:r>
        <w:rPr>
          <w:rFonts w:ascii="Arial" w:hAnsi="Arial" w:cs="Arial"/>
          <w:b/>
          <w:sz w:val="36"/>
          <w:szCs w:val="36"/>
        </w:rPr>
        <w:t xml:space="preserve"> </w:t>
      </w:r>
      <w:r w:rsidR="000A6DF0">
        <w:rPr>
          <w:rFonts w:ascii="Arial" w:hAnsi="Arial" w:cs="Arial"/>
          <w:b/>
          <w:sz w:val="36"/>
          <w:szCs w:val="36"/>
        </w:rPr>
        <w:t>January 2022</w:t>
      </w:r>
    </w:p>
    <w:p w14:paraId="0A8FDF5A" w14:textId="77777777" w:rsidR="00A974C2" w:rsidRDefault="00A974C2" w:rsidP="00421DDD">
      <w:pPr>
        <w:rPr>
          <w:rFonts w:ascii="Arial" w:hAnsi="Arial" w:cs="Arial"/>
          <w:b/>
        </w:rPr>
      </w:pPr>
    </w:p>
    <w:p w14:paraId="3CF37244" w14:textId="77777777" w:rsidR="00A974C2" w:rsidRDefault="00A974C2" w:rsidP="00421DDD">
      <w:pPr>
        <w:rPr>
          <w:rFonts w:ascii="Arial" w:hAnsi="Arial" w:cs="Arial"/>
          <w:b/>
        </w:rPr>
      </w:pPr>
    </w:p>
    <w:p w14:paraId="00D23B1D" w14:textId="77777777" w:rsidR="00A974C2" w:rsidRDefault="00A974C2" w:rsidP="00421DDD">
      <w:pPr>
        <w:rPr>
          <w:rFonts w:ascii="Arial" w:hAnsi="Arial" w:cs="Arial"/>
          <w:b/>
        </w:rPr>
      </w:pPr>
    </w:p>
    <w:p w14:paraId="57FF0FC1" w14:textId="77777777" w:rsidR="00A974C2" w:rsidRDefault="00A974C2" w:rsidP="00421DDD">
      <w:pPr>
        <w:rPr>
          <w:rFonts w:ascii="Arial" w:hAnsi="Arial" w:cs="Arial"/>
          <w:b/>
        </w:rPr>
      </w:pPr>
    </w:p>
    <w:p w14:paraId="42B3ED0E" w14:textId="77777777" w:rsidR="00A974C2" w:rsidRDefault="00A974C2" w:rsidP="00421DDD">
      <w:pPr>
        <w:rPr>
          <w:rFonts w:ascii="Arial" w:hAnsi="Arial" w:cs="Arial"/>
          <w:b/>
        </w:rPr>
      </w:pPr>
    </w:p>
    <w:p w14:paraId="30FEC6CE" w14:textId="77777777" w:rsidR="00A974C2" w:rsidRDefault="00A974C2" w:rsidP="00421DDD">
      <w:pPr>
        <w:rPr>
          <w:rFonts w:ascii="Arial" w:hAnsi="Arial" w:cs="Arial"/>
          <w:b/>
        </w:rPr>
      </w:pPr>
    </w:p>
    <w:p w14:paraId="3E097521" w14:textId="77777777" w:rsidR="00A974C2" w:rsidRDefault="00A974C2" w:rsidP="00421DDD">
      <w:pPr>
        <w:rPr>
          <w:rFonts w:ascii="Arial" w:hAnsi="Arial" w:cs="Arial"/>
          <w:b/>
        </w:rPr>
      </w:pPr>
    </w:p>
    <w:p w14:paraId="0EF54550" w14:textId="77777777" w:rsidR="00A974C2" w:rsidRDefault="00A974C2" w:rsidP="00421DDD">
      <w:pPr>
        <w:rPr>
          <w:rFonts w:ascii="Arial" w:hAnsi="Arial" w:cs="Arial"/>
          <w:b/>
        </w:rPr>
      </w:pPr>
    </w:p>
    <w:p w14:paraId="6D5E3E8A" w14:textId="77777777" w:rsidR="00A974C2" w:rsidRDefault="00A974C2" w:rsidP="00421DDD">
      <w:pPr>
        <w:rPr>
          <w:rFonts w:ascii="Arial" w:hAnsi="Arial" w:cs="Arial"/>
          <w:b/>
        </w:rPr>
      </w:pPr>
    </w:p>
    <w:p w14:paraId="2A1422D2" w14:textId="77777777" w:rsidR="00A974C2" w:rsidRDefault="00A974C2" w:rsidP="00421DDD">
      <w:pPr>
        <w:rPr>
          <w:rFonts w:ascii="Arial" w:hAnsi="Arial" w:cs="Arial"/>
          <w:b/>
        </w:rPr>
      </w:pPr>
    </w:p>
    <w:p w14:paraId="4F6C0BC2" w14:textId="77777777" w:rsidR="00A974C2" w:rsidRDefault="00A974C2" w:rsidP="00421DDD">
      <w:pPr>
        <w:rPr>
          <w:rFonts w:ascii="Arial" w:hAnsi="Arial" w:cs="Arial"/>
          <w:b/>
        </w:rPr>
      </w:pPr>
    </w:p>
    <w:p w14:paraId="0ADE8B1B" w14:textId="77777777" w:rsidR="00A974C2" w:rsidRDefault="00A974C2" w:rsidP="00421DDD">
      <w:pPr>
        <w:rPr>
          <w:rFonts w:ascii="Arial" w:hAnsi="Arial" w:cs="Arial"/>
          <w:b/>
        </w:rPr>
      </w:pPr>
    </w:p>
    <w:p w14:paraId="76854C54" w14:textId="77777777" w:rsidR="00A974C2" w:rsidRDefault="00A974C2" w:rsidP="00421DDD">
      <w:pPr>
        <w:rPr>
          <w:rFonts w:ascii="Arial" w:hAnsi="Arial" w:cs="Arial"/>
          <w:b/>
        </w:rPr>
      </w:pPr>
    </w:p>
    <w:p w14:paraId="682F749C" w14:textId="77777777" w:rsidR="00A974C2" w:rsidRDefault="00A974C2" w:rsidP="00421DDD">
      <w:pPr>
        <w:rPr>
          <w:rFonts w:ascii="Arial" w:hAnsi="Arial" w:cs="Arial"/>
          <w:b/>
        </w:rPr>
      </w:pPr>
    </w:p>
    <w:p w14:paraId="3E212758" w14:textId="77777777" w:rsidR="00A974C2" w:rsidRDefault="00A974C2" w:rsidP="00421DDD">
      <w:pPr>
        <w:rPr>
          <w:rFonts w:ascii="Arial" w:hAnsi="Arial" w:cs="Arial"/>
          <w:b/>
        </w:rPr>
      </w:pPr>
    </w:p>
    <w:p w14:paraId="290C5A6E" w14:textId="77777777" w:rsidR="00A974C2" w:rsidRDefault="00A974C2" w:rsidP="00421DDD">
      <w:pPr>
        <w:rPr>
          <w:rFonts w:ascii="Arial" w:hAnsi="Arial" w:cs="Arial"/>
          <w:b/>
        </w:rPr>
      </w:pPr>
    </w:p>
    <w:p w14:paraId="7B5A54C5" w14:textId="2C641DEA" w:rsidR="00421DDD" w:rsidRPr="00047254" w:rsidRDefault="00421DDD" w:rsidP="00047254">
      <w:pPr>
        <w:pStyle w:val="ListParagraph"/>
        <w:numPr>
          <w:ilvl w:val="0"/>
          <w:numId w:val="5"/>
        </w:numPr>
        <w:rPr>
          <w:rFonts w:ascii="Arial" w:hAnsi="Arial" w:cs="Arial"/>
          <w:b/>
          <w:sz w:val="24"/>
          <w:szCs w:val="24"/>
        </w:rPr>
      </w:pPr>
      <w:r w:rsidRPr="00047254">
        <w:rPr>
          <w:rFonts w:ascii="Arial" w:hAnsi="Arial" w:cs="Arial"/>
          <w:b/>
          <w:sz w:val="24"/>
          <w:szCs w:val="24"/>
        </w:rPr>
        <w:lastRenderedPageBreak/>
        <w:t>The</w:t>
      </w:r>
      <w:r w:rsidR="00742B24" w:rsidRPr="00047254">
        <w:rPr>
          <w:rFonts w:ascii="Arial" w:hAnsi="Arial" w:cs="Arial"/>
          <w:b/>
          <w:sz w:val="24"/>
          <w:szCs w:val="24"/>
        </w:rPr>
        <w:t xml:space="preserve"> S</w:t>
      </w:r>
      <w:r w:rsidR="00A974C2" w:rsidRPr="00047254">
        <w:rPr>
          <w:rFonts w:ascii="Arial" w:hAnsi="Arial" w:cs="Arial"/>
          <w:b/>
          <w:sz w:val="24"/>
          <w:szCs w:val="24"/>
        </w:rPr>
        <w:t xml:space="preserve">toke on Trent and </w:t>
      </w:r>
      <w:r w:rsidR="00742B24" w:rsidRPr="00047254">
        <w:rPr>
          <w:rFonts w:ascii="Arial" w:hAnsi="Arial" w:cs="Arial"/>
          <w:b/>
          <w:sz w:val="24"/>
          <w:szCs w:val="24"/>
        </w:rPr>
        <w:t>S</w:t>
      </w:r>
      <w:r w:rsidR="00A974C2" w:rsidRPr="00047254">
        <w:rPr>
          <w:rFonts w:ascii="Arial" w:hAnsi="Arial" w:cs="Arial"/>
          <w:b/>
          <w:sz w:val="24"/>
          <w:szCs w:val="24"/>
        </w:rPr>
        <w:t xml:space="preserve">taffordshire </w:t>
      </w:r>
      <w:r w:rsidR="00742B24" w:rsidRPr="00047254">
        <w:rPr>
          <w:rFonts w:ascii="Arial" w:hAnsi="Arial" w:cs="Arial"/>
          <w:b/>
          <w:sz w:val="24"/>
          <w:szCs w:val="24"/>
        </w:rPr>
        <w:t>LEP</w:t>
      </w:r>
      <w:r w:rsidRPr="00047254">
        <w:rPr>
          <w:rFonts w:ascii="Arial" w:hAnsi="Arial" w:cs="Arial"/>
          <w:b/>
          <w:sz w:val="24"/>
          <w:szCs w:val="24"/>
        </w:rPr>
        <w:t xml:space="preserve"> Growth Deal.</w:t>
      </w:r>
    </w:p>
    <w:p w14:paraId="36065DBC" w14:textId="77777777" w:rsidR="00A974C2" w:rsidRDefault="00A974C2" w:rsidP="00421DDD">
      <w:pPr>
        <w:pStyle w:val="NormalWeb"/>
        <w:spacing w:before="0" w:beforeAutospacing="0" w:after="180" w:afterAutospacing="0"/>
        <w:rPr>
          <w:rFonts w:ascii="Arial" w:hAnsi="Arial" w:cs="Arial"/>
          <w:sz w:val="22"/>
          <w:szCs w:val="22"/>
        </w:rPr>
      </w:pPr>
    </w:p>
    <w:p w14:paraId="37A2237D" w14:textId="182D49FF" w:rsidR="00C050A9" w:rsidRDefault="00047254" w:rsidP="00047254">
      <w:pPr>
        <w:pStyle w:val="NormalWeb"/>
        <w:spacing w:before="0" w:beforeAutospacing="0" w:after="180" w:afterAutospacing="0"/>
        <w:ind w:left="720" w:hanging="360"/>
        <w:rPr>
          <w:rFonts w:ascii="Arial" w:hAnsi="Arial" w:cs="Arial"/>
          <w:sz w:val="22"/>
          <w:szCs w:val="22"/>
        </w:rPr>
      </w:pPr>
      <w:r>
        <w:rPr>
          <w:rFonts w:ascii="Arial" w:hAnsi="Arial" w:cs="Arial"/>
          <w:sz w:val="22"/>
          <w:szCs w:val="22"/>
        </w:rPr>
        <w:t>1.1</w:t>
      </w:r>
      <w:r>
        <w:rPr>
          <w:rFonts w:ascii="Arial" w:hAnsi="Arial" w:cs="Arial"/>
          <w:sz w:val="22"/>
          <w:szCs w:val="22"/>
        </w:rPr>
        <w:tab/>
      </w:r>
      <w:r w:rsidR="00421DDD" w:rsidRPr="00A974C2">
        <w:rPr>
          <w:rFonts w:ascii="Arial" w:hAnsi="Arial" w:cs="Arial"/>
          <w:sz w:val="22"/>
          <w:szCs w:val="22"/>
        </w:rPr>
        <w:t xml:space="preserve">Stoke on Trent and Staffordshire LEP’s Growth Deal with Government was first announced by Government in July 2014. </w:t>
      </w:r>
      <w:r w:rsidR="00D32CC3">
        <w:rPr>
          <w:rFonts w:ascii="Arial" w:hAnsi="Arial" w:cs="Arial"/>
          <w:sz w:val="22"/>
          <w:szCs w:val="22"/>
        </w:rPr>
        <w:t>With further funding announcements confirmed in Growth Deal 2 and Growth Deal 3.</w:t>
      </w:r>
      <w:r w:rsidR="00C050A9">
        <w:rPr>
          <w:rFonts w:ascii="Arial" w:hAnsi="Arial" w:cs="Arial"/>
          <w:sz w:val="22"/>
          <w:szCs w:val="22"/>
        </w:rPr>
        <w:t xml:space="preserve"> Further details of the Growth Deals </w:t>
      </w:r>
      <w:r w:rsidR="00A64096">
        <w:rPr>
          <w:rFonts w:ascii="Arial" w:hAnsi="Arial" w:cs="Arial"/>
          <w:sz w:val="22"/>
          <w:szCs w:val="22"/>
        </w:rPr>
        <w:t xml:space="preserve">and the projects originally included within them </w:t>
      </w:r>
      <w:r w:rsidR="00C050A9">
        <w:rPr>
          <w:rFonts w:ascii="Arial" w:hAnsi="Arial" w:cs="Arial"/>
          <w:sz w:val="22"/>
          <w:szCs w:val="22"/>
        </w:rPr>
        <w:t xml:space="preserve">can be found from this </w:t>
      </w:r>
      <w:hyperlink r:id="rId8" w:history="1">
        <w:r w:rsidR="00C050A9" w:rsidRPr="00C050A9">
          <w:rPr>
            <w:rStyle w:val="Hyperlink"/>
            <w:rFonts w:ascii="Arial" w:hAnsi="Arial" w:cs="Arial"/>
            <w:sz w:val="22"/>
            <w:szCs w:val="22"/>
          </w:rPr>
          <w:t>weblink</w:t>
        </w:r>
      </w:hyperlink>
      <w:r w:rsidR="00C050A9">
        <w:rPr>
          <w:rFonts w:ascii="Arial" w:hAnsi="Arial" w:cs="Arial"/>
          <w:sz w:val="22"/>
          <w:szCs w:val="22"/>
        </w:rPr>
        <w:t>.</w:t>
      </w:r>
    </w:p>
    <w:p w14:paraId="2E960EE5" w14:textId="78872E06" w:rsidR="00D32CC3" w:rsidRDefault="00047254" w:rsidP="00047254">
      <w:pPr>
        <w:pStyle w:val="NormalWeb"/>
        <w:spacing w:before="0" w:beforeAutospacing="0" w:after="180" w:afterAutospacing="0"/>
        <w:ind w:left="720" w:hanging="360"/>
        <w:rPr>
          <w:rFonts w:ascii="Arial" w:hAnsi="Arial" w:cs="Arial"/>
          <w:sz w:val="22"/>
          <w:szCs w:val="22"/>
        </w:rPr>
      </w:pPr>
      <w:r>
        <w:rPr>
          <w:rFonts w:ascii="Arial" w:hAnsi="Arial" w:cs="Arial"/>
          <w:sz w:val="22"/>
          <w:szCs w:val="22"/>
        </w:rPr>
        <w:t>1.2</w:t>
      </w:r>
      <w:r>
        <w:rPr>
          <w:rFonts w:ascii="Arial" w:hAnsi="Arial" w:cs="Arial"/>
          <w:sz w:val="22"/>
          <w:szCs w:val="22"/>
        </w:rPr>
        <w:tab/>
      </w:r>
      <w:r w:rsidR="00D32CC3">
        <w:rPr>
          <w:rFonts w:ascii="Arial" w:hAnsi="Arial" w:cs="Arial"/>
          <w:sz w:val="22"/>
          <w:szCs w:val="22"/>
        </w:rPr>
        <w:t xml:space="preserve">The total value of Growth Deal funding allocated to the area is </w:t>
      </w:r>
      <w:r w:rsidR="00D32CC3" w:rsidRPr="00A64096">
        <w:rPr>
          <w:rFonts w:ascii="Arial" w:hAnsi="Arial" w:cs="Arial"/>
          <w:b/>
          <w:bCs/>
          <w:sz w:val="22"/>
          <w:szCs w:val="22"/>
        </w:rPr>
        <w:t>£</w:t>
      </w:r>
      <w:r w:rsidR="006B5EF1" w:rsidRPr="00A64096">
        <w:rPr>
          <w:rFonts w:ascii="Arial" w:hAnsi="Arial" w:cs="Arial"/>
          <w:b/>
          <w:bCs/>
          <w:sz w:val="22"/>
          <w:szCs w:val="22"/>
        </w:rPr>
        <w:t>98.29</w:t>
      </w:r>
      <w:r w:rsidR="00D32CC3" w:rsidRPr="00A64096">
        <w:rPr>
          <w:rFonts w:ascii="Arial" w:hAnsi="Arial" w:cs="Arial"/>
          <w:b/>
          <w:bCs/>
          <w:sz w:val="22"/>
          <w:szCs w:val="22"/>
        </w:rPr>
        <w:t xml:space="preserve"> million</w:t>
      </w:r>
      <w:r w:rsidR="00D32CC3">
        <w:rPr>
          <w:rFonts w:ascii="Arial" w:hAnsi="Arial" w:cs="Arial"/>
          <w:sz w:val="22"/>
          <w:szCs w:val="22"/>
        </w:rPr>
        <w:t xml:space="preserve"> which is broken down as follows:</w:t>
      </w:r>
    </w:p>
    <w:p w14:paraId="7B8A8781" w14:textId="2F460DC3" w:rsidR="00421DDD" w:rsidRDefault="00D32CC3" w:rsidP="00047254">
      <w:pPr>
        <w:pStyle w:val="NormalWeb"/>
        <w:numPr>
          <w:ilvl w:val="0"/>
          <w:numId w:val="6"/>
        </w:numPr>
        <w:spacing w:before="0" w:beforeAutospacing="0" w:after="180" w:afterAutospacing="0"/>
        <w:rPr>
          <w:rFonts w:ascii="Arial" w:hAnsi="Arial" w:cs="Arial"/>
          <w:sz w:val="22"/>
          <w:szCs w:val="22"/>
        </w:rPr>
      </w:pPr>
      <w:r>
        <w:rPr>
          <w:rFonts w:ascii="Arial" w:hAnsi="Arial" w:cs="Arial"/>
          <w:sz w:val="22"/>
          <w:szCs w:val="22"/>
        </w:rPr>
        <w:t>Growth Deal 1 (July 2014) – £</w:t>
      </w:r>
      <w:r w:rsidR="006B5EF1">
        <w:rPr>
          <w:rFonts w:ascii="Arial" w:hAnsi="Arial" w:cs="Arial"/>
          <w:sz w:val="22"/>
          <w:szCs w:val="22"/>
        </w:rPr>
        <w:t>60.89</w:t>
      </w:r>
      <w:r>
        <w:rPr>
          <w:rFonts w:ascii="Arial" w:hAnsi="Arial" w:cs="Arial"/>
          <w:sz w:val="22"/>
          <w:szCs w:val="22"/>
        </w:rPr>
        <w:t xml:space="preserve"> million</w:t>
      </w:r>
    </w:p>
    <w:p w14:paraId="17BFD3D7" w14:textId="34BD71CD" w:rsidR="00D32CC3" w:rsidRDefault="00D32CC3" w:rsidP="00047254">
      <w:pPr>
        <w:pStyle w:val="NormalWeb"/>
        <w:numPr>
          <w:ilvl w:val="0"/>
          <w:numId w:val="6"/>
        </w:numPr>
        <w:spacing w:before="0" w:beforeAutospacing="0" w:after="180" w:afterAutospacing="0"/>
        <w:rPr>
          <w:rFonts w:ascii="Arial" w:hAnsi="Arial" w:cs="Arial"/>
          <w:sz w:val="22"/>
          <w:szCs w:val="22"/>
        </w:rPr>
      </w:pPr>
      <w:r>
        <w:rPr>
          <w:rFonts w:ascii="Arial" w:hAnsi="Arial" w:cs="Arial"/>
          <w:sz w:val="22"/>
          <w:szCs w:val="22"/>
        </w:rPr>
        <w:t>Growth Deal 2 (January 2015) - £</w:t>
      </w:r>
      <w:r w:rsidR="006B5EF1">
        <w:rPr>
          <w:rFonts w:ascii="Arial" w:hAnsi="Arial" w:cs="Arial"/>
          <w:sz w:val="22"/>
          <w:szCs w:val="22"/>
        </w:rPr>
        <w:t>14.1</w:t>
      </w:r>
      <w:r>
        <w:rPr>
          <w:rFonts w:ascii="Arial" w:hAnsi="Arial" w:cs="Arial"/>
          <w:sz w:val="22"/>
          <w:szCs w:val="22"/>
        </w:rPr>
        <w:t xml:space="preserve"> million</w:t>
      </w:r>
    </w:p>
    <w:p w14:paraId="6936652C" w14:textId="2B84D9F9" w:rsidR="00D32CC3" w:rsidRDefault="00D32CC3" w:rsidP="00047254">
      <w:pPr>
        <w:pStyle w:val="NormalWeb"/>
        <w:numPr>
          <w:ilvl w:val="0"/>
          <w:numId w:val="6"/>
        </w:numPr>
        <w:spacing w:before="0" w:beforeAutospacing="0" w:after="180" w:afterAutospacing="0"/>
        <w:rPr>
          <w:rFonts w:ascii="Arial" w:hAnsi="Arial" w:cs="Arial"/>
          <w:sz w:val="22"/>
          <w:szCs w:val="22"/>
        </w:rPr>
      </w:pPr>
      <w:r>
        <w:rPr>
          <w:rFonts w:ascii="Arial" w:hAnsi="Arial" w:cs="Arial"/>
          <w:sz w:val="22"/>
          <w:szCs w:val="22"/>
        </w:rPr>
        <w:t>Growth Deal 3 (November 2016) - £23.3 million</w:t>
      </w:r>
    </w:p>
    <w:p w14:paraId="22AAF329" w14:textId="3A439AED" w:rsidR="00D32CC3" w:rsidRPr="00A974C2" w:rsidRDefault="00047254" w:rsidP="00047254">
      <w:pPr>
        <w:pStyle w:val="NormalWeb"/>
        <w:spacing w:before="0" w:beforeAutospacing="0" w:after="180" w:afterAutospacing="0"/>
        <w:ind w:left="720" w:hanging="360"/>
        <w:rPr>
          <w:rFonts w:ascii="Arial" w:hAnsi="Arial" w:cs="Arial"/>
          <w:sz w:val="22"/>
          <w:szCs w:val="22"/>
        </w:rPr>
      </w:pPr>
      <w:r>
        <w:rPr>
          <w:rFonts w:ascii="Arial" w:hAnsi="Arial" w:cs="Arial"/>
          <w:sz w:val="22"/>
          <w:szCs w:val="22"/>
        </w:rPr>
        <w:t>1.3</w:t>
      </w:r>
      <w:r>
        <w:rPr>
          <w:rFonts w:ascii="Arial" w:hAnsi="Arial" w:cs="Arial"/>
          <w:sz w:val="22"/>
          <w:szCs w:val="22"/>
        </w:rPr>
        <w:tab/>
      </w:r>
      <w:r w:rsidR="00D32CC3">
        <w:rPr>
          <w:rFonts w:ascii="Arial" w:hAnsi="Arial" w:cs="Arial"/>
          <w:sz w:val="22"/>
          <w:szCs w:val="22"/>
        </w:rPr>
        <w:t>Between these Growth Deals the Stoke-on-Trent and Staffordshire LEP has committed to achieving the following targets:</w:t>
      </w:r>
    </w:p>
    <w:p w14:paraId="7B2D8D5A" w14:textId="38B51EB0" w:rsidR="00A974C2" w:rsidRDefault="00421DDD" w:rsidP="00047254">
      <w:pPr>
        <w:pStyle w:val="NormalWeb"/>
        <w:spacing w:before="0" w:beforeAutospacing="0" w:after="180" w:afterAutospacing="0"/>
        <w:ind w:left="720"/>
        <w:rPr>
          <w:rFonts w:ascii="Arial" w:hAnsi="Arial" w:cs="Arial"/>
          <w:b/>
          <w:bCs/>
          <w:i/>
          <w:iCs/>
          <w:sz w:val="22"/>
          <w:szCs w:val="22"/>
        </w:rPr>
      </w:pPr>
      <w:r w:rsidRPr="00A974C2">
        <w:rPr>
          <w:rFonts w:ascii="Arial" w:hAnsi="Arial" w:cs="Arial"/>
          <w:b/>
          <w:bCs/>
          <w:i/>
          <w:iCs/>
          <w:sz w:val="22"/>
          <w:szCs w:val="22"/>
        </w:rPr>
        <w:t>By 2021, interventions from the Deal are expected to lead to the creation 5,000 jobs and allow 1,000 new homes to be built.</w:t>
      </w:r>
    </w:p>
    <w:p w14:paraId="17670F72" w14:textId="77777777" w:rsidR="00F7759C" w:rsidRPr="00D32CC3" w:rsidRDefault="00F7759C" w:rsidP="00047254">
      <w:pPr>
        <w:pStyle w:val="NormalWeb"/>
        <w:spacing w:before="0" w:beforeAutospacing="0" w:after="180" w:afterAutospacing="0"/>
        <w:ind w:left="720"/>
        <w:rPr>
          <w:rFonts w:ascii="Arial" w:hAnsi="Arial" w:cs="Arial"/>
          <w:b/>
          <w:bCs/>
          <w:i/>
          <w:iCs/>
          <w:sz w:val="22"/>
          <w:szCs w:val="22"/>
        </w:rPr>
      </w:pPr>
    </w:p>
    <w:p w14:paraId="41231A9D" w14:textId="1B0FC741" w:rsidR="00421DDD" w:rsidRPr="00047254" w:rsidRDefault="00047254" w:rsidP="00047254">
      <w:pPr>
        <w:ind w:left="720" w:hanging="360"/>
        <w:rPr>
          <w:rFonts w:ascii="Arial" w:hAnsi="Arial" w:cs="Arial"/>
        </w:rPr>
      </w:pPr>
      <w:r>
        <w:rPr>
          <w:rFonts w:ascii="Arial" w:hAnsi="Arial" w:cs="Arial"/>
        </w:rPr>
        <w:t>1.4</w:t>
      </w:r>
      <w:r>
        <w:rPr>
          <w:rFonts w:ascii="Arial" w:hAnsi="Arial" w:cs="Arial"/>
        </w:rPr>
        <w:tab/>
      </w:r>
      <w:r w:rsidR="00421DDD" w:rsidRPr="00047254">
        <w:rPr>
          <w:rFonts w:ascii="Arial" w:hAnsi="Arial" w:cs="Arial"/>
        </w:rPr>
        <w:t>The</w:t>
      </w:r>
      <w:r w:rsidR="00A974C2" w:rsidRPr="00047254">
        <w:rPr>
          <w:rFonts w:ascii="Arial" w:hAnsi="Arial" w:cs="Arial"/>
        </w:rPr>
        <w:t xml:space="preserve"> </w:t>
      </w:r>
      <w:r w:rsidR="00D32CC3" w:rsidRPr="00047254">
        <w:rPr>
          <w:rFonts w:ascii="Arial" w:hAnsi="Arial" w:cs="Arial"/>
        </w:rPr>
        <w:t xml:space="preserve">Growth Deal </w:t>
      </w:r>
      <w:r w:rsidR="00A974C2" w:rsidRPr="00047254">
        <w:rPr>
          <w:rFonts w:ascii="Arial" w:hAnsi="Arial" w:cs="Arial"/>
        </w:rPr>
        <w:t>can be broken down into a number of</w:t>
      </w:r>
      <w:r w:rsidR="00421DDD" w:rsidRPr="00047254">
        <w:rPr>
          <w:rFonts w:ascii="Arial" w:hAnsi="Arial" w:cs="Arial"/>
        </w:rPr>
        <w:t xml:space="preserve"> key features</w:t>
      </w:r>
      <w:r w:rsidR="00A974C2" w:rsidRPr="00047254">
        <w:rPr>
          <w:rFonts w:ascii="Arial" w:hAnsi="Arial" w:cs="Arial"/>
        </w:rPr>
        <w:t xml:space="preserve"> and groups of interventions which</w:t>
      </w:r>
      <w:r w:rsidR="00421DDD" w:rsidRPr="00047254">
        <w:rPr>
          <w:rFonts w:ascii="Arial" w:hAnsi="Arial" w:cs="Arial"/>
        </w:rPr>
        <w:t xml:space="preserve"> </w:t>
      </w:r>
      <w:r w:rsidR="00D32CC3" w:rsidRPr="00047254">
        <w:rPr>
          <w:rFonts w:ascii="Arial" w:hAnsi="Arial" w:cs="Arial"/>
        </w:rPr>
        <w:t xml:space="preserve">have come forward at different times within the programme and </w:t>
      </w:r>
      <w:r w:rsidR="00421DDD" w:rsidRPr="00047254">
        <w:rPr>
          <w:rFonts w:ascii="Arial" w:hAnsi="Arial" w:cs="Arial"/>
        </w:rPr>
        <w:t>are:</w:t>
      </w:r>
    </w:p>
    <w:p w14:paraId="7AC0DE7C" w14:textId="77777777" w:rsidR="00421DDD" w:rsidRPr="00047254" w:rsidRDefault="00421DDD" w:rsidP="00047254">
      <w:pPr>
        <w:pStyle w:val="ListParagraph"/>
        <w:numPr>
          <w:ilvl w:val="0"/>
          <w:numId w:val="7"/>
        </w:numPr>
        <w:rPr>
          <w:rFonts w:ascii="Arial" w:hAnsi="Arial" w:cs="Arial"/>
        </w:rPr>
      </w:pPr>
      <w:r w:rsidRPr="00047254">
        <w:rPr>
          <w:rFonts w:ascii="Arial" w:hAnsi="Arial" w:cs="Arial"/>
        </w:rPr>
        <w:t xml:space="preserve">Major transport investments and wider road maintenance to improve connectivity and promote economic growth, including: </w:t>
      </w:r>
    </w:p>
    <w:p w14:paraId="54243900" w14:textId="77777777" w:rsidR="00421DDD" w:rsidRPr="00047254" w:rsidRDefault="00421DDD" w:rsidP="00047254">
      <w:pPr>
        <w:pStyle w:val="ListParagraph"/>
        <w:numPr>
          <w:ilvl w:val="1"/>
          <w:numId w:val="7"/>
        </w:numPr>
        <w:rPr>
          <w:rFonts w:ascii="Arial" w:hAnsi="Arial" w:cs="Arial"/>
        </w:rPr>
      </w:pPr>
      <w:r w:rsidRPr="00047254">
        <w:rPr>
          <w:rFonts w:ascii="Arial" w:hAnsi="Arial" w:cs="Arial"/>
        </w:rPr>
        <w:t xml:space="preserve">Major road </w:t>
      </w:r>
      <w:r w:rsidR="00A829CE" w:rsidRPr="00047254">
        <w:rPr>
          <w:rFonts w:ascii="Arial" w:hAnsi="Arial" w:cs="Arial"/>
        </w:rPr>
        <w:t xml:space="preserve">infrastructure </w:t>
      </w:r>
      <w:r w:rsidRPr="00047254">
        <w:rPr>
          <w:rFonts w:ascii="Arial" w:hAnsi="Arial" w:cs="Arial"/>
        </w:rPr>
        <w:t>schemes such as Stafford Western Access Route, Etruria Valley Link Road and City East Link Road</w:t>
      </w:r>
    </w:p>
    <w:p w14:paraId="1CC19A07" w14:textId="4130DB37" w:rsidR="00047254" w:rsidRDefault="00421DDD" w:rsidP="00047254">
      <w:pPr>
        <w:pStyle w:val="ListParagraph"/>
        <w:numPr>
          <w:ilvl w:val="1"/>
          <w:numId w:val="7"/>
        </w:numPr>
        <w:rPr>
          <w:rFonts w:ascii="Arial" w:hAnsi="Arial" w:cs="Arial"/>
        </w:rPr>
      </w:pPr>
      <w:r w:rsidRPr="00047254">
        <w:rPr>
          <w:rFonts w:ascii="Arial" w:hAnsi="Arial" w:cs="Arial"/>
        </w:rPr>
        <w:t>More local</w:t>
      </w:r>
      <w:r w:rsidR="00A829CE" w:rsidRPr="00047254">
        <w:rPr>
          <w:rFonts w:ascii="Arial" w:hAnsi="Arial" w:cs="Arial"/>
        </w:rPr>
        <w:t xml:space="preserve">ised </w:t>
      </w:r>
      <w:r w:rsidRPr="00047254">
        <w:rPr>
          <w:rFonts w:ascii="Arial" w:hAnsi="Arial" w:cs="Arial"/>
        </w:rPr>
        <w:t>improvements through the Local Sustainable Transport Package and City Centre Access programme</w:t>
      </w:r>
    </w:p>
    <w:p w14:paraId="0A56A2ED" w14:textId="77777777" w:rsidR="00F7759C" w:rsidRDefault="00F7759C" w:rsidP="00F7759C">
      <w:pPr>
        <w:pStyle w:val="ListParagraph"/>
        <w:ind w:left="1440"/>
        <w:rPr>
          <w:rFonts w:ascii="Arial" w:hAnsi="Arial" w:cs="Arial"/>
        </w:rPr>
      </w:pPr>
    </w:p>
    <w:p w14:paraId="2E87C947" w14:textId="000FD2FE" w:rsidR="00421DDD" w:rsidRPr="00F7759C" w:rsidRDefault="00A829CE" w:rsidP="00F7759C">
      <w:pPr>
        <w:pStyle w:val="ListParagraph"/>
        <w:numPr>
          <w:ilvl w:val="0"/>
          <w:numId w:val="7"/>
        </w:numPr>
        <w:rPr>
          <w:rFonts w:ascii="Arial" w:hAnsi="Arial" w:cs="Arial"/>
        </w:rPr>
      </w:pPr>
      <w:r w:rsidRPr="00F7759C">
        <w:rPr>
          <w:rFonts w:ascii="Arial" w:hAnsi="Arial" w:cs="Arial"/>
        </w:rPr>
        <w:t>Unlocking</w:t>
      </w:r>
      <w:r w:rsidR="00421DDD" w:rsidRPr="00F7759C">
        <w:rPr>
          <w:rFonts w:ascii="Arial" w:hAnsi="Arial" w:cs="Arial"/>
        </w:rPr>
        <w:t xml:space="preserve"> key employment sites which have been stalled for a number of reasons including the need to deliver complicated and expensive off site infrastructure including: </w:t>
      </w:r>
    </w:p>
    <w:p w14:paraId="2A4167A9" w14:textId="77777777" w:rsidR="00A829CE" w:rsidRPr="00047254" w:rsidRDefault="00A829CE" w:rsidP="00047254">
      <w:pPr>
        <w:pStyle w:val="ListParagraph"/>
        <w:numPr>
          <w:ilvl w:val="1"/>
          <w:numId w:val="7"/>
        </w:numPr>
        <w:spacing w:after="200" w:line="276" w:lineRule="auto"/>
        <w:rPr>
          <w:rFonts w:ascii="Arial" w:hAnsi="Arial" w:cs="Arial"/>
          <w:b/>
        </w:rPr>
      </w:pPr>
      <w:r w:rsidRPr="00047254">
        <w:rPr>
          <w:rFonts w:ascii="Arial" w:hAnsi="Arial" w:cs="Arial"/>
        </w:rPr>
        <w:t>Bridge widening and local road improvements in Lichfield to improve access to the Liberty Park Lichfield employment site.</w:t>
      </w:r>
    </w:p>
    <w:p w14:paraId="2A328115" w14:textId="77777777" w:rsidR="00A829CE" w:rsidRPr="00047254" w:rsidRDefault="00A829CE" w:rsidP="00047254">
      <w:pPr>
        <w:pStyle w:val="ListParagraph"/>
        <w:numPr>
          <w:ilvl w:val="1"/>
          <w:numId w:val="7"/>
        </w:numPr>
        <w:spacing w:after="200" w:line="276" w:lineRule="auto"/>
        <w:rPr>
          <w:rFonts w:ascii="Arial" w:hAnsi="Arial" w:cs="Arial"/>
          <w:b/>
        </w:rPr>
      </w:pPr>
      <w:r w:rsidRPr="00047254">
        <w:rPr>
          <w:rFonts w:ascii="Arial" w:hAnsi="Arial" w:cs="Arial"/>
        </w:rPr>
        <w:t>A new roundabout junction on the A34 and improved local access to the Meaford employment site.</w:t>
      </w:r>
    </w:p>
    <w:p w14:paraId="6E8ECF6E" w14:textId="77777777" w:rsidR="00A829CE" w:rsidRPr="00047254" w:rsidRDefault="00A829CE" w:rsidP="00047254">
      <w:pPr>
        <w:pStyle w:val="ListParagraph"/>
        <w:numPr>
          <w:ilvl w:val="1"/>
          <w:numId w:val="7"/>
        </w:numPr>
        <w:spacing w:after="200" w:line="276" w:lineRule="auto"/>
        <w:rPr>
          <w:rFonts w:ascii="Arial" w:hAnsi="Arial" w:cs="Arial"/>
          <w:b/>
        </w:rPr>
      </w:pPr>
      <w:r w:rsidRPr="00047254">
        <w:rPr>
          <w:rFonts w:ascii="Arial" w:hAnsi="Arial" w:cs="Arial"/>
        </w:rPr>
        <w:t>New traffic light controlled access and road widening for the Four Ashes Park employment site.</w:t>
      </w:r>
    </w:p>
    <w:p w14:paraId="77B88FC4" w14:textId="11FD6EF0" w:rsidR="00A829CE" w:rsidRPr="00047254" w:rsidRDefault="00A829CE" w:rsidP="00047254">
      <w:pPr>
        <w:pStyle w:val="ListParagraph"/>
        <w:numPr>
          <w:ilvl w:val="1"/>
          <w:numId w:val="7"/>
        </w:numPr>
        <w:spacing w:after="200" w:line="276" w:lineRule="auto"/>
        <w:rPr>
          <w:rFonts w:ascii="Arial" w:hAnsi="Arial" w:cs="Arial"/>
          <w:b/>
        </w:rPr>
      </w:pPr>
      <w:r w:rsidRPr="00047254">
        <w:rPr>
          <w:rFonts w:ascii="Arial" w:hAnsi="Arial" w:cs="Arial"/>
        </w:rPr>
        <w:t>Localised improvements to unlock the Branston Locks employment and housing site near Burton-upon-Trent.</w:t>
      </w:r>
    </w:p>
    <w:p w14:paraId="39D5F0B9" w14:textId="77777777" w:rsidR="006E3CD0" w:rsidRPr="006E3CD0" w:rsidRDefault="006E3CD0" w:rsidP="006E3CD0">
      <w:pPr>
        <w:pStyle w:val="ListParagraph"/>
        <w:spacing w:after="200" w:line="276" w:lineRule="auto"/>
        <w:rPr>
          <w:rFonts w:ascii="Arial" w:hAnsi="Arial" w:cs="Arial"/>
          <w:b/>
        </w:rPr>
      </w:pPr>
    </w:p>
    <w:p w14:paraId="343EC6BD" w14:textId="6516E181" w:rsidR="0064374B" w:rsidRPr="00047254" w:rsidRDefault="0064374B" w:rsidP="00047254">
      <w:pPr>
        <w:pStyle w:val="ListParagraph"/>
        <w:numPr>
          <w:ilvl w:val="0"/>
          <w:numId w:val="7"/>
        </w:numPr>
        <w:spacing w:after="200" w:line="276" w:lineRule="auto"/>
        <w:rPr>
          <w:rFonts w:ascii="Arial" w:hAnsi="Arial" w:cs="Arial"/>
          <w:b/>
        </w:rPr>
      </w:pPr>
      <w:r w:rsidRPr="00047254">
        <w:rPr>
          <w:rFonts w:ascii="Arial" w:hAnsi="Arial" w:cs="Arial"/>
        </w:rPr>
        <w:t>A programme of Skills Project investments including:</w:t>
      </w:r>
    </w:p>
    <w:p w14:paraId="675B1268" w14:textId="77777777" w:rsidR="0064374B" w:rsidRPr="00047254" w:rsidRDefault="0064374B" w:rsidP="00047254">
      <w:pPr>
        <w:pStyle w:val="ListParagraph"/>
        <w:numPr>
          <w:ilvl w:val="1"/>
          <w:numId w:val="7"/>
        </w:numPr>
        <w:spacing w:after="200" w:line="276" w:lineRule="auto"/>
        <w:rPr>
          <w:rFonts w:ascii="Arial" w:hAnsi="Arial" w:cs="Arial"/>
          <w:b/>
        </w:rPr>
      </w:pPr>
      <w:r w:rsidRPr="00047254">
        <w:rPr>
          <w:rFonts w:ascii="Arial" w:hAnsi="Arial" w:cs="Arial"/>
        </w:rPr>
        <w:t>Advanced Manufacturing Skills Hubs in South Staffordshire, Stafford and the JCB Academy in Rocester</w:t>
      </w:r>
    </w:p>
    <w:p w14:paraId="2BDE0024" w14:textId="77777777" w:rsidR="0064374B" w:rsidRPr="00047254" w:rsidRDefault="0064374B" w:rsidP="00047254">
      <w:pPr>
        <w:pStyle w:val="ListParagraph"/>
        <w:numPr>
          <w:ilvl w:val="1"/>
          <w:numId w:val="7"/>
        </w:numPr>
        <w:spacing w:after="200" w:line="276" w:lineRule="auto"/>
        <w:rPr>
          <w:rFonts w:ascii="Arial" w:hAnsi="Arial" w:cs="Arial"/>
          <w:b/>
        </w:rPr>
      </w:pPr>
      <w:r w:rsidRPr="00047254">
        <w:rPr>
          <w:rFonts w:ascii="Arial" w:hAnsi="Arial" w:cs="Arial"/>
        </w:rPr>
        <w:t xml:space="preserve">A Skills Capital Equipment Fund providing flexible opportunities for investment in key skills equipment </w:t>
      </w:r>
    </w:p>
    <w:p w14:paraId="7EB82F2E" w14:textId="77777777" w:rsidR="0064374B" w:rsidRPr="00A974C2" w:rsidRDefault="0064374B" w:rsidP="00047254">
      <w:pPr>
        <w:pStyle w:val="ListParagraph"/>
        <w:spacing w:after="200" w:line="276" w:lineRule="auto"/>
        <w:ind w:left="1440"/>
        <w:rPr>
          <w:rFonts w:ascii="Arial" w:hAnsi="Arial" w:cs="Arial"/>
          <w:b/>
        </w:rPr>
      </w:pPr>
    </w:p>
    <w:p w14:paraId="7AF6EA33" w14:textId="77777777" w:rsidR="0064374B" w:rsidRPr="00047254" w:rsidRDefault="0064374B" w:rsidP="00047254">
      <w:pPr>
        <w:pStyle w:val="ListParagraph"/>
        <w:numPr>
          <w:ilvl w:val="0"/>
          <w:numId w:val="7"/>
        </w:numPr>
        <w:spacing w:after="200" w:line="276" w:lineRule="auto"/>
        <w:rPr>
          <w:rFonts w:ascii="Arial" w:hAnsi="Arial" w:cs="Arial"/>
          <w:b/>
        </w:rPr>
      </w:pPr>
      <w:r w:rsidRPr="00047254">
        <w:rPr>
          <w:rFonts w:ascii="Arial" w:hAnsi="Arial" w:cs="Arial"/>
        </w:rPr>
        <w:lastRenderedPageBreak/>
        <w:t>Projects to create new and improved premises for businesses at:</w:t>
      </w:r>
    </w:p>
    <w:p w14:paraId="6D839558" w14:textId="77777777" w:rsidR="0064374B" w:rsidRPr="00047254" w:rsidRDefault="0064374B" w:rsidP="00047254">
      <w:pPr>
        <w:pStyle w:val="ListParagraph"/>
        <w:numPr>
          <w:ilvl w:val="1"/>
          <w:numId w:val="7"/>
        </w:numPr>
        <w:spacing w:after="200" w:line="276" w:lineRule="auto"/>
        <w:rPr>
          <w:rFonts w:ascii="Arial" w:hAnsi="Arial" w:cs="Arial"/>
          <w:b/>
        </w:rPr>
      </w:pPr>
      <w:r w:rsidRPr="00047254">
        <w:rPr>
          <w:rFonts w:ascii="Arial" w:hAnsi="Arial" w:cs="Arial"/>
        </w:rPr>
        <w:t>Tamworth Enterprise Quarter – Enterprise Centre</w:t>
      </w:r>
    </w:p>
    <w:p w14:paraId="6C0543AE" w14:textId="77777777" w:rsidR="0064374B" w:rsidRPr="00047254" w:rsidRDefault="0064374B" w:rsidP="00047254">
      <w:pPr>
        <w:pStyle w:val="ListParagraph"/>
        <w:numPr>
          <w:ilvl w:val="1"/>
          <w:numId w:val="7"/>
        </w:numPr>
        <w:spacing w:after="200" w:line="276" w:lineRule="auto"/>
        <w:rPr>
          <w:rFonts w:ascii="Arial" w:hAnsi="Arial" w:cs="Arial"/>
          <w:b/>
        </w:rPr>
      </w:pPr>
      <w:r w:rsidRPr="00047254">
        <w:rPr>
          <w:rFonts w:ascii="Arial" w:hAnsi="Arial" w:cs="Arial"/>
        </w:rPr>
        <w:t xml:space="preserve">Keele University Science and Innovation Park Smart Innovation Hub  and Innovation Centre No. 5 </w:t>
      </w:r>
    </w:p>
    <w:p w14:paraId="21026E03" w14:textId="77777777" w:rsidR="0064374B" w:rsidRPr="00047254" w:rsidRDefault="0064374B" w:rsidP="00047254">
      <w:pPr>
        <w:pStyle w:val="ListParagraph"/>
        <w:numPr>
          <w:ilvl w:val="1"/>
          <w:numId w:val="7"/>
        </w:numPr>
        <w:spacing w:after="200" w:line="276" w:lineRule="auto"/>
        <w:rPr>
          <w:rFonts w:ascii="Arial" w:hAnsi="Arial" w:cs="Arial"/>
          <w:b/>
        </w:rPr>
      </w:pPr>
      <w:r w:rsidRPr="00047254">
        <w:rPr>
          <w:rFonts w:ascii="Arial" w:hAnsi="Arial" w:cs="Arial"/>
        </w:rPr>
        <w:t xml:space="preserve">Cannock and Silverdale Enterprise Centre Improvements </w:t>
      </w:r>
    </w:p>
    <w:p w14:paraId="7543300B" w14:textId="77777777" w:rsidR="00C1157D" w:rsidRPr="00A974C2" w:rsidRDefault="00C1157D" w:rsidP="00047254">
      <w:pPr>
        <w:pStyle w:val="ListParagraph"/>
        <w:spacing w:after="200" w:line="276" w:lineRule="auto"/>
        <w:ind w:left="1440"/>
        <w:rPr>
          <w:rFonts w:ascii="Arial" w:hAnsi="Arial" w:cs="Arial"/>
          <w:b/>
        </w:rPr>
      </w:pPr>
    </w:p>
    <w:p w14:paraId="1D768360" w14:textId="77777777" w:rsidR="00D85912" w:rsidRPr="00047254" w:rsidRDefault="00C1157D" w:rsidP="00047254">
      <w:pPr>
        <w:pStyle w:val="ListParagraph"/>
        <w:numPr>
          <w:ilvl w:val="0"/>
          <w:numId w:val="7"/>
        </w:numPr>
        <w:spacing w:after="200" w:line="276" w:lineRule="auto"/>
        <w:rPr>
          <w:rFonts w:ascii="Arial" w:hAnsi="Arial" w:cs="Arial"/>
          <w:b/>
        </w:rPr>
      </w:pPr>
      <w:r w:rsidRPr="00047254">
        <w:rPr>
          <w:rFonts w:ascii="Arial" w:hAnsi="Arial" w:cs="Arial"/>
        </w:rPr>
        <w:t xml:space="preserve">Projects to enable housing – such as </w:t>
      </w:r>
    </w:p>
    <w:p w14:paraId="03DAF33B" w14:textId="77777777" w:rsidR="00D85912" w:rsidRPr="00047254" w:rsidRDefault="00C1157D" w:rsidP="00047254">
      <w:pPr>
        <w:pStyle w:val="ListParagraph"/>
        <w:numPr>
          <w:ilvl w:val="1"/>
          <w:numId w:val="7"/>
        </w:numPr>
        <w:spacing w:after="200" w:line="276" w:lineRule="auto"/>
        <w:rPr>
          <w:rFonts w:ascii="Arial" w:hAnsi="Arial" w:cs="Arial"/>
          <w:b/>
        </w:rPr>
      </w:pPr>
      <w:r w:rsidRPr="00047254">
        <w:rPr>
          <w:rFonts w:ascii="Arial" w:hAnsi="Arial" w:cs="Arial"/>
        </w:rPr>
        <w:t>at the former Victoria Ground in Stoke-on-Trent</w:t>
      </w:r>
    </w:p>
    <w:p w14:paraId="2D9716B9" w14:textId="1287EEA5" w:rsidR="0064374B" w:rsidRPr="00047254" w:rsidRDefault="00A64096" w:rsidP="00047254">
      <w:pPr>
        <w:pStyle w:val="ListParagraph"/>
        <w:numPr>
          <w:ilvl w:val="1"/>
          <w:numId w:val="7"/>
        </w:numPr>
        <w:spacing w:after="200" w:line="276" w:lineRule="auto"/>
        <w:rPr>
          <w:rFonts w:ascii="Arial" w:hAnsi="Arial" w:cs="Arial"/>
          <w:b/>
        </w:rPr>
      </w:pPr>
      <w:r w:rsidRPr="00047254">
        <w:rPr>
          <w:rFonts w:ascii="Arial" w:hAnsi="Arial" w:cs="Arial"/>
        </w:rPr>
        <w:t xml:space="preserve">as a result of the infrastructure improvements at the Branston Locks site near Burton-upon-Trent and the Stafford Western Access Route. </w:t>
      </w:r>
      <w:r w:rsidR="00C1157D" w:rsidRPr="00047254">
        <w:rPr>
          <w:rFonts w:ascii="Arial" w:hAnsi="Arial" w:cs="Arial"/>
        </w:rPr>
        <w:t xml:space="preserve"> </w:t>
      </w:r>
    </w:p>
    <w:p w14:paraId="3C27AD48" w14:textId="77777777" w:rsidR="00A974C2" w:rsidRPr="00A974C2" w:rsidRDefault="00A974C2" w:rsidP="00047254">
      <w:pPr>
        <w:pStyle w:val="ListParagraph"/>
        <w:spacing w:after="200" w:line="276" w:lineRule="auto"/>
        <w:rPr>
          <w:rFonts w:ascii="Arial" w:hAnsi="Arial" w:cs="Arial"/>
          <w:b/>
        </w:rPr>
      </w:pPr>
    </w:p>
    <w:p w14:paraId="1E7561D1" w14:textId="77777777" w:rsidR="00D85912" w:rsidRPr="00047254" w:rsidRDefault="00704A6D" w:rsidP="00047254">
      <w:pPr>
        <w:pStyle w:val="ListParagraph"/>
        <w:numPr>
          <w:ilvl w:val="0"/>
          <w:numId w:val="7"/>
        </w:numPr>
        <w:spacing w:after="200" w:line="276" w:lineRule="auto"/>
        <w:rPr>
          <w:rFonts w:ascii="Arial" w:hAnsi="Arial" w:cs="Arial"/>
          <w:b/>
        </w:rPr>
      </w:pPr>
      <w:r w:rsidRPr="00047254">
        <w:rPr>
          <w:rFonts w:ascii="Arial" w:hAnsi="Arial" w:cs="Arial"/>
        </w:rPr>
        <w:t>Projects to strengthen</w:t>
      </w:r>
      <w:r w:rsidR="00A64096" w:rsidRPr="00047254">
        <w:rPr>
          <w:rFonts w:ascii="Arial" w:hAnsi="Arial" w:cs="Arial"/>
        </w:rPr>
        <w:t xml:space="preserve"> and enable infrastructure such as</w:t>
      </w:r>
    </w:p>
    <w:p w14:paraId="184F9372" w14:textId="78F99FE9" w:rsidR="00704A6D" w:rsidRPr="00047254" w:rsidRDefault="00704A6D" w:rsidP="00047254">
      <w:pPr>
        <w:pStyle w:val="ListParagraph"/>
        <w:numPr>
          <w:ilvl w:val="1"/>
          <w:numId w:val="7"/>
        </w:numPr>
        <w:spacing w:after="200" w:line="276" w:lineRule="auto"/>
        <w:rPr>
          <w:rFonts w:ascii="Arial" w:hAnsi="Arial" w:cs="Arial"/>
          <w:b/>
        </w:rPr>
      </w:pPr>
      <w:r w:rsidRPr="00047254">
        <w:rPr>
          <w:rFonts w:ascii="Arial" w:hAnsi="Arial" w:cs="Arial"/>
        </w:rPr>
        <w:t>flood defences such as in Rugeley Town Centre and the Stoke-on-Trent Flood Alleviation scheme</w:t>
      </w:r>
    </w:p>
    <w:p w14:paraId="1B78B09F" w14:textId="4E4C0F83" w:rsidR="00D85912" w:rsidRPr="00047254" w:rsidRDefault="00D85912" w:rsidP="00047254">
      <w:pPr>
        <w:pStyle w:val="ListParagraph"/>
        <w:numPr>
          <w:ilvl w:val="1"/>
          <w:numId w:val="7"/>
        </w:numPr>
        <w:spacing w:after="200" w:line="276" w:lineRule="auto"/>
        <w:rPr>
          <w:rFonts w:ascii="Arial" w:hAnsi="Arial" w:cs="Arial"/>
          <w:b/>
        </w:rPr>
      </w:pPr>
      <w:r w:rsidRPr="00047254">
        <w:rPr>
          <w:rFonts w:ascii="Arial" w:hAnsi="Arial" w:cs="Arial"/>
        </w:rPr>
        <w:t xml:space="preserve">Power Upgrades to Stoke-on-Trent Railway Station </w:t>
      </w:r>
    </w:p>
    <w:p w14:paraId="3FD846E5" w14:textId="77777777" w:rsidR="00704A6D" w:rsidRPr="00A974C2" w:rsidRDefault="00704A6D" w:rsidP="00047254">
      <w:pPr>
        <w:pStyle w:val="ListParagraph"/>
        <w:spacing w:after="200" w:line="276" w:lineRule="auto"/>
        <w:rPr>
          <w:rFonts w:ascii="Arial" w:hAnsi="Arial" w:cs="Arial"/>
          <w:b/>
        </w:rPr>
      </w:pPr>
    </w:p>
    <w:p w14:paraId="672487CB" w14:textId="77777777" w:rsidR="00704A6D" w:rsidRPr="00047254" w:rsidRDefault="00704A6D" w:rsidP="00047254">
      <w:pPr>
        <w:pStyle w:val="ListParagraph"/>
        <w:numPr>
          <w:ilvl w:val="0"/>
          <w:numId w:val="7"/>
        </w:numPr>
        <w:spacing w:after="200" w:line="276" w:lineRule="auto"/>
        <w:rPr>
          <w:rFonts w:ascii="Arial" w:hAnsi="Arial" w:cs="Arial"/>
          <w:b/>
        </w:rPr>
      </w:pPr>
      <w:r w:rsidRPr="00047254">
        <w:rPr>
          <w:rFonts w:ascii="Arial" w:hAnsi="Arial" w:cs="Arial"/>
        </w:rPr>
        <w:t xml:space="preserve">Projects to regenerate town centres – such </w:t>
      </w:r>
      <w:r w:rsidR="00A2473F" w:rsidRPr="00047254">
        <w:rPr>
          <w:rFonts w:ascii="Arial" w:hAnsi="Arial" w:cs="Arial"/>
        </w:rPr>
        <w:t>as</w:t>
      </w:r>
      <w:r w:rsidRPr="00047254">
        <w:rPr>
          <w:rFonts w:ascii="Arial" w:hAnsi="Arial" w:cs="Arial"/>
        </w:rPr>
        <w:t xml:space="preserve"> the Spode Church Street Project in Stoke-on-Trent </w:t>
      </w:r>
    </w:p>
    <w:p w14:paraId="7F7A7752" w14:textId="77777777" w:rsidR="00704A6D" w:rsidRPr="00A974C2" w:rsidRDefault="00704A6D" w:rsidP="00047254">
      <w:pPr>
        <w:pStyle w:val="ListParagraph"/>
        <w:rPr>
          <w:rFonts w:ascii="Arial" w:hAnsi="Arial" w:cs="Arial"/>
          <w:b/>
        </w:rPr>
      </w:pPr>
    </w:p>
    <w:p w14:paraId="5FE84B66" w14:textId="6EA34E06" w:rsidR="00E9204C" w:rsidRPr="00047254" w:rsidRDefault="00047254" w:rsidP="00047254">
      <w:pPr>
        <w:ind w:left="720" w:hanging="360"/>
        <w:rPr>
          <w:rFonts w:ascii="Arial" w:hAnsi="Arial" w:cs="Arial"/>
          <w:bCs/>
        </w:rPr>
      </w:pPr>
      <w:r>
        <w:rPr>
          <w:rFonts w:ascii="Arial" w:hAnsi="Arial" w:cs="Arial"/>
          <w:bCs/>
        </w:rPr>
        <w:t>1.5</w:t>
      </w:r>
      <w:r>
        <w:rPr>
          <w:rFonts w:ascii="Arial" w:hAnsi="Arial" w:cs="Arial"/>
          <w:bCs/>
        </w:rPr>
        <w:tab/>
      </w:r>
      <w:r w:rsidR="00246124" w:rsidRPr="00047254">
        <w:rPr>
          <w:rFonts w:ascii="Arial" w:hAnsi="Arial" w:cs="Arial"/>
          <w:bCs/>
        </w:rPr>
        <w:t xml:space="preserve">The SSLEP Growth Deal Programme largely pre-dates the preparation of the UK Industrial Strategy and subsequent development of the SSLEP Local Industrial Strategy. </w:t>
      </w:r>
      <w:r w:rsidR="00E9204C" w:rsidRPr="00047254">
        <w:rPr>
          <w:rFonts w:ascii="Arial" w:hAnsi="Arial" w:cs="Arial"/>
          <w:bCs/>
        </w:rPr>
        <w:t xml:space="preserve">However, as part of the development of the Monitoring and Evaluation Plan we have been mindful of the direction of travel of both the Government and the SSLEP to be reflective of the Pillars of the Local Industrial Strategy (LIS) and the Grand Challenges that we must face to improve productivity. </w:t>
      </w:r>
    </w:p>
    <w:p w14:paraId="610C1D84" w14:textId="70F8A731" w:rsidR="00246124" w:rsidRPr="00047254" w:rsidRDefault="00047254" w:rsidP="00047254">
      <w:pPr>
        <w:ind w:left="720" w:hanging="360"/>
        <w:rPr>
          <w:rFonts w:ascii="Arial" w:hAnsi="Arial" w:cs="Arial"/>
          <w:bCs/>
        </w:rPr>
      </w:pPr>
      <w:r>
        <w:rPr>
          <w:rFonts w:ascii="Arial" w:hAnsi="Arial" w:cs="Arial"/>
          <w:bCs/>
        </w:rPr>
        <w:t>1.6</w:t>
      </w:r>
      <w:r>
        <w:rPr>
          <w:rFonts w:ascii="Arial" w:hAnsi="Arial" w:cs="Arial"/>
          <w:bCs/>
        </w:rPr>
        <w:tab/>
      </w:r>
      <w:r w:rsidR="00E9204C" w:rsidRPr="00047254">
        <w:rPr>
          <w:rFonts w:ascii="Arial" w:hAnsi="Arial" w:cs="Arial"/>
          <w:bCs/>
        </w:rPr>
        <w:t xml:space="preserve">As well as the broad groupings of interventions highlighted above we have considered how they will primarily contribute to the pillars of the LIS to help us shape our future programmes and projects around their impact and contributions to the LIS. </w:t>
      </w:r>
    </w:p>
    <w:p w14:paraId="7C7A6A31" w14:textId="3C2D3F23" w:rsidR="004C29EE" w:rsidRPr="00047254" w:rsidRDefault="00047254" w:rsidP="00047254">
      <w:pPr>
        <w:ind w:left="720" w:hanging="360"/>
        <w:rPr>
          <w:rFonts w:ascii="Arial" w:hAnsi="Arial" w:cs="Arial"/>
          <w:bCs/>
        </w:rPr>
      </w:pPr>
      <w:r>
        <w:rPr>
          <w:rFonts w:ascii="Arial" w:hAnsi="Arial" w:cs="Arial"/>
          <w:bCs/>
        </w:rPr>
        <w:t>1.7</w:t>
      </w:r>
      <w:r>
        <w:rPr>
          <w:rFonts w:ascii="Arial" w:hAnsi="Arial" w:cs="Arial"/>
          <w:bCs/>
        </w:rPr>
        <w:tab/>
      </w:r>
      <w:r w:rsidR="00E9204C" w:rsidRPr="00047254">
        <w:rPr>
          <w:rFonts w:ascii="Arial" w:hAnsi="Arial" w:cs="Arial"/>
          <w:bCs/>
        </w:rPr>
        <w:t>Indeed, many of the projects that we have successfully delivered are likely to provide substantial contributions to the Higher Value Added sector priorities of the LIS including the Smart Innovation Hub and IC5 at Keele University and Science Park, the Tamworth Enterprise Quarter and our Advanced Manufacturing Skills Hub Programme.</w:t>
      </w:r>
      <w:r w:rsidR="00C877CC" w:rsidRPr="00047254">
        <w:rPr>
          <w:rFonts w:ascii="Arial" w:hAnsi="Arial" w:cs="Arial"/>
          <w:bCs/>
        </w:rPr>
        <w:t xml:space="preserve"> </w:t>
      </w:r>
    </w:p>
    <w:p w14:paraId="77B136C5" w14:textId="77777777" w:rsidR="00E9204C" w:rsidRDefault="00E9204C" w:rsidP="00047254">
      <w:pPr>
        <w:rPr>
          <w:rFonts w:ascii="Arial" w:hAnsi="Arial" w:cs="Arial"/>
          <w:b/>
          <w:sz w:val="24"/>
          <w:szCs w:val="24"/>
        </w:rPr>
      </w:pPr>
    </w:p>
    <w:p w14:paraId="7F48D73A" w14:textId="1851081E" w:rsidR="00421DDD" w:rsidRPr="00047254" w:rsidRDefault="00421DDD" w:rsidP="00047254">
      <w:pPr>
        <w:pStyle w:val="ListParagraph"/>
        <w:numPr>
          <w:ilvl w:val="0"/>
          <w:numId w:val="5"/>
        </w:numPr>
        <w:rPr>
          <w:rFonts w:ascii="Arial" w:hAnsi="Arial" w:cs="Arial"/>
          <w:b/>
          <w:sz w:val="24"/>
          <w:szCs w:val="24"/>
        </w:rPr>
      </w:pPr>
      <w:r w:rsidRPr="00047254">
        <w:rPr>
          <w:rFonts w:ascii="Arial" w:hAnsi="Arial" w:cs="Arial"/>
          <w:b/>
          <w:sz w:val="24"/>
          <w:szCs w:val="24"/>
        </w:rPr>
        <w:t>Our Approach to Monitoring and Evaluating the Growth Deal</w:t>
      </w:r>
    </w:p>
    <w:p w14:paraId="4C58629B" w14:textId="5E7E26D9" w:rsidR="00C63F51" w:rsidRPr="00047254" w:rsidRDefault="00C63F51" w:rsidP="00047254">
      <w:pPr>
        <w:ind w:left="360" w:firstLine="360"/>
        <w:rPr>
          <w:rFonts w:ascii="Arial" w:hAnsi="Arial" w:cs="Arial"/>
        </w:rPr>
      </w:pPr>
      <w:r w:rsidRPr="00047254">
        <w:rPr>
          <w:rFonts w:ascii="Arial" w:hAnsi="Arial" w:cs="Arial"/>
          <w:b/>
          <w:bCs/>
        </w:rPr>
        <w:t>Principles of Monitoring and Evaluation</w:t>
      </w:r>
    </w:p>
    <w:p w14:paraId="2875CEF9" w14:textId="47B2902E" w:rsidR="00421DDD" w:rsidRPr="00047254" w:rsidRDefault="00047254" w:rsidP="00047254">
      <w:pPr>
        <w:ind w:left="720" w:hanging="360"/>
        <w:rPr>
          <w:rFonts w:ascii="Arial" w:hAnsi="Arial" w:cs="Arial"/>
        </w:rPr>
      </w:pPr>
      <w:r>
        <w:rPr>
          <w:rFonts w:ascii="Arial" w:hAnsi="Arial" w:cs="Arial"/>
        </w:rPr>
        <w:t>2.1</w:t>
      </w:r>
      <w:r>
        <w:rPr>
          <w:rFonts w:ascii="Arial" w:hAnsi="Arial" w:cs="Arial"/>
        </w:rPr>
        <w:tab/>
      </w:r>
      <w:r w:rsidR="004C29EE" w:rsidRPr="00047254">
        <w:rPr>
          <w:rFonts w:ascii="Arial" w:hAnsi="Arial" w:cs="Arial"/>
        </w:rPr>
        <w:t>A</w:t>
      </w:r>
      <w:r w:rsidR="00421DDD" w:rsidRPr="00047254">
        <w:rPr>
          <w:rFonts w:ascii="Arial" w:hAnsi="Arial" w:cs="Arial"/>
        </w:rPr>
        <w:t xml:space="preserve"> requirement of the Growth Deal, and a component of any good funding programme, is the development of an agreed Monitoring and Evaluation Plan covering the capital projects allocated Local Growth Funding. </w:t>
      </w:r>
    </w:p>
    <w:p w14:paraId="4A91E685" w14:textId="614D7D6C" w:rsidR="00421DDD" w:rsidRPr="00047254" w:rsidRDefault="00047254" w:rsidP="00047254">
      <w:pPr>
        <w:ind w:left="720" w:hanging="360"/>
        <w:rPr>
          <w:rFonts w:ascii="Arial" w:hAnsi="Arial" w:cs="Arial"/>
        </w:rPr>
      </w:pPr>
      <w:r>
        <w:rPr>
          <w:rFonts w:ascii="Arial" w:hAnsi="Arial" w:cs="Arial"/>
        </w:rPr>
        <w:t>2.2</w:t>
      </w:r>
      <w:r>
        <w:rPr>
          <w:rFonts w:ascii="Arial" w:hAnsi="Arial" w:cs="Arial"/>
        </w:rPr>
        <w:tab/>
      </w:r>
      <w:r w:rsidR="00465A9E" w:rsidRPr="00047254">
        <w:rPr>
          <w:rFonts w:ascii="Arial" w:hAnsi="Arial" w:cs="Arial"/>
        </w:rPr>
        <w:t>As part of a suite of initiatives to refresh the Governance arrangements in place</w:t>
      </w:r>
      <w:r w:rsidR="00A2473F" w:rsidRPr="00047254">
        <w:rPr>
          <w:rFonts w:ascii="Arial" w:hAnsi="Arial" w:cs="Arial"/>
        </w:rPr>
        <w:t>,</w:t>
      </w:r>
      <w:r w:rsidR="00465A9E" w:rsidRPr="00047254">
        <w:rPr>
          <w:rFonts w:ascii="Arial" w:hAnsi="Arial" w:cs="Arial"/>
        </w:rPr>
        <w:t xml:space="preserve"> t</w:t>
      </w:r>
      <w:r w:rsidR="00421DDD" w:rsidRPr="00047254">
        <w:rPr>
          <w:rFonts w:ascii="Arial" w:hAnsi="Arial" w:cs="Arial"/>
        </w:rPr>
        <w:t>he</w:t>
      </w:r>
      <w:r w:rsidR="00465A9E" w:rsidRPr="00047254">
        <w:rPr>
          <w:rFonts w:ascii="Arial" w:hAnsi="Arial" w:cs="Arial"/>
        </w:rPr>
        <w:t xml:space="preserve"> SSLEP has identified </w:t>
      </w:r>
      <w:r w:rsidR="00421DDD" w:rsidRPr="00047254">
        <w:rPr>
          <w:rFonts w:ascii="Arial" w:hAnsi="Arial" w:cs="Arial"/>
        </w:rPr>
        <w:t>a set of metrics for use in monitoring project progress and outputs</w:t>
      </w:r>
      <w:r w:rsidR="007839BB" w:rsidRPr="00047254">
        <w:rPr>
          <w:rFonts w:ascii="Arial" w:hAnsi="Arial" w:cs="Arial"/>
        </w:rPr>
        <w:t xml:space="preserve"> and these are r</w:t>
      </w:r>
      <w:r w:rsidR="002132FA" w:rsidRPr="00047254">
        <w:rPr>
          <w:rFonts w:ascii="Arial" w:hAnsi="Arial" w:cs="Arial"/>
        </w:rPr>
        <w:t>egularly</w:t>
      </w:r>
      <w:r w:rsidR="007839BB" w:rsidRPr="00047254">
        <w:rPr>
          <w:rFonts w:ascii="Arial" w:hAnsi="Arial" w:cs="Arial"/>
        </w:rPr>
        <w:t xml:space="preserve"> presented to </w:t>
      </w:r>
      <w:r w:rsidR="002132FA" w:rsidRPr="00047254">
        <w:rPr>
          <w:rFonts w:ascii="Arial" w:hAnsi="Arial" w:cs="Arial"/>
        </w:rPr>
        <w:t xml:space="preserve">SSLEP’s performance management </w:t>
      </w:r>
      <w:r w:rsidR="007839BB" w:rsidRPr="00047254">
        <w:rPr>
          <w:rFonts w:ascii="Arial" w:hAnsi="Arial" w:cs="Arial"/>
        </w:rPr>
        <w:t>groups, with the relevant information reported to Government as required</w:t>
      </w:r>
      <w:r w:rsidR="00421DDD" w:rsidRPr="00047254">
        <w:rPr>
          <w:rFonts w:ascii="Arial" w:hAnsi="Arial" w:cs="Arial"/>
        </w:rPr>
        <w:t xml:space="preserve">. In addition, discussions have taken place around the development of an Evaluation Plan to measure the impact and outcomes of the programme. </w:t>
      </w:r>
    </w:p>
    <w:p w14:paraId="33C5ED88" w14:textId="01AEC432" w:rsidR="005B53EC" w:rsidRDefault="00047254" w:rsidP="00047254">
      <w:pPr>
        <w:ind w:left="720" w:hanging="360"/>
        <w:rPr>
          <w:rFonts w:ascii="Arial" w:hAnsi="Arial" w:cs="Arial"/>
        </w:rPr>
      </w:pPr>
      <w:r>
        <w:rPr>
          <w:rFonts w:ascii="Arial" w:hAnsi="Arial" w:cs="Arial"/>
        </w:rPr>
        <w:lastRenderedPageBreak/>
        <w:t>2.3</w:t>
      </w:r>
      <w:r>
        <w:rPr>
          <w:rFonts w:ascii="Arial" w:hAnsi="Arial" w:cs="Arial"/>
        </w:rPr>
        <w:tab/>
      </w:r>
      <w:r w:rsidR="005B53EC" w:rsidRPr="00047254">
        <w:rPr>
          <w:rFonts w:ascii="Arial" w:hAnsi="Arial" w:cs="Arial"/>
        </w:rPr>
        <w:t>In all cases it is important that evaluation maintains a balance of proportionality and is selective; taking into consideration the scale, value and scope of an intervention. However, as a minimum level the SSLEP has an expectation that all projects should capture and report relevant monitoring information, particularly in relation to outputs</w:t>
      </w:r>
      <w:r w:rsidR="003C04D3" w:rsidRPr="00047254">
        <w:rPr>
          <w:rFonts w:ascii="Arial" w:hAnsi="Arial" w:cs="Arial"/>
        </w:rPr>
        <w:t>,</w:t>
      </w:r>
      <w:r w:rsidR="005B53EC" w:rsidRPr="00047254">
        <w:rPr>
          <w:rFonts w:ascii="Arial" w:hAnsi="Arial" w:cs="Arial"/>
        </w:rPr>
        <w:t xml:space="preserve"> and</w:t>
      </w:r>
      <w:r w:rsidR="003C04D3" w:rsidRPr="00047254">
        <w:rPr>
          <w:rFonts w:ascii="Arial" w:hAnsi="Arial" w:cs="Arial"/>
        </w:rPr>
        <w:t xml:space="preserve"> to</w:t>
      </w:r>
      <w:r w:rsidR="005B53EC" w:rsidRPr="00047254">
        <w:rPr>
          <w:rFonts w:ascii="Arial" w:hAnsi="Arial" w:cs="Arial"/>
        </w:rPr>
        <w:t xml:space="preserve"> ensure that the learning related to the success or otherwise of a project or programme is shared</w:t>
      </w:r>
      <w:r w:rsidR="003C04D3" w:rsidRPr="00047254">
        <w:rPr>
          <w:rFonts w:ascii="Arial" w:hAnsi="Arial" w:cs="Arial"/>
        </w:rPr>
        <w:t>,</w:t>
      </w:r>
      <w:r w:rsidR="005B53EC" w:rsidRPr="00047254">
        <w:rPr>
          <w:rFonts w:ascii="Arial" w:hAnsi="Arial" w:cs="Arial"/>
        </w:rPr>
        <w:t xml:space="preserve"> to enable the LEP to reflect upon the greatest return on investment from its funding. These </w:t>
      </w:r>
      <w:r w:rsidR="003C04D3" w:rsidRPr="00047254">
        <w:rPr>
          <w:rFonts w:ascii="Arial" w:hAnsi="Arial" w:cs="Arial"/>
        </w:rPr>
        <w:t xml:space="preserve">provisions </w:t>
      </w:r>
      <w:r w:rsidR="005B53EC" w:rsidRPr="00047254">
        <w:rPr>
          <w:rFonts w:ascii="Arial" w:hAnsi="Arial" w:cs="Arial"/>
        </w:rPr>
        <w:t xml:space="preserve">should be built in as minimum level </w:t>
      </w:r>
      <w:r w:rsidR="005010D5">
        <w:rPr>
          <w:rFonts w:ascii="Arial" w:hAnsi="Arial" w:cs="Arial"/>
        </w:rPr>
        <w:t xml:space="preserve"> by </w:t>
      </w:r>
      <w:r w:rsidR="005B53EC" w:rsidRPr="00047254">
        <w:rPr>
          <w:rFonts w:ascii="Arial" w:hAnsi="Arial" w:cs="Arial"/>
        </w:rPr>
        <w:t xml:space="preserve">project managers into the overall management of their projects. </w:t>
      </w:r>
    </w:p>
    <w:p w14:paraId="28A9626B" w14:textId="77777777" w:rsidR="005010D5" w:rsidRPr="00047254" w:rsidRDefault="005010D5" w:rsidP="00047254">
      <w:pPr>
        <w:ind w:left="720" w:hanging="360"/>
        <w:rPr>
          <w:rFonts w:ascii="Arial" w:hAnsi="Arial" w:cs="Arial"/>
        </w:rPr>
      </w:pPr>
    </w:p>
    <w:p w14:paraId="644DAD0B" w14:textId="7C219648" w:rsidR="00C63F51" w:rsidRPr="00047254" w:rsidRDefault="00C63F51" w:rsidP="00047254">
      <w:pPr>
        <w:ind w:left="360" w:firstLine="360"/>
        <w:rPr>
          <w:rFonts w:ascii="Arial" w:hAnsi="Arial" w:cs="Arial"/>
          <w:b/>
          <w:bCs/>
        </w:rPr>
      </w:pPr>
      <w:r w:rsidRPr="00047254">
        <w:rPr>
          <w:rFonts w:ascii="Arial" w:hAnsi="Arial" w:cs="Arial"/>
          <w:b/>
          <w:bCs/>
        </w:rPr>
        <w:t>Routine Project and Programme Monitoring</w:t>
      </w:r>
    </w:p>
    <w:p w14:paraId="11A012B1" w14:textId="1E43BBF5" w:rsidR="007839BB" w:rsidRPr="00047254" w:rsidRDefault="00047254" w:rsidP="00047254">
      <w:pPr>
        <w:ind w:left="720" w:hanging="360"/>
        <w:rPr>
          <w:rFonts w:ascii="Arial" w:hAnsi="Arial" w:cs="Arial"/>
        </w:rPr>
      </w:pPr>
      <w:r>
        <w:rPr>
          <w:rFonts w:ascii="Arial" w:hAnsi="Arial" w:cs="Arial"/>
        </w:rPr>
        <w:t>2.4</w:t>
      </w:r>
      <w:r>
        <w:rPr>
          <w:rFonts w:ascii="Arial" w:hAnsi="Arial" w:cs="Arial"/>
        </w:rPr>
        <w:tab/>
      </w:r>
      <w:r w:rsidR="00465A9E" w:rsidRPr="00047254">
        <w:rPr>
          <w:rFonts w:ascii="Arial" w:hAnsi="Arial" w:cs="Arial"/>
        </w:rPr>
        <w:t>Until Quarter 4 in 2019, a</w:t>
      </w:r>
      <w:r w:rsidR="00421DDD" w:rsidRPr="00047254">
        <w:rPr>
          <w:rFonts w:ascii="Arial" w:hAnsi="Arial" w:cs="Arial"/>
        </w:rPr>
        <w:t>ll projects</w:t>
      </w:r>
      <w:r w:rsidR="00465A9E" w:rsidRPr="00047254">
        <w:rPr>
          <w:rFonts w:ascii="Arial" w:hAnsi="Arial" w:cs="Arial"/>
        </w:rPr>
        <w:t xml:space="preserve"> </w:t>
      </w:r>
      <w:r w:rsidR="00C63F51" w:rsidRPr="00047254">
        <w:rPr>
          <w:rFonts w:ascii="Arial" w:hAnsi="Arial" w:cs="Arial"/>
        </w:rPr>
        <w:t xml:space="preserve">and programmes benefitting from Growth Deal funding </w:t>
      </w:r>
      <w:r w:rsidR="00465A9E" w:rsidRPr="00047254">
        <w:rPr>
          <w:rFonts w:ascii="Arial" w:hAnsi="Arial" w:cs="Arial"/>
        </w:rPr>
        <w:t>have</w:t>
      </w:r>
      <w:r w:rsidR="00421DDD" w:rsidRPr="00047254">
        <w:rPr>
          <w:rFonts w:ascii="Arial" w:hAnsi="Arial" w:cs="Arial"/>
        </w:rPr>
        <w:t xml:space="preserve"> be</w:t>
      </w:r>
      <w:r w:rsidR="00465A9E" w:rsidRPr="00047254">
        <w:rPr>
          <w:rFonts w:ascii="Arial" w:hAnsi="Arial" w:cs="Arial"/>
        </w:rPr>
        <w:t>en</w:t>
      </w:r>
      <w:r w:rsidR="00421DDD" w:rsidRPr="00047254">
        <w:rPr>
          <w:rFonts w:ascii="Arial" w:hAnsi="Arial" w:cs="Arial"/>
        </w:rPr>
        <w:t xml:space="preserve"> required to provide monitoring information</w:t>
      </w:r>
      <w:r w:rsidR="007839BB" w:rsidRPr="00047254">
        <w:rPr>
          <w:rFonts w:ascii="Arial" w:hAnsi="Arial" w:cs="Arial"/>
        </w:rPr>
        <w:t xml:space="preserve"> in relation to their expected outputs</w:t>
      </w:r>
      <w:r w:rsidR="00421DDD" w:rsidRPr="00047254">
        <w:rPr>
          <w:rFonts w:ascii="Arial" w:hAnsi="Arial" w:cs="Arial"/>
        </w:rPr>
        <w:t xml:space="preserve"> to the LEP on a monthly basis in the form of a “highlight report”.</w:t>
      </w:r>
      <w:r w:rsidR="00465A9E" w:rsidRPr="00047254">
        <w:rPr>
          <w:rFonts w:ascii="Arial" w:hAnsi="Arial" w:cs="Arial"/>
        </w:rPr>
        <w:t xml:space="preserve"> </w:t>
      </w:r>
    </w:p>
    <w:p w14:paraId="32C49A29" w14:textId="2E53DF3E" w:rsidR="00465A9E" w:rsidRPr="00047254" w:rsidRDefault="00047254" w:rsidP="00047254">
      <w:pPr>
        <w:ind w:left="720" w:hanging="360"/>
        <w:rPr>
          <w:rFonts w:ascii="Arial" w:hAnsi="Arial" w:cs="Arial"/>
        </w:rPr>
      </w:pPr>
      <w:r>
        <w:rPr>
          <w:rFonts w:ascii="Arial" w:hAnsi="Arial" w:cs="Arial"/>
        </w:rPr>
        <w:t>2.5</w:t>
      </w:r>
      <w:r>
        <w:rPr>
          <w:rFonts w:ascii="Arial" w:hAnsi="Arial" w:cs="Arial"/>
        </w:rPr>
        <w:tab/>
      </w:r>
      <w:r w:rsidR="00465A9E" w:rsidRPr="00047254">
        <w:rPr>
          <w:rFonts w:ascii="Arial" w:hAnsi="Arial" w:cs="Arial"/>
        </w:rPr>
        <w:t>This reporting information has been reported regularly to the Programme Assurance Group (PAG) which reports performance highlights and potential issues</w:t>
      </w:r>
      <w:r w:rsidR="00A2473F" w:rsidRPr="00047254">
        <w:rPr>
          <w:rFonts w:ascii="Arial" w:hAnsi="Arial" w:cs="Arial"/>
        </w:rPr>
        <w:t xml:space="preserve"> through a Strategic Programme Management Board</w:t>
      </w:r>
      <w:r w:rsidR="00465A9E" w:rsidRPr="00047254">
        <w:rPr>
          <w:rFonts w:ascii="Arial" w:hAnsi="Arial" w:cs="Arial"/>
        </w:rPr>
        <w:t xml:space="preserve"> as necessary to the LEP Executive Board.</w:t>
      </w:r>
    </w:p>
    <w:p w14:paraId="3B5AD755" w14:textId="35C07495" w:rsidR="00465A9E" w:rsidRPr="00047254" w:rsidRDefault="00047254" w:rsidP="00047254">
      <w:pPr>
        <w:ind w:left="720" w:hanging="360"/>
        <w:rPr>
          <w:rFonts w:ascii="Arial" w:hAnsi="Arial" w:cs="Arial"/>
        </w:rPr>
      </w:pPr>
      <w:r>
        <w:rPr>
          <w:rFonts w:ascii="Arial" w:hAnsi="Arial" w:cs="Arial"/>
        </w:rPr>
        <w:t>2.6</w:t>
      </w:r>
      <w:r>
        <w:rPr>
          <w:rFonts w:ascii="Arial" w:hAnsi="Arial" w:cs="Arial"/>
        </w:rPr>
        <w:tab/>
      </w:r>
      <w:r w:rsidR="00465A9E" w:rsidRPr="00047254">
        <w:rPr>
          <w:rFonts w:ascii="Arial" w:hAnsi="Arial" w:cs="Arial"/>
        </w:rPr>
        <w:t>Following</w:t>
      </w:r>
      <w:r w:rsidR="00C63F51" w:rsidRPr="00047254">
        <w:rPr>
          <w:rFonts w:ascii="Arial" w:hAnsi="Arial" w:cs="Arial"/>
        </w:rPr>
        <w:t xml:space="preserve"> the recommendations of</w:t>
      </w:r>
      <w:r w:rsidR="00465A9E" w:rsidRPr="00047254">
        <w:rPr>
          <w:rFonts w:ascii="Arial" w:hAnsi="Arial" w:cs="Arial"/>
        </w:rPr>
        <w:t xml:space="preserve"> a review of </w:t>
      </w:r>
      <w:r w:rsidR="00C63F51" w:rsidRPr="00047254">
        <w:rPr>
          <w:rFonts w:ascii="Arial" w:hAnsi="Arial" w:cs="Arial"/>
        </w:rPr>
        <w:t>SSLEP</w:t>
      </w:r>
      <w:r w:rsidR="00465A9E" w:rsidRPr="00047254">
        <w:rPr>
          <w:rFonts w:ascii="Arial" w:hAnsi="Arial" w:cs="Arial"/>
        </w:rPr>
        <w:t xml:space="preserve"> Governance arrangements undertaken by Hatch Regeneris in Autumn 2019 the monitoring of projects where delivery is </w:t>
      </w:r>
      <w:r w:rsidR="00C63F51" w:rsidRPr="00047254">
        <w:rPr>
          <w:rFonts w:ascii="Arial" w:hAnsi="Arial" w:cs="Arial"/>
        </w:rPr>
        <w:t>‘</w:t>
      </w:r>
      <w:r w:rsidR="00465A9E" w:rsidRPr="00047254">
        <w:rPr>
          <w:rFonts w:ascii="Arial" w:hAnsi="Arial" w:cs="Arial"/>
        </w:rPr>
        <w:t>on track</w:t>
      </w:r>
      <w:r w:rsidR="00C63F51" w:rsidRPr="00047254">
        <w:rPr>
          <w:rFonts w:ascii="Arial" w:hAnsi="Arial" w:cs="Arial"/>
        </w:rPr>
        <w:t>’</w:t>
      </w:r>
      <w:r w:rsidR="00465A9E" w:rsidRPr="00047254">
        <w:rPr>
          <w:rFonts w:ascii="Arial" w:hAnsi="Arial" w:cs="Arial"/>
        </w:rPr>
        <w:t xml:space="preserve"> will</w:t>
      </w:r>
      <w:r w:rsidR="00C63F51" w:rsidRPr="00047254">
        <w:rPr>
          <w:rFonts w:ascii="Arial" w:hAnsi="Arial" w:cs="Arial"/>
        </w:rPr>
        <w:t xml:space="preserve"> now</w:t>
      </w:r>
      <w:r w:rsidR="00465A9E" w:rsidRPr="00047254">
        <w:rPr>
          <w:rFonts w:ascii="Arial" w:hAnsi="Arial" w:cs="Arial"/>
        </w:rPr>
        <w:t xml:space="preserve"> be on a quarterly basis to the SSLEP Strategic Programme Management Board</w:t>
      </w:r>
      <w:r w:rsidR="004E0620" w:rsidRPr="00047254">
        <w:rPr>
          <w:rFonts w:ascii="Arial" w:hAnsi="Arial" w:cs="Arial"/>
        </w:rPr>
        <w:t xml:space="preserve">. This acts as </w:t>
      </w:r>
      <w:r w:rsidR="00A2473F" w:rsidRPr="00047254">
        <w:rPr>
          <w:rFonts w:ascii="Arial" w:hAnsi="Arial" w:cs="Arial"/>
        </w:rPr>
        <w:t>a</w:t>
      </w:r>
      <w:r w:rsidR="00465A9E" w:rsidRPr="00047254">
        <w:rPr>
          <w:rFonts w:ascii="Arial" w:hAnsi="Arial" w:cs="Arial"/>
        </w:rPr>
        <w:t xml:space="preserve"> </w:t>
      </w:r>
      <w:r w:rsidR="00C63F51" w:rsidRPr="00047254">
        <w:rPr>
          <w:rFonts w:ascii="Arial" w:hAnsi="Arial" w:cs="Arial"/>
        </w:rPr>
        <w:t>subgroup</w:t>
      </w:r>
      <w:r w:rsidR="00465A9E" w:rsidRPr="00047254">
        <w:rPr>
          <w:rFonts w:ascii="Arial" w:hAnsi="Arial" w:cs="Arial"/>
        </w:rPr>
        <w:t xml:space="preserve"> of the LEP Executive Board w</w:t>
      </w:r>
      <w:r w:rsidR="004E0620" w:rsidRPr="00047254">
        <w:rPr>
          <w:rFonts w:ascii="Arial" w:hAnsi="Arial" w:cs="Arial"/>
        </w:rPr>
        <w:t xml:space="preserve">ith </w:t>
      </w:r>
      <w:r w:rsidR="00465A9E" w:rsidRPr="00047254">
        <w:rPr>
          <w:rFonts w:ascii="Arial" w:hAnsi="Arial" w:cs="Arial"/>
        </w:rPr>
        <w:t>the remit to</w:t>
      </w:r>
      <w:r w:rsidR="00A2473F" w:rsidRPr="00047254">
        <w:rPr>
          <w:rFonts w:ascii="Arial" w:hAnsi="Arial" w:cs="Arial"/>
        </w:rPr>
        <w:t xml:space="preserve"> make proportionate decisions and</w:t>
      </w:r>
      <w:r w:rsidR="00465A9E" w:rsidRPr="00047254">
        <w:rPr>
          <w:rFonts w:ascii="Arial" w:hAnsi="Arial" w:cs="Arial"/>
        </w:rPr>
        <w:t xml:space="preserve"> challenge</w:t>
      </w:r>
      <w:r w:rsidR="00A2473F" w:rsidRPr="00047254">
        <w:rPr>
          <w:rFonts w:ascii="Arial" w:hAnsi="Arial" w:cs="Arial"/>
        </w:rPr>
        <w:t xml:space="preserve"> the</w:t>
      </w:r>
      <w:r w:rsidR="00465A9E" w:rsidRPr="00047254">
        <w:rPr>
          <w:rFonts w:ascii="Arial" w:hAnsi="Arial" w:cs="Arial"/>
        </w:rPr>
        <w:t xml:space="preserve"> performance</w:t>
      </w:r>
      <w:r w:rsidR="00A2473F" w:rsidRPr="00047254">
        <w:rPr>
          <w:rFonts w:ascii="Arial" w:hAnsi="Arial" w:cs="Arial"/>
        </w:rPr>
        <w:t xml:space="preserve"> of projects</w:t>
      </w:r>
      <w:r w:rsidR="00465A9E" w:rsidRPr="00047254">
        <w:rPr>
          <w:rFonts w:ascii="Arial" w:hAnsi="Arial" w:cs="Arial"/>
        </w:rPr>
        <w:t xml:space="preserve"> where necessary. </w:t>
      </w:r>
    </w:p>
    <w:p w14:paraId="2703B9D0" w14:textId="010DA26D" w:rsidR="00421DDD" w:rsidRPr="00047254" w:rsidRDefault="00047254" w:rsidP="00047254">
      <w:pPr>
        <w:ind w:left="720" w:hanging="360"/>
        <w:rPr>
          <w:rFonts w:ascii="Arial" w:hAnsi="Arial" w:cs="Arial"/>
        </w:rPr>
      </w:pPr>
      <w:r>
        <w:rPr>
          <w:rFonts w:ascii="Arial" w:hAnsi="Arial" w:cs="Arial"/>
        </w:rPr>
        <w:t>2.7</w:t>
      </w:r>
      <w:r>
        <w:rPr>
          <w:rFonts w:ascii="Arial" w:hAnsi="Arial" w:cs="Arial"/>
        </w:rPr>
        <w:tab/>
      </w:r>
      <w:r w:rsidR="00A2473F" w:rsidRPr="00047254">
        <w:rPr>
          <w:rFonts w:ascii="Arial" w:hAnsi="Arial" w:cs="Arial"/>
        </w:rPr>
        <w:t xml:space="preserve">In accordance with the requirements of the Department for Business, Energy and Industrial Strategy (BEIS) </w:t>
      </w:r>
      <w:r w:rsidR="007839BB" w:rsidRPr="00047254">
        <w:rPr>
          <w:rFonts w:ascii="Arial" w:hAnsi="Arial" w:cs="Arial"/>
        </w:rPr>
        <w:t xml:space="preserve">further </w:t>
      </w:r>
      <w:r w:rsidR="00C63F51" w:rsidRPr="00047254">
        <w:rPr>
          <w:rFonts w:ascii="Arial" w:hAnsi="Arial" w:cs="Arial"/>
        </w:rPr>
        <w:t>in-depth</w:t>
      </w:r>
      <w:r w:rsidR="00421DDD" w:rsidRPr="00047254">
        <w:rPr>
          <w:rFonts w:ascii="Arial" w:hAnsi="Arial" w:cs="Arial"/>
        </w:rPr>
        <w:t xml:space="preserve"> monitoring information</w:t>
      </w:r>
      <w:r w:rsidR="00A2473F" w:rsidRPr="00047254">
        <w:rPr>
          <w:rFonts w:ascii="Arial" w:hAnsi="Arial" w:cs="Arial"/>
        </w:rPr>
        <w:t xml:space="preserve"> relating to project outputs</w:t>
      </w:r>
      <w:r w:rsidR="004E0620" w:rsidRPr="00047254">
        <w:rPr>
          <w:rFonts w:ascii="Arial" w:hAnsi="Arial" w:cs="Arial"/>
        </w:rPr>
        <w:t xml:space="preserve"> and financial performance</w:t>
      </w:r>
      <w:r w:rsidR="00421DDD" w:rsidRPr="00047254">
        <w:rPr>
          <w:rFonts w:ascii="Arial" w:hAnsi="Arial" w:cs="Arial"/>
        </w:rPr>
        <w:t xml:space="preserve"> will also be </w:t>
      </w:r>
      <w:r w:rsidR="004E0620" w:rsidRPr="00047254">
        <w:rPr>
          <w:rFonts w:ascii="Arial" w:hAnsi="Arial" w:cs="Arial"/>
        </w:rPr>
        <w:t>provided</w:t>
      </w:r>
      <w:r w:rsidR="00421DDD" w:rsidRPr="00047254">
        <w:rPr>
          <w:rFonts w:ascii="Arial" w:hAnsi="Arial" w:cs="Arial"/>
        </w:rPr>
        <w:t>.</w:t>
      </w:r>
    </w:p>
    <w:p w14:paraId="29C4D87B" w14:textId="77777777" w:rsidR="00754508" w:rsidRPr="00047254" w:rsidRDefault="00754508" w:rsidP="00047254">
      <w:pPr>
        <w:ind w:left="360" w:firstLine="360"/>
        <w:rPr>
          <w:rFonts w:ascii="Arial" w:hAnsi="Arial" w:cs="Arial"/>
          <w:b/>
          <w:bCs/>
          <w:sz w:val="24"/>
          <w:szCs w:val="24"/>
        </w:rPr>
      </w:pPr>
      <w:r w:rsidRPr="00047254">
        <w:rPr>
          <w:rFonts w:ascii="Arial" w:hAnsi="Arial" w:cs="Arial"/>
          <w:b/>
          <w:bCs/>
          <w:sz w:val="24"/>
          <w:szCs w:val="24"/>
        </w:rPr>
        <w:t>Our Proposed evaluation approaches</w:t>
      </w:r>
    </w:p>
    <w:p w14:paraId="54FC238C" w14:textId="6C8FCEFB" w:rsidR="006657C9" w:rsidRPr="00047254" w:rsidRDefault="00047254" w:rsidP="00047254">
      <w:pPr>
        <w:ind w:left="720" w:hanging="360"/>
        <w:rPr>
          <w:rFonts w:ascii="Arial" w:hAnsi="Arial" w:cs="Arial"/>
        </w:rPr>
      </w:pPr>
      <w:r>
        <w:rPr>
          <w:rFonts w:ascii="Arial" w:hAnsi="Arial" w:cs="Arial"/>
        </w:rPr>
        <w:t>2.8</w:t>
      </w:r>
      <w:r>
        <w:rPr>
          <w:rFonts w:ascii="Arial" w:hAnsi="Arial" w:cs="Arial"/>
        </w:rPr>
        <w:tab/>
      </w:r>
      <w:r w:rsidR="00421DDD" w:rsidRPr="00047254">
        <w:rPr>
          <w:rFonts w:ascii="Arial" w:hAnsi="Arial" w:cs="Arial"/>
        </w:rPr>
        <w:t xml:space="preserve">The </w:t>
      </w:r>
      <w:r w:rsidR="007839BB" w:rsidRPr="00047254">
        <w:rPr>
          <w:rFonts w:ascii="Arial" w:hAnsi="Arial" w:cs="Arial"/>
        </w:rPr>
        <w:t>SS</w:t>
      </w:r>
      <w:r w:rsidR="00421DDD" w:rsidRPr="00047254">
        <w:rPr>
          <w:rFonts w:ascii="Arial" w:hAnsi="Arial" w:cs="Arial"/>
        </w:rPr>
        <w:t xml:space="preserve">LEP </w:t>
      </w:r>
      <w:r w:rsidR="006657C9" w:rsidRPr="00047254">
        <w:rPr>
          <w:rFonts w:ascii="Arial" w:hAnsi="Arial" w:cs="Arial"/>
        </w:rPr>
        <w:t xml:space="preserve">has identified </w:t>
      </w:r>
      <w:r w:rsidR="004E0620" w:rsidRPr="00047254">
        <w:rPr>
          <w:rFonts w:ascii="Arial" w:hAnsi="Arial" w:cs="Arial"/>
        </w:rPr>
        <w:t>that the</w:t>
      </w:r>
      <w:r w:rsidR="00421DDD" w:rsidRPr="00047254">
        <w:rPr>
          <w:rFonts w:ascii="Arial" w:hAnsi="Arial" w:cs="Arial"/>
        </w:rPr>
        <w:t xml:space="preserve"> preferred approach to evaluation will be to identify those projects which offer the greatest </w:t>
      </w:r>
      <w:r w:rsidR="00CB6A07" w:rsidRPr="00047254">
        <w:rPr>
          <w:rFonts w:ascii="Arial" w:hAnsi="Arial" w:cs="Arial"/>
        </w:rPr>
        <w:t>value</w:t>
      </w:r>
      <w:r w:rsidR="00421DDD" w:rsidRPr="00047254">
        <w:rPr>
          <w:rFonts w:ascii="Arial" w:hAnsi="Arial" w:cs="Arial"/>
        </w:rPr>
        <w:t xml:space="preserve"> for others to</w:t>
      </w:r>
      <w:r w:rsidR="004E0620" w:rsidRPr="00047254">
        <w:rPr>
          <w:rFonts w:ascii="Arial" w:hAnsi="Arial" w:cs="Arial"/>
        </w:rPr>
        <w:t xml:space="preserve"> learn</w:t>
      </w:r>
      <w:r w:rsidR="00421DDD" w:rsidRPr="00047254">
        <w:rPr>
          <w:rFonts w:ascii="Arial" w:hAnsi="Arial" w:cs="Arial"/>
        </w:rPr>
        <w:t xml:space="preserve"> from – in other words a focus on projects which </w:t>
      </w:r>
      <w:r w:rsidR="00CB6A07" w:rsidRPr="00047254">
        <w:rPr>
          <w:rFonts w:ascii="Arial" w:hAnsi="Arial" w:cs="Arial"/>
        </w:rPr>
        <w:t>may be innovative</w:t>
      </w:r>
      <w:r w:rsidR="007839BB" w:rsidRPr="00047254">
        <w:rPr>
          <w:rFonts w:ascii="Arial" w:hAnsi="Arial" w:cs="Arial"/>
        </w:rPr>
        <w:t xml:space="preserve">, </w:t>
      </w:r>
      <w:r w:rsidR="004E0620" w:rsidRPr="00047254">
        <w:rPr>
          <w:rFonts w:ascii="Arial" w:hAnsi="Arial" w:cs="Arial"/>
        </w:rPr>
        <w:t>have</w:t>
      </w:r>
      <w:r w:rsidR="00CB6A07" w:rsidRPr="00047254">
        <w:rPr>
          <w:rFonts w:ascii="Arial" w:hAnsi="Arial" w:cs="Arial"/>
        </w:rPr>
        <w:t xml:space="preserve"> alternative approaches to delivery</w:t>
      </w:r>
      <w:r w:rsidR="004E0620" w:rsidRPr="00047254">
        <w:rPr>
          <w:rFonts w:ascii="Arial" w:hAnsi="Arial" w:cs="Arial"/>
        </w:rPr>
        <w:t xml:space="preserve"> or represent a way of working which maximises</w:t>
      </w:r>
      <w:r w:rsidR="007839BB" w:rsidRPr="00047254">
        <w:rPr>
          <w:rFonts w:ascii="Arial" w:hAnsi="Arial" w:cs="Arial"/>
        </w:rPr>
        <w:t xml:space="preserve"> success and</w:t>
      </w:r>
      <w:r w:rsidR="004E0620" w:rsidRPr="00047254">
        <w:rPr>
          <w:rFonts w:ascii="Arial" w:hAnsi="Arial" w:cs="Arial"/>
        </w:rPr>
        <w:t xml:space="preserve"> benefits</w:t>
      </w:r>
      <w:r w:rsidR="00421DDD" w:rsidRPr="00047254">
        <w:rPr>
          <w:rFonts w:ascii="Arial" w:hAnsi="Arial" w:cs="Arial"/>
        </w:rPr>
        <w:t>.</w:t>
      </w:r>
    </w:p>
    <w:p w14:paraId="67EC9A88" w14:textId="3A025B8D" w:rsidR="00421DDD" w:rsidRPr="00047254" w:rsidRDefault="00047254" w:rsidP="00047254">
      <w:pPr>
        <w:ind w:left="720" w:hanging="360"/>
        <w:rPr>
          <w:rFonts w:ascii="Arial" w:hAnsi="Arial" w:cs="Arial"/>
        </w:rPr>
      </w:pPr>
      <w:r>
        <w:rPr>
          <w:rFonts w:ascii="Arial" w:hAnsi="Arial" w:cs="Arial"/>
        </w:rPr>
        <w:t>2.9</w:t>
      </w:r>
      <w:r>
        <w:rPr>
          <w:rFonts w:ascii="Arial" w:hAnsi="Arial" w:cs="Arial"/>
        </w:rPr>
        <w:tab/>
      </w:r>
      <w:r w:rsidR="00421DDD" w:rsidRPr="00047254">
        <w:rPr>
          <w:rFonts w:ascii="Arial" w:hAnsi="Arial" w:cs="Arial"/>
        </w:rPr>
        <w:t>In most cases</w:t>
      </w:r>
      <w:r w:rsidR="005D3905" w:rsidRPr="00047254">
        <w:rPr>
          <w:rFonts w:ascii="Arial" w:hAnsi="Arial" w:cs="Arial"/>
        </w:rPr>
        <w:t>,</w:t>
      </w:r>
      <w:r w:rsidR="00421DDD" w:rsidRPr="00047254">
        <w:rPr>
          <w:rFonts w:ascii="Arial" w:hAnsi="Arial" w:cs="Arial"/>
        </w:rPr>
        <w:t xml:space="preserve"> ‘standard’ transport schemes will not be subject to an </w:t>
      </w:r>
      <w:r w:rsidR="00C63F51" w:rsidRPr="00047254">
        <w:rPr>
          <w:rFonts w:ascii="Arial" w:hAnsi="Arial" w:cs="Arial"/>
        </w:rPr>
        <w:t>in-depth</w:t>
      </w:r>
      <w:r w:rsidR="00421DDD" w:rsidRPr="00047254">
        <w:rPr>
          <w:rFonts w:ascii="Arial" w:hAnsi="Arial" w:cs="Arial"/>
        </w:rPr>
        <w:t xml:space="preserve"> evaluation</w:t>
      </w:r>
      <w:r w:rsidR="007839BB" w:rsidRPr="00047254">
        <w:rPr>
          <w:rFonts w:ascii="Arial" w:hAnsi="Arial" w:cs="Arial"/>
        </w:rPr>
        <w:t xml:space="preserve"> as part of this framework</w:t>
      </w:r>
      <w:r w:rsidR="004E0620" w:rsidRPr="00047254">
        <w:rPr>
          <w:rFonts w:ascii="Arial" w:hAnsi="Arial" w:cs="Arial"/>
        </w:rPr>
        <w:t>. There is a strong body of evidence to demonstrate the quantitative and</w:t>
      </w:r>
      <w:r w:rsidR="00421DDD" w:rsidRPr="00047254">
        <w:rPr>
          <w:rFonts w:ascii="Arial" w:hAnsi="Arial" w:cs="Arial"/>
        </w:rPr>
        <w:t xml:space="preserve"> qualitative impacts of such schemes</w:t>
      </w:r>
      <w:r w:rsidR="006657C9" w:rsidRPr="00047254">
        <w:rPr>
          <w:rFonts w:ascii="Arial" w:hAnsi="Arial" w:cs="Arial"/>
        </w:rPr>
        <w:t xml:space="preserve"> and </w:t>
      </w:r>
      <w:r w:rsidR="004E0620" w:rsidRPr="00047254">
        <w:rPr>
          <w:rFonts w:ascii="Arial" w:hAnsi="Arial" w:cs="Arial"/>
        </w:rPr>
        <w:t xml:space="preserve">they </w:t>
      </w:r>
      <w:r w:rsidR="006657C9" w:rsidRPr="00047254">
        <w:rPr>
          <w:rFonts w:ascii="Arial" w:hAnsi="Arial" w:cs="Arial"/>
        </w:rPr>
        <w:t>have a strong element of evaluation built into the</w:t>
      </w:r>
      <w:r w:rsidR="005D3905" w:rsidRPr="00047254">
        <w:rPr>
          <w:rFonts w:ascii="Arial" w:hAnsi="Arial" w:cs="Arial"/>
        </w:rPr>
        <w:t>ir delivery process</w:t>
      </w:r>
      <w:r w:rsidR="006657C9" w:rsidRPr="00047254">
        <w:rPr>
          <w:rFonts w:ascii="Arial" w:hAnsi="Arial" w:cs="Arial"/>
        </w:rPr>
        <w:t xml:space="preserve"> on a </w:t>
      </w:r>
      <w:r w:rsidR="004E0620" w:rsidRPr="00047254">
        <w:rPr>
          <w:rFonts w:ascii="Arial" w:hAnsi="Arial" w:cs="Arial"/>
        </w:rPr>
        <w:t>‘</w:t>
      </w:r>
      <w:r w:rsidR="006657C9" w:rsidRPr="00047254">
        <w:rPr>
          <w:rFonts w:ascii="Arial" w:hAnsi="Arial" w:cs="Arial"/>
        </w:rPr>
        <w:t>business as usual</w:t>
      </w:r>
      <w:r w:rsidR="004E0620" w:rsidRPr="00047254">
        <w:rPr>
          <w:rFonts w:ascii="Arial" w:hAnsi="Arial" w:cs="Arial"/>
        </w:rPr>
        <w:t>’</w:t>
      </w:r>
      <w:r w:rsidR="006657C9" w:rsidRPr="00047254">
        <w:rPr>
          <w:rFonts w:ascii="Arial" w:hAnsi="Arial" w:cs="Arial"/>
        </w:rPr>
        <w:t xml:space="preserve"> basis</w:t>
      </w:r>
      <w:r w:rsidR="00421DDD" w:rsidRPr="00047254">
        <w:rPr>
          <w:rFonts w:ascii="Arial" w:hAnsi="Arial" w:cs="Arial"/>
        </w:rPr>
        <w:t>.</w:t>
      </w:r>
      <w:r w:rsidR="00A974C2" w:rsidRPr="00047254">
        <w:rPr>
          <w:rFonts w:ascii="Arial" w:hAnsi="Arial" w:cs="Arial"/>
        </w:rPr>
        <w:t xml:space="preserve"> </w:t>
      </w:r>
      <w:r w:rsidR="005D3905" w:rsidRPr="00047254">
        <w:rPr>
          <w:rFonts w:ascii="Arial" w:hAnsi="Arial" w:cs="Arial"/>
        </w:rPr>
        <w:t>P</w:t>
      </w:r>
      <w:r w:rsidR="00A974C2" w:rsidRPr="00047254">
        <w:rPr>
          <w:rFonts w:ascii="Arial" w:hAnsi="Arial" w:cs="Arial"/>
        </w:rPr>
        <w:t xml:space="preserve">rojects at Etruria Valley, Stafford Western Access Route and City East Link Road </w:t>
      </w:r>
      <w:r w:rsidR="005D3905" w:rsidRPr="00047254">
        <w:rPr>
          <w:rFonts w:ascii="Arial" w:hAnsi="Arial" w:cs="Arial"/>
        </w:rPr>
        <w:t>will</w:t>
      </w:r>
      <w:r w:rsidR="00A974C2" w:rsidRPr="00047254">
        <w:rPr>
          <w:rFonts w:ascii="Arial" w:hAnsi="Arial" w:cs="Arial"/>
        </w:rPr>
        <w:t xml:space="preserve"> fall within this category. </w:t>
      </w:r>
    </w:p>
    <w:p w14:paraId="7AF14A17" w14:textId="55126BD0" w:rsidR="00421DDD" w:rsidRPr="00047254" w:rsidRDefault="00047254" w:rsidP="00047254">
      <w:pPr>
        <w:ind w:left="720" w:hanging="436"/>
        <w:rPr>
          <w:rFonts w:ascii="Arial" w:hAnsi="Arial" w:cs="Arial"/>
        </w:rPr>
      </w:pPr>
      <w:r>
        <w:rPr>
          <w:rFonts w:ascii="Arial" w:hAnsi="Arial" w:cs="Arial"/>
          <w:b/>
        </w:rPr>
        <w:t xml:space="preserve">2.10 </w:t>
      </w:r>
      <w:r w:rsidR="00421DDD" w:rsidRPr="00047254">
        <w:rPr>
          <w:rFonts w:ascii="Arial" w:hAnsi="Arial" w:cs="Arial"/>
          <w:b/>
        </w:rPr>
        <w:t>Annex 1</w:t>
      </w:r>
      <w:r w:rsidR="00421DDD" w:rsidRPr="00047254">
        <w:rPr>
          <w:rFonts w:ascii="Arial" w:hAnsi="Arial" w:cs="Arial"/>
        </w:rPr>
        <w:t xml:space="preserve"> to this Monitoring and Evaluation Plan sets out</w:t>
      </w:r>
      <w:r w:rsidR="004E0620" w:rsidRPr="00047254">
        <w:rPr>
          <w:rFonts w:ascii="Arial" w:hAnsi="Arial" w:cs="Arial"/>
        </w:rPr>
        <w:t xml:space="preserve"> the</w:t>
      </w:r>
      <w:r w:rsidR="00421DDD" w:rsidRPr="00047254">
        <w:rPr>
          <w:rFonts w:ascii="Arial" w:hAnsi="Arial" w:cs="Arial"/>
        </w:rPr>
        <w:t xml:space="preserve"> elements of the</w:t>
      </w:r>
      <w:r w:rsidR="004E0620" w:rsidRPr="00047254">
        <w:rPr>
          <w:rFonts w:ascii="Arial" w:hAnsi="Arial" w:cs="Arial"/>
        </w:rPr>
        <w:t xml:space="preserve"> SSLEP Growth Deal </w:t>
      </w:r>
      <w:r w:rsidR="00421DDD" w:rsidRPr="00047254">
        <w:rPr>
          <w:rFonts w:ascii="Arial" w:hAnsi="Arial" w:cs="Arial"/>
        </w:rPr>
        <w:t xml:space="preserve">programme </w:t>
      </w:r>
      <w:r w:rsidR="004E0620" w:rsidRPr="00047254">
        <w:rPr>
          <w:rFonts w:ascii="Arial" w:hAnsi="Arial" w:cs="Arial"/>
        </w:rPr>
        <w:t>to</w:t>
      </w:r>
      <w:r w:rsidR="00421DDD" w:rsidRPr="00047254">
        <w:rPr>
          <w:rFonts w:ascii="Arial" w:hAnsi="Arial" w:cs="Arial"/>
        </w:rPr>
        <w:t xml:space="preserve"> be evaluated</w:t>
      </w:r>
      <w:r w:rsidR="00825B98">
        <w:rPr>
          <w:rFonts w:ascii="Arial" w:hAnsi="Arial" w:cs="Arial"/>
        </w:rPr>
        <w:t xml:space="preserve"> and</w:t>
      </w:r>
      <w:r w:rsidR="001831CB" w:rsidRPr="00047254">
        <w:rPr>
          <w:rFonts w:ascii="Arial" w:hAnsi="Arial" w:cs="Arial"/>
        </w:rPr>
        <w:t xml:space="preserve"> the proposed approach of the evaluation</w:t>
      </w:r>
      <w:r w:rsidR="00825B98">
        <w:rPr>
          <w:rFonts w:ascii="Arial" w:hAnsi="Arial" w:cs="Arial"/>
        </w:rPr>
        <w:t>.</w:t>
      </w:r>
    </w:p>
    <w:p w14:paraId="5C444268" w14:textId="5F49EB49" w:rsidR="003F3B16" w:rsidRPr="00047254" w:rsidRDefault="00047254" w:rsidP="00047254">
      <w:pPr>
        <w:ind w:left="720" w:hanging="436"/>
        <w:rPr>
          <w:rFonts w:ascii="Arial" w:hAnsi="Arial" w:cs="Arial"/>
        </w:rPr>
      </w:pPr>
      <w:r>
        <w:rPr>
          <w:rFonts w:ascii="Arial" w:hAnsi="Arial" w:cs="Arial"/>
        </w:rPr>
        <w:t xml:space="preserve">2.11 </w:t>
      </w:r>
      <w:r w:rsidR="00C63F51" w:rsidRPr="00047254">
        <w:rPr>
          <w:rFonts w:ascii="Arial" w:hAnsi="Arial" w:cs="Arial"/>
        </w:rPr>
        <w:t>We recognise the importance of a structured and well</w:t>
      </w:r>
      <w:r>
        <w:rPr>
          <w:rFonts w:ascii="Arial" w:hAnsi="Arial" w:cs="Arial"/>
        </w:rPr>
        <w:t>-</w:t>
      </w:r>
      <w:r w:rsidR="00C63F51" w:rsidRPr="00047254">
        <w:rPr>
          <w:rFonts w:ascii="Arial" w:hAnsi="Arial" w:cs="Arial"/>
        </w:rPr>
        <w:t>planned approach towards evaluation both to understand the performance and successes or otherwise of our interventions as well as in providing a</w:t>
      </w:r>
      <w:r w:rsidR="003F3B16" w:rsidRPr="00047254">
        <w:rPr>
          <w:rFonts w:ascii="Arial" w:hAnsi="Arial" w:cs="Arial"/>
        </w:rPr>
        <w:t xml:space="preserve"> good evidence base to inform the direction of our future interventions and investments. </w:t>
      </w:r>
    </w:p>
    <w:p w14:paraId="01798095" w14:textId="39EA0526" w:rsidR="003F3B16" w:rsidRPr="00047254" w:rsidRDefault="00047254" w:rsidP="00047254">
      <w:pPr>
        <w:ind w:left="720" w:hanging="578"/>
        <w:rPr>
          <w:rFonts w:ascii="Arial" w:hAnsi="Arial" w:cs="Arial"/>
        </w:rPr>
      </w:pPr>
      <w:r>
        <w:rPr>
          <w:rFonts w:ascii="Arial" w:hAnsi="Arial" w:cs="Arial"/>
        </w:rPr>
        <w:lastRenderedPageBreak/>
        <w:t xml:space="preserve">2.12 </w:t>
      </w:r>
      <w:r>
        <w:rPr>
          <w:rFonts w:ascii="Arial" w:hAnsi="Arial" w:cs="Arial"/>
        </w:rPr>
        <w:tab/>
      </w:r>
      <w:r w:rsidR="003F3B16" w:rsidRPr="00047254">
        <w:rPr>
          <w:rFonts w:ascii="Arial" w:hAnsi="Arial" w:cs="Arial"/>
        </w:rPr>
        <w:t xml:space="preserve">Our evaluation framework will be a key element in shaping our future working and the development of </w:t>
      </w:r>
      <w:r w:rsidR="008128D0">
        <w:rPr>
          <w:rFonts w:ascii="Arial" w:hAnsi="Arial" w:cs="Arial"/>
        </w:rPr>
        <w:t>strategies</w:t>
      </w:r>
      <w:r w:rsidR="003F3B16" w:rsidRPr="00047254">
        <w:rPr>
          <w:rFonts w:ascii="Arial" w:hAnsi="Arial" w:cs="Arial"/>
        </w:rPr>
        <w:t xml:space="preserve"> to ensure the maximum impact for the SSLEP area.</w:t>
      </w:r>
    </w:p>
    <w:p w14:paraId="15B449C5" w14:textId="3A432BD1" w:rsidR="00421DDD" w:rsidRPr="00047254" w:rsidRDefault="00047254" w:rsidP="00047254">
      <w:pPr>
        <w:ind w:left="709" w:hanging="567"/>
        <w:rPr>
          <w:rFonts w:ascii="Arial" w:hAnsi="Arial" w:cs="Arial"/>
        </w:rPr>
      </w:pPr>
      <w:r>
        <w:rPr>
          <w:rFonts w:ascii="Arial" w:hAnsi="Arial" w:cs="Arial"/>
        </w:rPr>
        <w:t>2.13</w:t>
      </w:r>
      <w:r>
        <w:rPr>
          <w:rFonts w:ascii="Arial" w:hAnsi="Arial" w:cs="Arial"/>
        </w:rPr>
        <w:tab/>
      </w:r>
      <w:r w:rsidR="003F3B16" w:rsidRPr="00047254">
        <w:rPr>
          <w:rFonts w:ascii="Arial" w:hAnsi="Arial" w:cs="Arial"/>
        </w:rPr>
        <w:t>We anticipate that project and programme e</w:t>
      </w:r>
      <w:r w:rsidR="00421DDD" w:rsidRPr="00047254">
        <w:rPr>
          <w:rFonts w:ascii="Arial" w:hAnsi="Arial" w:cs="Arial"/>
        </w:rPr>
        <w:t xml:space="preserve">valuation will generally follow </w:t>
      </w:r>
      <w:r w:rsidR="00DB538B" w:rsidRPr="00047254">
        <w:rPr>
          <w:rFonts w:ascii="Arial" w:hAnsi="Arial" w:cs="Arial"/>
        </w:rPr>
        <w:t>four</w:t>
      </w:r>
      <w:r w:rsidR="00421DDD" w:rsidRPr="00047254">
        <w:rPr>
          <w:rFonts w:ascii="Arial" w:hAnsi="Arial" w:cs="Arial"/>
        </w:rPr>
        <w:t xml:space="preserve"> approaches: </w:t>
      </w:r>
    </w:p>
    <w:p w14:paraId="407ED652" w14:textId="77777777" w:rsidR="00421DDD" w:rsidRPr="00047254" w:rsidRDefault="00421DDD" w:rsidP="00047254">
      <w:pPr>
        <w:pStyle w:val="ListParagraph"/>
        <w:numPr>
          <w:ilvl w:val="0"/>
          <w:numId w:val="8"/>
        </w:numPr>
        <w:rPr>
          <w:rFonts w:ascii="Arial" w:hAnsi="Arial" w:cs="Arial"/>
        </w:rPr>
      </w:pPr>
      <w:r w:rsidRPr="00047254">
        <w:rPr>
          <w:rFonts w:ascii="Arial" w:hAnsi="Arial" w:cs="Arial"/>
        </w:rPr>
        <w:t>Output evaluation</w:t>
      </w:r>
    </w:p>
    <w:p w14:paraId="5CF0D3C4" w14:textId="77777777" w:rsidR="00421DDD" w:rsidRPr="00047254" w:rsidRDefault="00421DDD" w:rsidP="00047254">
      <w:pPr>
        <w:pStyle w:val="ListParagraph"/>
        <w:numPr>
          <w:ilvl w:val="0"/>
          <w:numId w:val="8"/>
        </w:numPr>
        <w:rPr>
          <w:rFonts w:ascii="Arial" w:hAnsi="Arial" w:cs="Arial"/>
        </w:rPr>
      </w:pPr>
      <w:r w:rsidRPr="00047254">
        <w:rPr>
          <w:rFonts w:ascii="Arial" w:hAnsi="Arial" w:cs="Arial"/>
        </w:rPr>
        <w:t>Process evaluation</w:t>
      </w:r>
    </w:p>
    <w:p w14:paraId="1C0BE796" w14:textId="77777777" w:rsidR="00DB538B" w:rsidRPr="00047254" w:rsidRDefault="00421DDD" w:rsidP="00047254">
      <w:pPr>
        <w:pStyle w:val="ListParagraph"/>
        <w:numPr>
          <w:ilvl w:val="0"/>
          <w:numId w:val="8"/>
        </w:numPr>
        <w:rPr>
          <w:rFonts w:ascii="Arial" w:hAnsi="Arial" w:cs="Arial"/>
        </w:rPr>
      </w:pPr>
      <w:r w:rsidRPr="00047254">
        <w:rPr>
          <w:rFonts w:ascii="Arial" w:hAnsi="Arial" w:cs="Arial"/>
        </w:rPr>
        <w:t>Impact evaluation</w:t>
      </w:r>
    </w:p>
    <w:p w14:paraId="1DF8E716" w14:textId="55E6432A" w:rsidR="00421DDD" w:rsidRPr="00047254" w:rsidRDefault="00DB538B" w:rsidP="00047254">
      <w:pPr>
        <w:pStyle w:val="ListParagraph"/>
        <w:numPr>
          <w:ilvl w:val="0"/>
          <w:numId w:val="8"/>
        </w:numPr>
        <w:rPr>
          <w:rFonts w:ascii="Arial" w:hAnsi="Arial" w:cs="Arial"/>
        </w:rPr>
      </w:pPr>
      <w:r w:rsidRPr="00047254">
        <w:rPr>
          <w:rFonts w:ascii="Arial" w:hAnsi="Arial" w:cs="Arial"/>
        </w:rPr>
        <w:t>Economic evaluation</w:t>
      </w:r>
      <w:r w:rsidRPr="00047254">
        <w:rPr>
          <w:rFonts w:ascii="Arial" w:hAnsi="Arial" w:cs="Arial"/>
        </w:rPr>
        <w:br/>
      </w:r>
    </w:p>
    <w:p w14:paraId="70C60B82" w14:textId="3CD706E3" w:rsidR="001831CB" w:rsidRDefault="00421DDD" w:rsidP="00047254">
      <w:pPr>
        <w:ind w:left="709"/>
        <w:rPr>
          <w:rFonts w:ascii="Arial" w:hAnsi="Arial" w:cs="Arial"/>
        </w:rPr>
      </w:pPr>
      <w:r w:rsidRPr="00047254">
        <w:rPr>
          <w:rFonts w:ascii="Arial" w:hAnsi="Arial" w:cs="Arial"/>
        </w:rPr>
        <w:t>These are outlined in more detail below</w:t>
      </w:r>
      <w:r w:rsidR="004E0620" w:rsidRPr="00047254">
        <w:rPr>
          <w:rFonts w:ascii="Arial" w:hAnsi="Arial" w:cs="Arial"/>
        </w:rPr>
        <w:t xml:space="preserve"> and i</w:t>
      </w:r>
      <w:r w:rsidRPr="00047254">
        <w:rPr>
          <w:rFonts w:ascii="Arial" w:hAnsi="Arial" w:cs="Arial"/>
        </w:rPr>
        <w:t>t should be noted that more than one</w:t>
      </w:r>
      <w:r w:rsidR="001831CB" w:rsidRPr="00047254">
        <w:rPr>
          <w:rFonts w:ascii="Arial" w:hAnsi="Arial" w:cs="Arial"/>
        </w:rPr>
        <w:t xml:space="preserve"> of these</w:t>
      </w:r>
      <w:r w:rsidRPr="00047254">
        <w:rPr>
          <w:rFonts w:ascii="Arial" w:hAnsi="Arial" w:cs="Arial"/>
        </w:rPr>
        <w:t xml:space="preserve"> approach</w:t>
      </w:r>
      <w:r w:rsidR="001831CB" w:rsidRPr="00047254">
        <w:rPr>
          <w:rFonts w:ascii="Arial" w:hAnsi="Arial" w:cs="Arial"/>
        </w:rPr>
        <w:t>es</w:t>
      </w:r>
      <w:r w:rsidR="00DD4839" w:rsidRPr="00047254">
        <w:rPr>
          <w:rFonts w:ascii="Arial" w:hAnsi="Arial" w:cs="Arial"/>
        </w:rPr>
        <w:t xml:space="preserve"> are likely to</w:t>
      </w:r>
      <w:r w:rsidRPr="00047254">
        <w:rPr>
          <w:rFonts w:ascii="Arial" w:hAnsi="Arial" w:cs="Arial"/>
        </w:rPr>
        <w:t xml:space="preserve"> be applied to a given project.</w:t>
      </w:r>
    </w:p>
    <w:p w14:paraId="202FFD3F" w14:textId="77777777" w:rsidR="001037D9" w:rsidRPr="00047254" w:rsidRDefault="001037D9" w:rsidP="00047254">
      <w:pPr>
        <w:ind w:left="709"/>
        <w:rPr>
          <w:rFonts w:ascii="Arial" w:hAnsi="Arial" w:cs="Arial"/>
        </w:rPr>
      </w:pPr>
    </w:p>
    <w:tbl>
      <w:tblPr>
        <w:tblStyle w:val="GridTable4-Accent2"/>
        <w:tblW w:w="0" w:type="auto"/>
        <w:tblLook w:val="04A0" w:firstRow="1" w:lastRow="0" w:firstColumn="1" w:lastColumn="0" w:noHBand="0" w:noVBand="1"/>
      </w:tblPr>
      <w:tblGrid>
        <w:gridCol w:w="2263"/>
        <w:gridCol w:w="6753"/>
      </w:tblGrid>
      <w:tr w:rsidR="00791C49" w:rsidRPr="00A974C2" w14:paraId="1C1221EF" w14:textId="77777777" w:rsidTr="00C339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E28A6F3" w14:textId="619134A7" w:rsidR="00791C49" w:rsidRPr="00047254" w:rsidRDefault="00791C49" w:rsidP="00047254">
            <w:pPr>
              <w:ind w:left="360"/>
              <w:jc w:val="center"/>
              <w:rPr>
                <w:rFonts w:ascii="Arial" w:hAnsi="Arial" w:cs="Arial"/>
              </w:rPr>
            </w:pPr>
            <w:r w:rsidRPr="00047254">
              <w:rPr>
                <w:rFonts w:ascii="Arial" w:hAnsi="Arial" w:cs="Arial"/>
              </w:rPr>
              <w:t>Approach</w:t>
            </w:r>
          </w:p>
        </w:tc>
        <w:tc>
          <w:tcPr>
            <w:tcW w:w="6753" w:type="dxa"/>
          </w:tcPr>
          <w:p w14:paraId="3899994F" w14:textId="77777777" w:rsidR="00791C49" w:rsidRPr="00047254" w:rsidRDefault="00791C49" w:rsidP="00047254">
            <w:pPr>
              <w:ind w:left="36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47254">
              <w:rPr>
                <w:rFonts w:ascii="Arial" w:hAnsi="Arial" w:cs="Arial"/>
              </w:rPr>
              <w:t>Description</w:t>
            </w:r>
          </w:p>
          <w:p w14:paraId="779B4E27" w14:textId="77777777" w:rsidR="00791C49" w:rsidRPr="00A974C2" w:rsidRDefault="00791C49" w:rsidP="0004725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791C49" w:rsidRPr="00D32CC3" w14:paraId="76350C34" w14:textId="77777777" w:rsidTr="00C33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EAC99B9" w14:textId="77777777" w:rsidR="00791C49" w:rsidRPr="00047254" w:rsidRDefault="00791C49" w:rsidP="00047254">
            <w:pPr>
              <w:ind w:left="360"/>
              <w:rPr>
                <w:rFonts w:ascii="Arial" w:hAnsi="Arial" w:cs="Arial"/>
                <w:sz w:val="20"/>
                <w:szCs w:val="20"/>
              </w:rPr>
            </w:pPr>
            <w:r w:rsidRPr="00047254">
              <w:rPr>
                <w:rFonts w:ascii="Arial" w:hAnsi="Arial" w:cs="Arial"/>
                <w:sz w:val="20"/>
                <w:szCs w:val="20"/>
              </w:rPr>
              <w:t>Output</w:t>
            </w:r>
          </w:p>
        </w:tc>
        <w:tc>
          <w:tcPr>
            <w:tcW w:w="6753" w:type="dxa"/>
          </w:tcPr>
          <w:p w14:paraId="75BCF7C6" w14:textId="136055EF" w:rsidR="004E0620" w:rsidRPr="00047254" w:rsidRDefault="004E0620" w:rsidP="00047254">
            <w:pPr>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47254">
              <w:rPr>
                <w:rFonts w:ascii="Arial" w:hAnsi="Arial" w:cs="Arial"/>
                <w:sz w:val="18"/>
                <w:szCs w:val="18"/>
              </w:rPr>
              <w:t>A quantitative measure of whether the project has achieved it</w:t>
            </w:r>
            <w:r w:rsidR="005C661B">
              <w:rPr>
                <w:rFonts w:ascii="Arial" w:hAnsi="Arial" w:cs="Arial"/>
                <w:sz w:val="18"/>
                <w:szCs w:val="18"/>
              </w:rPr>
              <w:t>s</w:t>
            </w:r>
            <w:r w:rsidRPr="00047254">
              <w:rPr>
                <w:rFonts w:ascii="Arial" w:hAnsi="Arial" w:cs="Arial"/>
                <w:sz w:val="18"/>
                <w:szCs w:val="18"/>
              </w:rPr>
              <w:t xml:space="preserve"> targeted numerical outputs. This could include</w:t>
            </w:r>
            <w:r w:rsidR="00791C49" w:rsidRPr="00047254">
              <w:rPr>
                <w:rFonts w:ascii="Arial" w:hAnsi="Arial" w:cs="Arial"/>
                <w:sz w:val="18"/>
                <w:szCs w:val="18"/>
              </w:rPr>
              <w:t xml:space="preserve"> jobs created, floorspace developed, homes constructed. </w:t>
            </w:r>
          </w:p>
          <w:p w14:paraId="0DD9C3B1" w14:textId="77777777" w:rsidR="00A77492" w:rsidRPr="00AC02A9" w:rsidRDefault="00A77492" w:rsidP="0004725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791C49" w:rsidRPr="00D32CC3" w14:paraId="79BD0A7D" w14:textId="77777777" w:rsidTr="00C339B3">
        <w:tc>
          <w:tcPr>
            <w:cnfStyle w:val="001000000000" w:firstRow="0" w:lastRow="0" w:firstColumn="1" w:lastColumn="0" w:oddVBand="0" w:evenVBand="0" w:oddHBand="0" w:evenHBand="0" w:firstRowFirstColumn="0" w:firstRowLastColumn="0" w:lastRowFirstColumn="0" w:lastRowLastColumn="0"/>
            <w:tcW w:w="2263" w:type="dxa"/>
          </w:tcPr>
          <w:p w14:paraId="6C221BDA" w14:textId="77777777" w:rsidR="00791C49" w:rsidRPr="00047254" w:rsidRDefault="00791C49" w:rsidP="00047254">
            <w:pPr>
              <w:ind w:left="360"/>
              <w:rPr>
                <w:rFonts w:ascii="Arial" w:hAnsi="Arial" w:cs="Arial"/>
                <w:sz w:val="20"/>
                <w:szCs w:val="20"/>
              </w:rPr>
            </w:pPr>
            <w:r w:rsidRPr="00047254">
              <w:rPr>
                <w:rFonts w:ascii="Arial" w:hAnsi="Arial" w:cs="Arial"/>
                <w:sz w:val="20"/>
                <w:szCs w:val="20"/>
              </w:rPr>
              <w:t>Process</w:t>
            </w:r>
          </w:p>
        </w:tc>
        <w:tc>
          <w:tcPr>
            <w:tcW w:w="6753" w:type="dxa"/>
          </w:tcPr>
          <w:p w14:paraId="739368DD" w14:textId="548A3058" w:rsidR="00791C49" w:rsidRPr="00047254" w:rsidRDefault="00791C49" w:rsidP="00047254">
            <w:pPr>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47254">
              <w:rPr>
                <w:rFonts w:ascii="Arial" w:hAnsi="Arial" w:cs="Arial"/>
                <w:sz w:val="18"/>
                <w:szCs w:val="18"/>
              </w:rPr>
              <w:t xml:space="preserve">This is a qualitative evaluation and will consider </w:t>
            </w:r>
            <w:r w:rsidR="00A77492" w:rsidRPr="00047254">
              <w:rPr>
                <w:rFonts w:ascii="Arial" w:hAnsi="Arial" w:cs="Arial"/>
                <w:sz w:val="18"/>
                <w:szCs w:val="18"/>
              </w:rPr>
              <w:t xml:space="preserve">how </w:t>
            </w:r>
            <w:r w:rsidRPr="00047254">
              <w:rPr>
                <w:rFonts w:ascii="Arial" w:hAnsi="Arial" w:cs="Arial"/>
                <w:sz w:val="18"/>
                <w:szCs w:val="18"/>
              </w:rPr>
              <w:t>projects were delivered</w:t>
            </w:r>
            <w:r w:rsidR="00A77492" w:rsidRPr="00047254">
              <w:rPr>
                <w:rFonts w:ascii="Arial" w:hAnsi="Arial" w:cs="Arial"/>
                <w:sz w:val="18"/>
                <w:szCs w:val="18"/>
              </w:rPr>
              <w:t xml:space="preserve"> </w:t>
            </w:r>
            <w:r w:rsidRPr="00047254">
              <w:rPr>
                <w:rFonts w:ascii="Arial" w:hAnsi="Arial" w:cs="Arial"/>
                <w:sz w:val="18"/>
                <w:szCs w:val="18"/>
              </w:rPr>
              <w:t>in terms of</w:t>
            </w:r>
            <w:r w:rsidR="00A77492" w:rsidRPr="00047254">
              <w:rPr>
                <w:rFonts w:ascii="Arial" w:hAnsi="Arial" w:cs="Arial"/>
                <w:sz w:val="18"/>
                <w:szCs w:val="18"/>
              </w:rPr>
              <w:t xml:space="preserve"> their</w:t>
            </w:r>
            <w:r w:rsidRPr="00047254">
              <w:rPr>
                <w:rFonts w:ascii="Arial" w:hAnsi="Arial" w:cs="Arial"/>
                <w:sz w:val="18"/>
                <w:szCs w:val="18"/>
              </w:rPr>
              <w:t xml:space="preserve"> process</w:t>
            </w:r>
            <w:r w:rsidR="00A77492" w:rsidRPr="00047254">
              <w:rPr>
                <w:rFonts w:ascii="Arial" w:hAnsi="Arial" w:cs="Arial"/>
                <w:sz w:val="18"/>
                <w:szCs w:val="18"/>
              </w:rPr>
              <w:t>es</w:t>
            </w:r>
            <w:r w:rsidRPr="00047254">
              <w:rPr>
                <w:rFonts w:ascii="Arial" w:hAnsi="Arial" w:cs="Arial"/>
                <w:sz w:val="18"/>
                <w:szCs w:val="18"/>
              </w:rPr>
              <w:t xml:space="preserve">. For instance in the case of a </w:t>
            </w:r>
            <w:r w:rsidR="00230806" w:rsidRPr="00047254">
              <w:rPr>
                <w:rFonts w:ascii="Arial" w:hAnsi="Arial" w:cs="Arial"/>
                <w:sz w:val="18"/>
                <w:szCs w:val="18"/>
              </w:rPr>
              <w:t>‘programme’ approach</w:t>
            </w:r>
            <w:r w:rsidRPr="00047254">
              <w:rPr>
                <w:rFonts w:ascii="Arial" w:hAnsi="Arial" w:cs="Arial"/>
                <w:sz w:val="18"/>
                <w:szCs w:val="18"/>
              </w:rPr>
              <w:t xml:space="preserve">, </w:t>
            </w:r>
            <w:r w:rsidR="00591E49" w:rsidRPr="00047254">
              <w:rPr>
                <w:rFonts w:ascii="Arial" w:hAnsi="Arial" w:cs="Arial"/>
                <w:sz w:val="18"/>
                <w:szCs w:val="18"/>
              </w:rPr>
              <w:t xml:space="preserve">did the programme </w:t>
            </w:r>
            <w:r w:rsidRPr="00047254">
              <w:rPr>
                <w:rFonts w:ascii="Arial" w:hAnsi="Arial" w:cs="Arial"/>
                <w:sz w:val="18"/>
                <w:szCs w:val="18"/>
              </w:rPr>
              <w:t xml:space="preserve">effectively and efficiently operate or were there issues that could be captured and used to improve future </w:t>
            </w:r>
            <w:r w:rsidR="00D91BC3" w:rsidRPr="00047254">
              <w:rPr>
                <w:rFonts w:ascii="Arial" w:hAnsi="Arial" w:cs="Arial"/>
                <w:sz w:val="18"/>
                <w:szCs w:val="18"/>
              </w:rPr>
              <w:t xml:space="preserve">processes and </w:t>
            </w:r>
            <w:r w:rsidRPr="00047254">
              <w:rPr>
                <w:rFonts w:ascii="Arial" w:hAnsi="Arial" w:cs="Arial"/>
                <w:sz w:val="18"/>
                <w:szCs w:val="18"/>
              </w:rPr>
              <w:t>arrangements?</w:t>
            </w:r>
          </w:p>
          <w:p w14:paraId="792ACB10" w14:textId="77777777" w:rsidR="00A77492" w:rsidRPr="00AC02A9" w:rsidRDefault="00A77492" w:rsidP="000472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791C49" w:rsidRPr="00D32CC3" w14:paraId="44C8493C" w14:textId="77777777" w:rsidTr="00C33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44849FB" w14:textId="77777777" w:rsidR="00791C49" w:rsidRPr="00047254" w:rsidRDefault="00791C49" w:rsidP="00047254">
            <w:pPr>
              <w:ind w:left="360"/>
              <w:rPr>
                <w:rFonts w:ascii="Arial" w:hAnsi="Arial" w:cs="Arial"/>
                <w:sz w:val="20"/>
                <w:szCs w:val="20"/>
              </w:rPr>
            </w:pPr>
            <w:r w:rsidRPr="00047254">
              <w:rPr>
                <w:rFonts w:ascii="Arial" w:hAnsi="Arial" w:cs="Arial"/>
                <w:sz w:val="20"/>
                <w:szCs w:val="20"/>
              </w:rPr>
              <w:t>Impact</w:t>
            </w:r>
          </w:p>
        </w:tc>
        <w:tc>
          <w:tcPr>
            <w:tcW w:w="6753" w:type="dxa"/>
          </w:tcPr>
          <w:p w14:paraId="444B03AA" w14:textId="77777777" w:rsidR="00024D9E" w:rsidRPr="00047254" w:rsidRDefault="00791C49" w:rsidP="00047254">
            <w:pPr>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47254">
              <w:rPr>
                <w:rFonts w:ascii="Arial" w:hAnsi="Arial" w:cs="Arial"/>
                <w:sz w:val="18"/>
                <w:szCs w:val="18"/>
              </w:rPr>
              <w:t>This is</w:t>
            </w:r>
            <w:r w:rsidR="00024D9E" w:rsidRPr="00047254">
              <w:rPr>
                <w:rFonts w:ascii="Arial" w:hAnsi="Arial" w:cs="Arial"/>
                <w:sz w:val="18"/>
                <w:szCs w:val="18"/>
              </w:rPr>
              <w:t xml:space="preserve"> likely to involve both</w:t>
            </w:r>
            <w:r w:rsidRPr="00047254">
              <w:rPr>
                <w:rFonts w:ascii="Arial" w:hAnsi="Arial" w:cs="Arial"/>
                <w:sz w:val="18"/>
                <w:szCs w:val="18"/>
              </w:rPr>
              <w:t xml:space="preserve"> quantitative and qualitative evaluation and will look at the overall difference a project has made to the local economy. </w:t>
            </w:r>
          </w:p>
          <w:p w14:paraId="0CD876AA" w14:textId="77777777" w:rsidR="00024D9E" w:rsidRPr="00AC02A9" w:rsidRDefault="00024D9E" w:rsidP="0004725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74D0C6E" w14:textId="7389FBC7" w:rsidR="00791C49" w:rsidRPr="00047254" w:rsidRDefault="00D91BC3" w:rsidP="00047254">
            <w:pPr>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47254">
              <w:rPr>
                <w:rFonts w:ascii="Arial" w:hAnsi="Arial" w:cs="Arial"/>
                <w:sz w:val="18"/>
                <w:szCs w:val="18"/>
              </w:rPr>
              <w:t xml:space="preserve">Impact </w:t>
            </w:r>
            <w:r w:rsidR="00791C49" w:rsidRPr="00047254">
              <w:rPr>
                <w:rFonts w:ascii="Arial" w:hAnsi="Arial" w:cs="Arial"/>
                <w:sz w:val="18"/>
                <w:szCs w:val="18"/>
              </w:rPr>
              <w:t>evaluations will be more in depth and generally be reserved for those projects which are novel or offer the greatest opportunity for others to gain learning from.</w:t>
            </w:r>
          </w:p>
          <w:p w14:paraId="11E2CC67" w14:textId="77777777" w:rsidR="00A77492" w:rsidRPr="00AC02A9" w:rsidRDefault="00A77492" w:rsidP="0004725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DB538B" w:rsidRPr="00D32CC3" w14:paraId="46923925" w14:textId="77777777" w:rsidTr="00C339B3">
        <w:tc>
          <w:tcPr>
            <w:cnfStyle w:val="001000000000" w:firstRow="0" w:lastRow="0" w:firstColumn="1" w:lastColumn="0" w:oddVBand="0" w:evenVBand="0" w:oddHBand="0" w:evenHBand="0" w:firstRowFirstColumn="0" w:firstRowLastColumn="0" w:lastRowFirstColumn="0" w:lastRowLastColumn="0"/>
            <w:tcW w:w="2263" w:type="dxa"/>
          </w:tcPr>
          <w:p w14:paraId="6693DDC1" w14:textId="349011F6" w:rsidR="00DB538B" w:rsidRPr="00047254" w:rsidRDefault="00DB538B" w:rsidP="00047254">
            <w:pPr>
              <w:ind w:left="360"/>
              <w:rPr>
                <w:rFonts w:ascii="Arial" w:hAnsi="Arial" w:cs="Arial"/>
                <w:sz w:val="20"/>
                <w:szCs w:val="20"/>
              </w:rPr>
            </w:pPr>
            <w:r w:rsidRPr="00047254">
              <w:rPr>
                <w:rFonts w:ascii="Arial" w:hAnsi="Arial" w:cs="Arial"/>
                <w:sz w:val="20"/>
                <w:szCs w:val="20"/>
              </w:rPr>
              <w:t xml:space="preserve">Economic </w:t>
            </w:r>
          </w:p>
        </w:tc>
        <w:tc>
          <w:tcPr>
            <w:tcW w:w="6753" w:type="dxa"/>
          </w:tcPr>
          <w:p w14:paraId="0DDA8524" w14:textId="77777777" w:rsidR="00DB538B" w:rsidRPr="00047254" w:rsidRDefault="00DB538B" w:rsidP="00047254">
            <w:pPr>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47254">
              <w:rPr>
                <w:rFonts w:ascii="Arial" w:hAnsi="Arial" w:cs="Arial"/>
                <w:sz w:val="18"/>
                <w:szCs w:val="18"/>
              </w:rPr>
              <w:t>This is a quantitative measurement to calculate how the economic costs associated with a project and an economic translation of the impact or benefits of a project can be represented as a return on investment.</w:t>
            </w:r>
          </w:p>
          <w:p w14:paraId="10D17535" w14:textId="77777777" w:rsidR="00DB538B" w:rsidRPr="00AC02A9" w:rsidRDefault="00DB538B" w:rsidP="0004725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099A789" w14:textId="2D56A43B" w:rsidR="00DB538B" w:rsidRPr="00047254" w:rsidRDefault="00DB538B" w:rsidP="00047254">
            <w:pPr>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47254">
              <w:rPr>
                <w:rFonts w:ascii="Arial" w:hAnsi="Arial" w:cs="Arial"/>
                <w:sz w:val="18"/>
                <w:szCs w:val="18"/>
              </w:rPr>
              <w:t>Different types of economic evaluation will apply to different projects such as using a cost per unit of outcome, a wider cost benefit analysis exercise (as is often associated with large transport schemes) and as a net gain in terms of a quantifiable financial or other metric.</w:t>
            </w:r>
          </w:p>
          <w:p w14:paraId="51AF2102" w14:textId="05F61BD7" w:rsidR="00DB538B" w:rsidRPr="00AC02A9" w:rsidRDefault="00DB538B" w:rsidP="00047254">
            <w:pPr>
              <w:ind w:left="45"/>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14:paraId="52AE5704" w14:textId="77777777" w:rsidR="00791C49" w:rsidRPr="00A974C2" w:rsidRDefault="00791C49" w:rsidP="00047254">
      <w:pPr>
        <w:rPr>
          <w:rFonts w:ascii="Arial" w:hAnsi="Arial" w:cs="Arial"/>
        </w:rPr>
      </w:pPr>
    </w:p>
    <w:p w14:paraId="054D1497" w14:textId="2DF53037" w:rsidR="00591E49" w:rsidRPr="00047254" w:rsidRDefault="00D1741F" w:rsidP="00D1741F">
      <w:pPr>
        <w:ind w:left="426" w:hanging="502"/>
        <w:rPr>
          <w:rFonts w:ascii="Arial" w:hAnsi="Arial" w:cs="Arial"/>
        </w:rPr>
      </w:pPr>
      <w:r>
        <w:rPr>
          <w:rFonts w:ascii="Arial" w:hAnsi="Arial" w:cs="Arial"/>
        </w:rPr>
        <w:t>2.14</w:t>
      </w:r>
      <w:r w:rsidR="0059408A">
        <w:rPr>
          <w:rFonts w:ascii="Arial" w:hAnsi="Arial" w:cs="Arial"/>
        </w:rPr>
        <w:t xml:space="preserve"> </w:t>
      </w:r>
      <w:r w:rsidR="00CC25B3" w:rsidRPr="00047254">
        <w:rPr>
          <w:rFonts w:ascii="Arial" w:hAnsi="Arial" w:cs="Arial"/>
        </w:rPr>
        <w:t xml:space="preserve">Our Local Growth Fund projects are key elements in delivering the objectives of the LEP’s Strategic Economic Plan including the ambition to grow our economy </w:t>
      </w:r>
      <w:r w:rsidR="00591E49" w:rsidRPr="00047254">
        <w:rPr>
          <w:rFonts w:ascii="Arial" w:hAnsi="Arial" w:cs="Arial"/>
        </w:rPr>
        <w:t>by 50% and increase the number of jobs in Stoke-on-Trent and Staffordshire by 50,000 jobs in a 10</w:t>
      </w:r>
      <w:r w:rsidR="0059408A">
        <w:rPr>
          <w:rFonts w:ascii="Arial" w:hAnsi="Arial" w:cs="Arial"/>
        </w:rPr>
        <w:t>-</w:t>
      </w:r>
      <w:r w:rsidR="00591E49" w:rsidRPr="00047254">
        <w:rPr>
          <w:rFonts w:ascii="Arial" w:hAnsi="Arial" w:cs="Arial"/>
        </w:rPr>
        <w:t>year period</w:t>
      </w:r>
      <w:r w:rsidR="00CC25B3" w:rsidRPr="00047254">
        <w:rPr>
          <w:rFonts w:ascii="Arial" w:hAnsi="Arial" w:cs="Arial"/>
        </w:rPr>
        <w:t>.</w:t>
      </w:r>
    </w:p>
    <w:p w14:paraId="791B9A0D" w14:textId="7223C74A" w:rsidR="00421DDD" w:rsidRPr="00047254" w:rsidRDefault="00D1741F" w:rsidP="00D1741F">
      <w:pPr>
        <w:ind w:left="360" w:hanging="502"/>
        <w:rPr>
          <w:rFonts w:ascii="Arial" w:hAnsi="Arial" w:cs="Arial"/>
        </w:rPr>
      </w:pPr>
      <w:r>
        <w:rPr>
          <w:rFonts w:ascii="Arial" w:hAnsi="Arial" w:cs="Arial"/>
        </w:rPr>
        <w:t>2.15</w:t>
      </w:r>
      <w:r>
        <w:rPr>
          <w:rFonts w:ascii="Arial" w:hAnsi="Arial" w:cs="Arial"/>
        </w:rPr>
        <w:tab/>
      </w:r>
      <w:r w:rsidR="00CC25B3" w:rsidRPr="00047254">
        <w:rPr>
          <w:rFonts w:ascii="Arial" w:hAnsi="Arial" w:cs="Arial"/>
        </w:rPr>
        <w:t xml:space="preserve">As such it is essential that all projects are evaluated and monitored at least against their stated business plan delivery targets to understand the contribution they have made and the extent to which LGF investment has helped accelerate delivery of </w:t>
      </w:r>
      <w:r w:rsidR="00591E49" w:rsidRPr="00047254">
        <w:rPr>
          <w:rFonts w:ascii="Arial" w:hAnsi="Arial" w:cs="Arial"/>
        </w:rPr>
        <w:t>1,000</w:t>
      </w:r>
      <w:r w:rsidR="00CC25B3" w:rsidRPr="00047254">
        <w:rPr>
          <w:rFonts w:ascii="Arial" w:hAnsi="Arial" w:cs="Arial"/>
        </w:rPr>
        <w:t xml:space="preserve"> additional ho</w:t>
      </w:r>
      <w:r w:rsidR="00591E49" w:rsidRPr="00047254">
        <w:rPr>
          <w:rFonts w:ascii="Arial" w:hAnsi="Arial" w:cs="Arial"/>
        </w:rPr>
        <w:t>mes</w:t>
      </w:r>
      <w:r w:rsidR="00CC25B3" w:rsidRPr="00047254">
        <w:rPr>
          <w:rFonts w:ascii="Arial" w:hAnsi="Arial" w:cs="Arial"/>
        </w:rPr>
        <w:t xml:space="preserve"> and </w:t>
      </w:r>
      <w:r w:rsidR="00591E49" w:rsidRPr="00047254">
        <w:rPr>
          <w:rFonts w:ascii="Arial" w:hAnsi="Arial" w:cs="Arial"/>
        </w:rPr>
        <w:t>5,000</w:t>
      </w:r>
      <w:r w:rsidR="00CC25B3" w:rsidRPr="00047254">
        <w:rPr>
          <w:rFonts w:ascii="Arial" w:hAnsi="Arial" w:cs="Arial"/>
        </w:rPr>
        <w:t xml:space="preserve"> additional jobs by 20</w:t>
      </w:r>
      <w:r w:rsidR="00591E49" w:rsidRPr="00047254">
        <w:rPr>
          <w:rFonts w:ascii="Arial" w:hAnsi="Arial" w:cs="Arial"/>
        </w:rPr>
        <w:t>21.</w:t>
      </w:r>
    </w:p>
    <w:p w14:paraId="32F1E394" w14:textId="633A722F" w:rsidR="00C339B3" w:rsidRDefault="00D1741F" w:rsidP="00D1741F">
      <w:pPr>
        <w:ind w:left="360" w:hanging="502"/>
        <w:rPr>
          <w:rFonts w:ascii="Arial" w:hAnsi="Arial" w:cs="Arial"/>
        </w:rPr>
      </w:pPr>
      <w:r>
        <w:rPr>
          <w:rFonts w:ascii="Arial" w:hAnsi="Arial" w:cs="Arial"/>
        </w:rPr>
        <w:t xml:space="preserve">2.16 </w:t>
      </w:r>
      <w:r w:rsidR="00591E49" w:rsidRPr="00047254">
        <w:rPr>
          <w:rFonts w:ascii="Arial" w:hAnsi="Arial" w:cs="Arial"/>
        </w:rPr>
        <w:t xml:space="preserve">The greatest value is likely to be gained from a flexible approach to </w:t>
      </w:r>
      <w:r w:rsidR="00D91BC3" w:rsidRPr="00047254">
        <w:rPr>
          <w:rFonts w:ascii="Arial" w:hAnsi="Arial" w:cs="Arial"/>
        </w:rPr>
        <w:t xml:space="preserve">evaluation, targeting where the greatest learning benefits </w:t>
      </w:r>
      <w:r w:rsidR="00591E49" w:rsidRPr="00047254">
        <w:rPr>
          <w:rFonts w:ascii="Arial" w:hAnsi="Arial" w:cs="Arial"/>
        </w:rPr>
        <w:t xml:space="preserve">can be gained. </w:t>
      </w:r>
    </w:p>
    <w:p w14:paraId="543B526F" w14:textId="77777777" w:rsidR="00D1741F" w:rsidRPr="00047254" w:rsidRDefault="00D1741F" w:rsidP="00D1741F">
      <w:pPr>
        <w:ind w:left="360" w:hanging="502"/>
        <w:rPr>
          <w:rFonts w:ascii="Arial" w:hAnsi="Arial" w:cs="Arial"/>
        </w:rPr>
      </w:pPr>
    </w:p>
    <w:p w14:paraId="5685F241" w14:textId="4D122116" w:rsidR="00742B24" w:rsidRPr="00047254" w:rsidRDefault="00742B24" w:rsidP="00047254">
      <w:pPr>
        <w:pStyle w:val="ListParagraph"/>
        <w:numPr>
          <w:ilvl w:val="0"/>
          <w:numId w:val="5"/>
        </w:numPr>
        <w:rPr>
          <w:rFonts w:ascii="Arial" w:hAnsi="Arial" w:cs="Arial"/>
          <w:b/>
          <w:bCs/>
          <w:sz w:val="24"/>
          <w:szCs w:val="24"/>
        </w:rPr>
      </w:pPr>
      <w:r w:rsidRPr="00047254">
        <w:rPr>
          <w:rFonts w:ascii="Arial" w:hAnsi="Arial" w:cs="Arial"/>
          <w:b/>
          <w:bCs/>
          <w:sz w:val="24"/>
          <w:szCs w:val="24"/>
        </w:rPr>
        <w:lastRenderedPageBreak/>
        <w:t>Key evaluation principles</w:t>
      </w:r>
    </w:p>
    <w:p w14:paraId="71C1A341" w14:textId="26DA8C41" w:rsidR="00742B24" w:rsidRPr="00D1741F" w:rsidRDefault="00D1741F" w:rsidP="00D1741F">
      <w:pPr>
        <w:ind w:left="720" w:hanging="360"/>
        <w:rPr>
          <w:rFonts w:ascii="Arial" w:hAnsi="Arial" w:cs="Arial"/>
        </w:rPr>
      </w:pPr>
      <w:r>
        <w:rPr>
          <w:rFonts w:ascii="Arial" w:hAnsi="Arial" w:cs="Arial"/>
        </w:rPr>
        <w:t>3.1</w:t>
      </w:r>
      <w:r>
        <w:rPr>
          <w:rFonts w:ascii="Arial" w:hAnsi="Arial" w:cs="Arial"/>
        </w:rPr>
        <w:tab/>
      </w:r>
      <w:r w:rsidR="00742B24" w:rsidRPr="00D1741F">
        <w:rPr>
          <w:rFonts w:ascii="Arial" w:hAnsi="Arial" w:cs="Arial"/>
        </w:rPr>
        <w:t xml:space="preserve">A flexible approach to evaluation is likely to offer the greatest benefit for the learning and direction of future project and programme development. </w:t>
      </w:r>
      <w:r w:rsidR="00564E3B" w:rsidRPr="00D1741F">
        <w:rPr>
          <w:rFonts w:ascii="Arial" w:hAnsi="Arial" w:cs="Arial"/>
        </w:rPr>
        <w:t>SSLEP will work with BEIS and beneficiary projects to determine the best approach.</w:t>
      </w:r>
    </w:p>
    <w:p w14:paraId="0B5BB4C4" w14:textId="3FE04A36" w:rsidR="00742B24" w:rsidRPr="00D1741F" w:rsidRDefault="00D1741F" w:rsidP="00924BF4">
      <w:pPr>
        <w:ind w:left="720" w:hanging="360"/>
        <w:rPr>
          <w:rFonts w:ascii="Arial" w:hAnsi="Arial" w:cs="Arial"/>
        </w:rPr>
      </w:pPr>
      <w:r w:rsidRPr="00D1741F">
        <w:rPr>
          <w:rFonts w:ascii="Arial" w:hAnsi="Arial" w:cs="Arial"/>
        </w:rPr>
        <w:t>3.2</w:t>
      </w:r>
      <w:r w:rsidRPr="00D1741F">
        <w:rPr>
          <w:rFonts w:ascii="Arial" w:hAnsi="Arial" w:cs="Arial"/>
        </w:rPr>
        <w:tab/>
      </w:r>
      <w:r w:rsidR="00742B24" w:rsidRPr="00D1741F">
        <w:rPr>
          <w:rFonts w:ascii="Arial" w:hAnsi="Arial" w:cs="Arial"/>
        </w:rPr>
        <w:t>The key principles of our proposed evaluation framework are set out in the table below.</w:t>
      </w:r>
      <w:r w:rsidR="00C30D6B" w:rsidRPr="00D1741F">
        <w:rPr>
          <w:rFonts w:ascii="Arial" w:hAnsi="Arial" w:cs="Arial"/>
        </w:rPr>
        <w:t xml:space="preserve"> As with all similar frameworks it will be important to ensure that this is periodically reviewed to ensure that it remains fit for purpose. This will be especially relevant mindful of future schemes which could emerge in accordance with the LIS. </w:t>
      </w:r>
    </w:p>
    <w:tbl>
      <w:tblPr>
        <w:tblStyle w:val="GridTable5Dark-Accent2"/>
        <w:tblW w:w="9209" w:type="dxa"/>
        <w:tblLayout w:type="fixed"/>
        <w:tblLook w:val="04A0" w:firstRow="1" w:lastRow="0" w:firstColumn="1" w:lastColumn="0" w:noHBand="0" w:noVBand="1"/>
      </w:tblPr>
      <w:tblGrid>
        <w:gridCol w:w="1696"/>
        <w:gridCol w:w="2835"/>
        <w:gridCol w:w="2268"/>
        <w:gridCol w:w="2410"/>
      </w:tblGrid>
      <w:tr w:rsidR="00C339B3" w:rsidRPr="00A974C2" w14:paraId="6F403A09" w14:textId="77777777" w:rsidTr="007C64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DFFA278" w14:textId="1A9DD61E" w:rsidR="00C339B3" w:rsidRPr="00D1741F" w:rsidRDefault="00C339B3" w:rsidP="00D1741F">
            <w:pPr>
              <w:ind w:left="360"/>
              <w:jc w:val="center"/>
              <w:rPr>
                <w:rFonts w:ascii="Arial" w:hAnsi="Arial" w:cs="Arial"/>
              </w:rPr>
            </w:pPr>
            <w:r w:rsidRPr="00D1741F">
              <w:rPr>
                <w:rFonts w:ascii="Arial" w:hAnsi="Arial" w:cs="Arial"/>
              </w:rPr>
              <w:t>Approach</w:t>
            </w:r>
          </w:p>
        </w:tc>
        <w:tc>
          <w:tcPr>
            <w:tcW w:w="2835" w:type="dxa"/>
          </w:tcPr>
          <w:p w14:paraId="6308BABF" w14:textId="77777777" w:rsidR="00C339B3" w:rsidRPr="00D1741F" w:rsidRDefault="00C339B3" w:rsidP="00D1741F">
            <w:pPr>
              <w:ind w:left="36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741F">
              <w:rPr>
                <w:rFonts w:ascii="Arial" w:hAnsi="Arial" w:cs="Arial"/>
              </w:rPr>
              <w:t>Rationale</w:t>
            </w:r>
          </w:p>
          <w:p w14:paraId="60F11377" w14:textId="77777777" w:rsidR="00C339B3" w:rsidRPr="00A974C2" w:rsidRDefault="00C339B3" w:rsidP="00D1741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268" w:type="dxa"/>
          </w:tcPr>
          <w:p w14:paraId="1B84B385" w14:textId="77777777" w:rsidR="00C339B3" w:rsidRPr="00D1741F" w:rsidRDefault="00C339B3" w:rsidP="00D1741F">
            <w:pPr>
              <w:ind w:left="36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741F">
              <w:rPr>
                <w:rFonts w:ascii="Arial" w:hAnsi="Arial" w:cs="Arial"/>
              </w:rPr>
              <w:t>Method of Evaluation</w:t>
            </w:r>
          </w:p>
        </w:tc>
        <w:tc>
          <w:tcPr>
            <w:tcW w:w="2410" w:type="dxa"/>
          </w:tcPr>
          <w:p w14:paraId="4CE7AF63" w14:textId="77777777" w:rsidR="00C339B3" w:rsidRPr="00D1741F" w:rsidRDefault="00C339B3" w:rsidP="00D1741F">
            <w:pPr>
              <w:ind w:left="36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741F">
              <w:rPr>
                <w:rFonts w:ascii="Arial" w:hAnsi="Arial" w:cs="Arial"/>
              </w:rPr>
              <w:t>Dissemination of Information</w:t>
            </w:r>
          </w:p>
        </w:tc>
      </w:tr>
      <w:tr w:rsidR="00C339B3" w:rsidRPr="00D32CC3" w14:paraId="67C3C9BA" w14:textId="77777777" w:rsidTr="007C6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1E99DB2" w14:textId="77777777" w:rsidR="00C339B3" w:rsidRPr="00D1741F" w:rsidRDefault="00C339B3" w:rsidP="00D1741F">
            <w:pPr>
              <w:ind w:left="360"/>
              <w:rPr>
                <w:rFonts w:ascii="Arial" w:hAnsi="Arial" w:cs="Arial"/>
                <w:sz w:val="20"/>
                <w:szCs w:val="20"/>
              </w:rPr>
            </w:pPr>
            <w:r w:rsidRPr="00D1741F">
              <w:rPr>
                <w:rFonts w:ascii="Arial" w:hAnsi="Arial" w:cs="Arial"/>
                <w:sz w:val="20"/>
                <w:szCs w:val="20"/>
              </w:rPr>
              <w:t>Output</w:t>
            </w:r>
          </w:p>
        </w:tc>
        <w:tc>
          <w:tcPr>
            <w:tcW w:w="2835" w:type="dxa"/>
          </w:tcPr>
          <w:p w14:paraId="0B06E099" w14:textId="77777777" w:rsidR="00C339B3" w:rsidRDefault="00C339B3" w:rsidP="00D1741F">
            <w:pPr>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741F">
              <w:rPr>
                <w:rFonts w:ascii="Arial" w:hAnsi="Arial" w:cs="Arial"/>
                <w:sz w:val="18"/>
                <w:szCs w:val="18"/>
              </w:rPr>
              <w:t>Appropriate for projects where standard methodolog</w:t>
            </w:r>
            <w:r w:rsidR="00742B24" w:rsidRPr="00D1741F">
              <w:rPr>
                <w:rFonts w:ascii="Arial" w:hAnsi="Arial" w:cs="Arial"/>
                <w:sz w:val="18"/>
                <w:szCs w:val="18"/>
              </w:rPr>
              <w:t xml:space="preserve">ies are </w:t>
            </w:r>
            <w:r w:rsidRPr="00D1741F">
              <w:rPr>
                <w:rFonts w:ascii="Arial" w:hAnsi="Arial" w:cs="Arial"/>
                <w:sz w:val="18"/>
                <w:szCs w:val="18"/>
              </w:rPr>
              <w:t>in place for appraising project</w:t>
            </w:r>
            <w:r w:rsidR="00742B24" w:rsidRPr="00D1741F">
              <w:rPr>
                <w:rFonts w:ascii="Arial" w:hAnsi="Arial" w:cs="Arial"/>
                <w:sz w:val="18"/>
                <w:szCs w:val="18"/>
              </w:rPr>
              <w:t>s</w:t>
            </w:r>
            <w:r w:rsidRPr="00D1741F">
              <w:rPr>
                <w:rFonts w:ascii="Arial" w:hAnsi="Arial" w:cs="Arial"/>
                <w:sz w:val="18"/>
                <w:szCs w:val="18"/>
              </w:rPr>
              <w:t xml:space="preserve"> or where standard metrics apply. </w:t>
            </w:r>
          </w:p>
          <w:p w14:paraId="1A536F36" w14:textId="2E97A7A3" w:rsidR="00891C10" w:rsidRPr="00D1741F" w:rsidRDefault="00891C10" w:rsidP="00D1741F">
            <w:pPr>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68" w:type="dxa"/>
          </w:tcPr>
          <w:p w14:paraId="0DDE3147" w14:textId="373550DC" w:rsidR="00C339B3" w:rsidRPr="00D1741F" w:rsidRDefault="00C339B3" w:rsidP="00D1741F">
            <w:pPr>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741F">
              <w:rPr>
                <w:rFonts w:ascii="Arial" w:hAnsi="Arial" w:cs="Arial"/>
                <w:sz w:val="18"/>
                <w:szCs w:val="18"/>
              </w:rPr>
              <w:t>Normal project monitoring reports submitted to the LEP</w:t>
            </w:r>
            <w:r w:rsidR="00742B24" w:rsidRPr="00D1741F">
              <w:rPr>
                <w:rFonts w:ascii="Arial" w:hAnsi="Arial" w:cs="Arial"/>
                <w:sz w:val="18"/>
                <w:szCs w:val="18"/>
              </w:rPr>
              <w:t xml:space="preserve">. No funding generally required </w:t>
            </w:r>
          </w:p>
        </w:tc>
        <w:tc>
          <w:tcPr>
            <w:tcW w:w="2410" w:type="dxa"/>
          </w:tcPr>
          <w:p w14:paraId="20152F49" w14:textId="1E0EC588" w:rsidR="00C339B3" w:rsidRPr="00D1741F" w:rsidRDefault="00742B24" w:rsidP="00D1741F">
            <w:pPr>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741F">
              <w:rPr>
                <w:rFonts w:ascii="Arial" w:hAnsi="Arial" w:cs="Arial"/>
                <w:sz w:val="18"/>
                <w:szCs w:val="18"/>
              </w:rPr>
              <w:t>Management information through SSLEP</w:t>
            </w:r>
            <w:r w:rsidR="00C339B3" w:rsidRPr="00D1741F">
              <w:rPr>
                <w:rFonts w:ascii="Arial" w:hAnsi="Arial" w:cs="Arial"/>
                <w:sz w:val="18"/>
                <w:szCs w:val="18"/>
              </w:rPr>
              <w:t xml:space="preserve"> website</w:t>
            </w:r>
            <w:r w:rsidRPr="00D1741F">
              <w:rPr>
                <w:rFonts w:ascii="Arial" w:hAnsi="Arial" w:cs="Arial"/>
                <w:sz w:val="18"/>
                <w:szCs w:val="18"/>
              </w:rPr>
              <w:t xml:space="preserve"> and reports to relevant groups and boards</w:t>
            </w:r>
          </w:p>
        </w:tc>
      </w:tr>
      <w:tr w:rsidR="005A309F" w:rsidRPr="00D32CC3" w14:paraId="5B03358C" w14:textId="77777777" w:rsidTr="00891C10">
        <w:trPr>
          <w:trHeight w:val="2619"/>
        </w:trPr>
        <w:tc>
          <w:tcPr>
            <w:cnfStyle w:val="001000000000" w:firstRow="0" w:lastRow="0" w:firstColumn="1" w:lastColumn="0" w:oddVBand="0" w:evenVBand="0" w:oddHBand="0" w:evenHBand="0" w:firstRowFirstColumn="0" w:firstRowLastColumn="0" w:lastRowFirstColumn="0" w:lastRowLastColumn="0"/>
            <w:tcW w:w="1696" w:type="dxa"/>
          </w:tcPr>
          <w:p w14:paraId="047CE19F" w14:textId="77777777" w:rsidR="005A309F" w:rsidRPr="00D1741F" w:rsidRDefault="005A309F" w:rsidP="00D1741F">
            <w:pPr>
              <w:ind w:left="360"/>
              <w:rPr>
                <w:rFonts w:ascii="Arial" w:hAnsi="Arial" w:cs="Arial"/>
                <w:sz w:val="20"/>
                <w:szCs w:val="20"/>
              </w:rPr>
            </w:pPr>
            <w:r w:rsidRPr="00D1741F">
              <w:rPr>
                <w:rFonts w:ascii="Arial" w:hAnsi="Arial" w:cs="Arial"/>
                <w:sz w:val="20"/>
                <w:szCs w:val="20"/>
              </w:rPr>
              <w:t>Process</w:t>
            </w:r>
          </w:p>
        </w:tc>
        <w:tc>
          <w:tcPr>
            <w:tcW w:w="2835" w:type="dxa"/>
          </w:tcPr>
          <w:p w14:paraId="45E83268" w14:textId="03ABF2F5" w:rsidR="005A309F" w:rsidRPr="00D1741F" w:rsidRDefault="005A309F" w:rsidP="00D1741F">
            <w:pPr>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741F">
              <w:rPr>
                <w:rFonts w:ascii="Arial" w:hAnsi="Arial" w:cs="Arial"/>
                <w:sz w:val="18"/>
                <w:szCs w:val="18"/>
              </w:rPr>
              <w:t xml:space="preserve">Appropriate for projects which were more reliant on </w:t>
            </w:r>
            <w:r w:rsidR="00742B24" w:rsidRPr="00D1741F">
              <w:rPr>
                <w:rFonts w:ascii="Arial" w:hAnsi="Arial" w:cs="Arial"/>
                <w:sz w:val="18"/>
                <w:szCs w:val="18"/>
              </w:rPr>
              <w:t>a</w:t>
            </w:r>
            <w:r w:rsidRPr="00D1741F">
              <w:rPr>
                <w:rFonts w:ascii="Arial" w:hAnsi="Arial" w:cs="Arial"/>
                <w:sz w:val="18"/>
                <w:szCs w:val="18"/>
              </w:rPr>
              <w:t xml:space="preserve"> </w:t>
            </w:r>
            <w:r w:rsidR="00742B24" w:rsidRPr="00D1741F">
              <w:rPr>
                <w:rFonts w:ascii="Arial" w:hAnsi="Arial" w:cs="Arial"/>
                <w:sz w:val="18"/>
                <w:szCs w:val="18"/>
              </w:rPr>
              <w:t>‘</w:t>
            </w:r>
            <w:r w:rsidRPr="00D1741F">
              <w:rPr>
                <w:rFonts w:ascii="Arial" w:hAnsi="Arial" w:cs="Arial"/>
                <w:sz w:val="18"/>
                <w:szCs w:val="18"/>
              </w:rPr>
              <w:t>process</w:t>
            </w:r>
            <w:r w:rsidR="00742B24" w:rsidRPr="00D1741F">
              <w:rPr>
                <w:rFonts w:ascii="Arial" w:hAnsi="Arial" w:cs="Arial"/>
                <w:sz w:val="18"/>
                <w:szCs w:val="18"/>
              </w:rPr>
              <w:t>’</w:t>
            </w:r>
            <w:r w:rsidRPr="00D1741F">
              <w:rPr>
                <w:rFonts w:ascii="Arial" w:hAnsi="Arial" w:cs="Arial"/>
                <w:sz w:val="18"/>
                <w:szCs w:val="18"/>
              </w:rPr>
              <w:t xml:space="preserve"> to drive delivery</w:t>
            </w:r>
            <w:r w:rsidR="00742B24" w:rsidRPr="00D1741F">
              <w:rPr>
                <w:rFonts w:ascii="Arial" w:hAnsi="Arial" w:cs="Arial"/>
                <w:sz w:val="18"/>
                <w:szCs w:val="18"/>
              </w:rPr>
              <w:t>. E</w:t>
            </w:r>
            <w:r w:rsidRPr="00D1741F">
              <w:rPr>
                <w:rFonts w:ascii="Arial" w:hAnsi="Arial" w:cs="Arial"/>
                <w:sz w:val="18"/>
                <w:szCs w:val="18"/>
              </w:rPr>
              <w:t>valuat</w:t>
            </w:r>
            <w:r w:rsidR="00742B24" w:rsidRPr="00D1741F">
              <w:rPr>
                <w:rFonts w:ascii="Arial" w:hAnsi="Arial" w:cs="Arial"/>
                <w:sz w:val="18"/>
                <w:szCs w:val="18"/>
              </w:rPr>
              <w:t>ion is likely to consider the operation and efficiency of</w:t>
            </w:r>
            <w:r w:rsidRPr="00D1741F">
              <w:rPr>
                <w:rFonts w:ascii="Arial" w:hAnsi="Arial" w:cs="Arial"/>
                <w:sz w:val="18"/>
                <w:szCs w:val="18"/>
              </w:rPr>
              <w:t xml:space="preserve"> the process </w:t>
            </w:r>
            <w:r w:rsidR="00742B24" w:rsidRPr="00D1741F">
              <w:rPr>
                <w:rFonts w:ascii="Arial" w:hAnsi="Arial" w:cs="Arial"/>
                <w:sz w:val="18"/>
                <w:szCs w:val="18"/>
              </w:rPr>
              <w:t xml:space="preserve">and the best ways of </w:t>
            </w:r>
            <w:r w:rsidRPr="00D1741F">
              <w:rPr>
                <w:rFonts w:ascii="Arial" w:hAnsi="Arial" w:cs="Arial"/>
                <w:sz w:val="18"/>
                <w:szCs w:val="18"/>
              </w:rPr>
              <w:t>shar</w:t>
            </w:r>
            <w:r w:rsidR="00742B24" w:rsidRPr="00D1741F">
              <w:rPr>
                <w:rFonts w:ascii="Arial" w:hAnsi="Arial" w:cs="Arial"/>
                <w:sz w:val="18"/>
                <w:szCs w:val="18"/>
              </w:rPr>
              <w:t>ing</w:t>
            </w:r>
            <w:r w:rsidRPr="00D1741F">
              <w:rPr>
                <w:rFonts w:ascii="Arial" w:hAnsi="Arial" w:cs="Arial"/>
                <w:sz w:val="18"/>
                <w:szCs w:val="18"/>
              </w:rPr>
              <w:t xml:space="preserve"> best practice and lessons learnt.</w:t>
            </w:r>
          </w:p>
        </w:tc>
        <w:tc>
          <w:tcPr>
            <w:tcW w:w="2268" w:type="dxa"/>
          </w:tcPr>
          <w:p w14:paraId="782DF9D9" w14:textId="21E312E5" w:rsidR="00742B24" w:rsidRDefault="005A309F" w:rsidP="00891C10">
            <w:pPr>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91C10">
              <w:rPr>
                <w:rFonts w:ascii="Arial" w:hAnsi="Arial" w:cs="Arial"/>
                <w:b/>
                <w:bCs/>
                <w:sz w:val="18"/>
                <w:szCs w:val="18"/>
              </w:rPr>
              <w:t>Independent detailed evaluation</w:t>
            </w:r>
            <w:r w:rsidR="00742B24" w:rsidRPr="00D1741F">
              <w:rPr>
                <w:rFonts w:ascii="Arial" w:hAnsi="Arial" w:cs="Arial"/>
                <w:sz w:val="18"/>
                <w:szCs w:val="18"/>
              </w:rPr>
              <w:t>.</w:t>
            </w:r>
          </w:p>
          <w:p w14:paraId="1F588F58" w14:textId="77777777" w:rsidR="00891C10" w:rsidRPr="00DB538B" w:rsidRDefault="00891C10" w:rsidP="00891C10">
            <w:pPr>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7E2889C" w14:textId="7C60D2B1" w:rsidR="00A974C2" w:rsidRPr="00DB538B" w:rsidRDefault="00742B24" w:rsidP="00891C10">
            <w:pPr>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741F">
              <w:rPr>
                <w:rFonts w:ascii="Arial" w:hAnsi="Arial" w:cs="Arial"/>
                <w:sz w:val="18"/>
                <w:szCs w:val="18"/>
              </w:rPr>
              <w:t>This should ideally be commissioned and funded</w:t>
            </w:r>
            <w:r w:rsidR="005A309F" w:rsidRPr="00D1741F">
              <w:rPr>
                <w:rFonts w:ascii="Arial" w:hAnsi="Arial" w:cs="Arial"/>
                <w:sz w:val="18"/>
                <w:szCs w:val="18"/>
              </w:rPr>
              <w:t xml:space="preserve"> by the project sponsor</w:t>
            </w:r>
            <w:r w:rsidRPr="00D1741F">
              <w:rPr>
                <w:rFonts w:ascii="Arial" w:hAnsi="Arial" w:cs="Arial"/>
                <w:sz w:val="18"/>
                <w:szCs w:val="18"/>
              </w:rPr>
              <w:t>, however</w:t>
            </w:r>
            <w:r w:rsidR="00A974C2" w:rsidRPr="00D1741F">
              <w:rPr>
                <w:rFonts w:ascii="Arial" w:hAnsi="Arial" w:cs="Arial"/>
                <w:sz w:val="18"/>
                <w:szCs w:val="18"/>
              </w:rPr>
              <w:t xml:space="preserve"> the historic</w:t>
            </w:r>
            <w:r w:rsidRPr="00D1741F">
              <w:rPr>
                <w:rFonts w:ascii="Arial" w:hAnsi="Arial" w:cs="Arial"/>
                <w:sz w:val="18"/>
                <w:szCs w:val="18"/>
              </w:rPr>
              <w:t xml:space="preserve"> requirements within funding agreements may mean that it is difficult to secure funding. </w:t>
            </w:r>
          </w:p>
        </w:tc>
        <w:tc>
          <w:tcPr>
            <w:tcW w:w="2410" w:type="dxa"/>
          </w:tcPr>
          <w:p w14:paraId="489FB7CA" w14:textId="3E70B260" w:rsidR="005A309F" w:rsidRPr="00D1741F" w:rsidRDefault="00742B24" w:rsidP="00D1741F">
            <w:pPr>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741F">
              <w:rPr>
                <w:rFonts w:ascii="Arial" w:hAnsi="Arial" w:cs="Arial"/>
                <w:sz w:val="18"/>
                <w:szCs w:val="18"/>
              </w:rPr>
              <w:t>SSLEP</w:t>
            </w:r>
            <w:r w:rsidR="005A309F" w:rsidRPr="00D1741F">
              <w:rPr>
                <w:rFonts w:ascii="Arial" w:hAnsi="Arial" w:cs="Arial"/>
                <w:sz w:val="18"/>
                <w:szCs w:val="18"/>
              </w:rPr>
              <w:t xml:space="preserve"> website</w:t>
            </w:r>
            <w:r w:rsidR="00A82B0D" w:rsidRPr="00D1741F">
              <w:rPr>
                <w:rFonts w:ascii="Arial" w:hAnsi="Arial" w:cs="Arial"/>
                <w:sz w:val="18"/>
                <w:szCs w:val="18"/>
              </w:rPr>
              <w:t>,</w:t>
            </w:r>
          </w:p>
          <w:p w14:paraId="325AA89C" w14:textId="0EAC3F05" w:rsidR="005A309F" w:rsidRPr="00D1741F" w:rsidRDefault="005A309F" w:rsidP="00D1741F">
            <w:pPr>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741F">
              <w:rPr>
                <w:rFonts w:ascii="Arial" w:hAnsi="Arial" w:cs="Arial"/>
                <w:sz w:val="18"/>
                <w:szCs w:val="18"/>
              </w:rPr>
              <w:t>Case stud</w:t>
            </w:r>
            <w:r w:rsidR="00742B24" w:rsidRPr="00D1741F">
              <w:rPr>
                <w:rFonts w:ascii="Arial" w:hAnsi="Arial" w:cs="Arial"/>
                <w:sz w:val="18"/>
                <w:szCs w:val="18"/>
              </w:rPr>
              <w:t>ies</w:t>
            </w:r>
            <w:r w:rsidR="00A82B0D" w:rsidRPr="00D1741F">
              <w:rPr>
                <w:rFonts w:ascii="Arial" w:hAnsi="Arial" w:cs="Arial"/>
                <w:sz w:val="18"/>
                <w:szCs w:val="18"/>
              </w:rPr>
              <w:t>,</w:t>
            </w:r>
            <w:r w:rsidRPr="00D1741F">
              <w:rPr>
                <w:rFonts w:ascii="Arial" w:hAnsi="Arial" w:cs="Arial"/>
                <w:sz w:val="18"/>
                <w:szCs w:val="18"/>
              </w:rPr>
              <w:t xml:space="preserve"> presentations at</w:t>
            </w:r>
            <w:r w:rsidR="00742B24" w:rsidRPr="00D1741F">
              <w:rPr>
                <w:rFonts w:ascii="Arial" w:hAnsi="Arial" w:cs="Arial"/>
                <w:sz w:val="18"/>
                <w:szCs w:val="18"/>
              </w:rPr>
              <w:t xml:space="preserve"> LEP events, </w:t>
            </w:r>
            <w:r w:rsidRPr="00D1741F">
              <w:rPr>
                <w:rFonts w:ascii="Arial" w:hAnsi="Arial" w:cs="Arial"/>
                <w:sz w:val="18"/>
                <w:szCs w:val="18"/>
              </w:rPr>
              <w:t xml:space="preserve"> stakeholder events </w:t>
            </w:r>
            <w:r w:rsidR="00A82B0D" w:rsidRPr="00D1741F">
              <w:rPr>
                <w:rFonts w:ascii="Arial" w:hAnsi="Arial" w:cs="Arial"/>
                <w:sz w:val="18"/>
                <w:szCs w:val="18"/>
              </w:rPr>
              <w:t>etc.</w:t>
            </w:r>
          </w:p>
        </w:tc>
      </w:tr>
      <w:tr w:rsidR="00A82B0D" w:rsidRPr="00D32CC3" w14:paraId="21704F63" w14:textId="77777777" w:rsidTr="007C6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5A33374" w14:textId="77777777" w:rsidR="00A82B0D" w:rsidRPr="00D1741F" w:rsidRDefault="00A82B0D" w:rsidP="00D1741F">
            <w:pPr>
              <w:ind w:left="360"/>
              <w:rPr>
                <w:rFonts w:ascii="Arial" w:hAnsi="Arial" w:cs="Arial"/>
                <w:sz w:val="20"/>
                <w:szCs w:val="20"/>
              </w:rPr>
            </w:pPr>
            <w:r w:rsidRPr="00D1741F">
              <w:rPr>
                <w:rFonts w:ascii="Arial" w:hAnsi="Arial" w:cs="Arial"/>
                <w:sz w:val="20"/>
                <w:szCs w:val="20"/>
              </w:rPr>
              <w:t>Impact</w:t>
            </w:r>
          </w:p>
        </w:tc>
        <w:tc>
          <w:tcPr>
            <w:tcW w:w="2835" w:type="dxa"/>
          </w:tcPr>
          <w:p w14:paraId="478F27B3" w14:textId="77777777" w:rsidR="00891C10" w:rsidRDefault="00A82B0D" w:rsidP="00D1741F">
            <w:pPr>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741F">
              <w:rPr>
                <w:rFonts w:ascii="Arial" w:hAnsi="Arial" w:cs="Arial"/>
                <w:sz w:val="18"/>
                <w:szCs w:val="18"/>
              </w:rPr>
              <w:t>Appropriate for projects which are more innovative or unique in their objectives; or approach. Evaluation should focus on the key learning points such as how could the project be delivered differently and what learning opportunities could be shared to shape similar projects in the future to reduce costs, deliver more quickly or achieve better outcomes, reduce risks and or/improve quality.</w:t>
            </w:r>
          </w:p>
          <w:p w14:paraId="70F9D5DC" w14:textId="5AFD6EC3" w:rsidR="00A82B0D" w:rsidRPr="00D1741F" w:rsidRDefault="00A82B0D" w:rsidP="00D1741F">
            <w:pPr>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741F">
              <w:rPr>
                <w:rFonts w:ascii="Arial" w:hAnsi="Arial" w:cs="Arial"/>
                <w:sz w:val="18"/>
                <w:szCs w:val="18"/>
              </w:rPr>
              <w:t xml:space="preserve">  </w:t>
            </w:r>
          </w:p>
        </w:tc>
        <w:tc>
          <w:tcPr>
            <w:tcW w:w="2268" w:type="dxa"/>
          </w:tcPr>
          <w:p w14:paraId="54E673AA" w14:textId="237FE6A2" w:rsidR="00A82B0D" w:rsidRDefault="00A82B0D" w:rsidP="00D1741F">
            <w:pPr>
              <w:ind w:left="360"/>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91C10">
              <w:rPr>
                <w:rFonts w:ascii="Arial" w:hAnsi="Arial" w:cs="Arial"/>
                <w:b/>
                <w:bCs/>
                <w:sz w:val="18"/>
                <w:szCs w:val="18"/>
              </w:rPr>
              <w:t>Independent detailed evaluation.</w:t>
            </w:r>
          </w:p>
          <w:p w14:paraId="7CBF8926" w14:textId="77777777" w:rsidR="00891C10" w:rsidRPr="00891C10" w:rsidRDefault="00891C10" w:rsidP="00D1741F">
            <w:pPr>
              <w:ind w:left="360"/>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p w14:paraId="62680684" w14:textId="77777777" w:rsidR="00A82B0D" w:rsidRPr="00D1741F" w:rsidRDefault="00A82B0D" w:rsidP="00D1741F">
            <w:pPr>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741F">
              <w:rPr>
                <w:rFonts w:ascii="Arial" w:hAnsi="Arial" w:cs="Arial"/>
                <w:sz w:val="18"/>
                <w:szCs w:val="18"/>
              </w:rPr>
              <w:t>This should ideally be commissioned and funded by the project sponsor, however</w:t>
            </w:r>
            <w:r w:rsidR="00EF1062" w:rsidRPr="00D1741F">
              <w:rPr>
                <w:rFonts w:ascii="Arial" w:hAnsi="Arial" w:cs="Arial"/>
                <w:sz w:val="18"/>
                <w:szCs w:val="18"/>
              </w:rPr>
              <w:t xml:space="preserve"> the historic </w:t>
            </w:r>
            <w:r w:rsidRPr="00D1741F">
              <w:rPr>
                <w:rFonts w:ascii="Arial" w:hAnsi="Arial" w:cs="Arial"/>
                <w:sz w:val="18"/>
                <w:szCs w:val="18"/>
              </w:rPr>
              <w:t xml:space="preserve">requirements within funding agreements may mean that it is difficult to secure funding. </w:t>
            </w:r>
          </w:p>
          <w:p w14:paraId="3B8E4844" w14:textId="079E63D1" w:rsidR="00A974C2" w:rsidRPr="00DB538B" w:rsidRDefault="00A974C2" w:rsidP="00D1741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410" w:type="dxa"/>
          </w:tcPr>
          <w:p w14:paraId="0E66BC87" w14:textId="77777777" w:rsidR="00A82B0D" w:rsidRPr="00D1741F" w:rsidRDefault="00A82B0D" w:rsidP="00D1741F">
            <w:pPr>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741F">
              <w:rPr>
                <w:rFonts w:ascii="Arial" w:hAnsi="Arial" w:cs="Arial"/>
                <w:sz w:val="18"/>
                <w:szCs w:val="18"/>
              </w:rPr>
              <w:t>SSLEP website,</w:t>
            </w:r>
          </w:p>
          <w:p w14:paraId="6367D557" w14:textId="165B477C" w:rsidR="00A82B0D" w:rsidRPr="00D1741F" w:rsidRDefault="00A82B0D" w:rsidP="00D1741F">
            <w:pPr>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1741F">
              <w:rPr>
                <w:rFonts w:ascii="Arial" w:hAnsi="Arial" w:cs="Arial"/>
                <w:sz w:val="18"/>
                <w:szCs w:val="18"/>
              </w:rPr>
              <w:t>Case studies, presentations at LEP events,  stakeholder events etc.</w:t>
            </w:r>
          </w:p>
        </w:tc>
      </w:tr>
      <w:tr w:rsidR="00DB538B" w:rsidRPr="00D32CC3" w14:paraId="4259288A" w14:textId="77777777" w:rsidTr="007C6450">
        <w:tc>
          <w:tcPr>
            <w:cnfStyle w:val="001000000000" w:firstRow="0" w:lastRow="0" w:firstColumn="1" w:lastColumn="0" w:oddVBand="0" w:evenVBand="0" w:oddHBand="0" w:evenHBand="0" w:firstRowFirstColumn="0" w:firstRowLastColumn="0" w:lastRowFirstColumn="0" w:lastRowLastColumn="0"/>
            <w:tcW w:w="1696" w:type="dxa"/>
          </w:tcPr>
          <w:p w14:paraId="2ADE342D" w14:textId="0E0B857B" w:rsidR="00DB538B" w:rsidRPr="00D1741F" w:rsidRDefault="00DB538B" w:rsidP="00D1741F">
            <w:pPr>
              <w:ind w:left="360"/>
              <w:rPr>
                <w:rFonts w:ascii="Arial" w:hAnsi="Arial" w:cs="Arial"/>
                <w:sz w:val="20"/>
                <w:szCs w:val="20"/>
              </w:rPr>
            </w:pPr>
            <w:r w:rsidRPr="00D1741F">
              <w:rPr>
                <w:rFonts w:ascii="Arial" w:hAnsi="Arial" w:cs="Arial"/>
                <w:sz w:val="20"/>
                <w:szCs w:val="20"/>
              </w:rPr>
              <w:t>Economic</w:t>
            </w:r>
          </w:p>
        </w:tc>
        <w:tc>
          <w:tcPr>
            <w:tcW w:w="2835" w:type="dxa"/>
          </w:tcPr>
          <w:p w14:paraId="29847C30" w14:textId="6C26E6EE" w:rsidR="00DB538B" w:rsidRPr="00D1741F" w:rsidRDefault="00DB538B" w:rsidP="00D1741F">
            <w:pPr>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741F">
              <w:rPr>
                <w:rFonts w:ascii="Arial" w:hAnsi="Arial" w:cs="Arial"/>
                <w:sz w:val="18"/>
                <w:szCs w:val="18"/>
              </w:rPr>
              <w:t>To establish the cost per unit outcome or cost/benefit analysis of a project.</w:t>
            </w:r>
          </w:p>
        </w:tc>
        <w:tc>
          <w:tcPr>
            <w:tcW w:w="2268" w:type="dxa"/>
          </w:tcPr>
          <w:p w14:paraId="543C123A" w14:textId="77777777" w:rsidR="00DB538B" w:rsidRDefault="00DB538B" w:rsidP="00D1741F">
            <w:pPr>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741F">
              <w:rPr>
                <w:rFonts w:ascii="Arial" w:hAnsi="Arial" w:cs="Arial"/>
                <w:sz w:val="18"/>
                <w:szCs w:val="18"/>
              </w:rPr>
              <w:t xml:space="preserve">A recognition of the need to define quantifiable project costs and benefits at the outset of a project will be required. </w:t>
            </w:r>
          </w:p>
          <w:p w14:paraId="5A9D0F1C" w14:textId="59F2D757" w:rsidR="00891C10" w:rsidRPr="00D1741F" w:rsidRDefault="00891C10" w:rsidP="00D1741F">
            <w:pPr>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410" w:type="dxa"/>
          </w:tcPr>
          <w:p w14:paraId="31927DB1" w14:textId="530BD1FA" w:rsidR="00DB538B" w:rsidRPr="00D1741F" w:rsidRDefault="00DB538B" w:rsidP="00D1741F">
            <w:pPr>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1741F">
              <w:rPr>
                <w:rFonts w:ascii="Arial" w:hAnsi="Arial" w:cs="Arial"/>
                <w:sz w:val="18"/>
                <w:szCs w:val="18"/>
              </w:rPr>
              <w:t>Management information through SSLEP website and reports to relevant groups and boards. Case studies etc.</w:t>
            </w:r>
          </w:p>
          <w:p w14:paraId="56597E8F" w14:textId="58B40D6D" w:rsidR="00DB538B" w:rsidRPr="00DB538B" w:rsidRDefault="00DB538B" w:rsidP="00D1741F">
            <w:pPr>
              <w:ind w:left="45"/>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C30D6B" w:rsidRPr="00D32CC3" w14:paraId="028D1CC8" w14:textId="77777777" w:rsidTr="00894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4"/>
          </w:tcPr>
          <w:p w14:paraId="33B2CB6B" w14:textId="77777777" w:rsidR="0030569B" w:rsidRPr="00D1741F" w:rsidRDefault="0030569B" w:rsidP="00D1741F">
            <w:pPr>
              <w:ind w:left="360"/>
              <w:jc w:val="center"/>
              <w:rPr>
                <w:rFonts w:ascii="Arial" w:hAnsi="Arial" w:cs="Arial"/>
                <w:sz w:val="20"/>
                <w:szCs w:val="20"/>
              </w:rPr>
            </w:pPr>
          </w:p>
          <w:p w14:paraId="75C25A62" w14:textId="7DDA7525" w:rsidR="00C30D6B" w:rsidRDefault="00C30D6B" w:rsidP="00D10EC6">
            <w:pPr>
              <w:ind w:left="360"/>
              <w:jc w:val="center"/>
              <w:rPr>
                <w:rFonts w:ascii="Arial" w:hAnsi="Arial" w:cs="Arial"/>
                <w:b w:val="0"/>
                <w:bCs w:val="0"/>
                <w:sz w:val="20"/>
                <w:szCs w:val="20"/>
              </w:rPr>
            </w:pPr>
            <w:r w:rsidRPr="00D1741F">
              <w:rPr>
                <w:rFonts w:ascii="Arial" w:hAnsi="Arial" w:cs="Arial"/>
                <w:sz w:val="20"/>
                <w:szCs w:val="20"/>
              </w:rPr>
              <w:t>Anticipated Level of Evaluation Detail</w:t>
            </w:r>
          </w:p>
          <w:p w14:paraId="0B8BF335" w14:textId="3396A79B" w:rsidR="00B5403B" w:rsidRPr="00D1741F" w:rsidRDefault="00B5403B" w:rsidP="00D1741F">
            <w:pPr>
              <w:ind w:left="360"/>
              <w:rPr>
                <w:rFonts w:ascii="Arial" w:hAnsi="Arial" w:cs="Arial"/>
                <w:sz w:val="20"/>
                <w:szCs w:val="20"/>
              </w:rPr>
            </w:pPr>
            <w:r>
              <w:rPr>
                <w:noProof/>
              </w:rPr>
              <w:drawing>
                <wp:inline distT="0" distB="0" distL="0" distR="0" wp14:anchorId="35A8AD04" wp14:editId="202B0987">
                  <wp:extent cx="5400675" cy="247650"/>
                  <wp:effectExtent l="19050" t="38100" r="9525"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07B3D51" w14:textId="77777777" w:rsidR="00B5403B" w:rsidRDefault="00B5403B" w:rsidP="00D1741F">
            <w:pPr>
              <w:rPr>
                <w:rFonts w:ascii="Arial" w:hAnsi="Arial" w:cs="Arial"/>
                <w:b w:val="0"/>
                <w:bCs w:val="0"/>
                <w:sz w:val="20"/>
                <w:szCs w:val="20"/>
              </w:rPr>
            </w:pPr>
          </w:p>
          <w:p w14:paraId="3867D618" w14:textId="494DBD9B" w:rsidR="00B5403B" w:rsidRPr="00D1741F" w:rsidRDefault="00B5403B" w:rsidP="00D1741F">
            <w:pPr>
              <w:ind w:left="360"/>
              <w:jc w:val="center"/>
              <w:rPr>
                <w:rFonts w:ascii="Arial" w:hAnsi="Arial" w:cs="Arial"/>
                <w:sz w:val="20"/>
                <w:szCs w:val="20"/>
              </w:rPr>
            </w:pPr>
            <w:r w:rsidRPr="00D1741F">
              <w:rPr>
                <w:rFonts w:ascii="Arial" w:hAnsi="Arial" w:cs="Arial"/>
                <w:sz w:val="20"/>
                <w:szCs w:val="20"/>
              </w:rPr>
              <w:t xml:space="preserve">Scale of Intervention </w:t>
            </w:r>
          </w:p>
        </w:tc>
      </w:tr>
      <w:tr w:rsidR="0030569B" w:rsidRPr="0030569B" w14:paraId="736BA08C" w14:textId="77777777" w:rsidTr="00697823">
        <w:trPr>
          <w:trHeight w:val="1833"/>
        </w:trPr>
        <w:tc>
          <w:tcPr>
            <w:cnfStyle w:val="001000000000" w:firstRow="0" w:lastRow="0" w:firstColumn="1" w:lastColumn="0" w:oddVBand="0" w:evenVBand="0" w:oddHBand="0" w:evenHBand="0" w:firstRowFirstColumn="0" w:firstRowLastColumn="0" w:lastRowFirstColumn="0" w:lastRowLastColumn="0"/>
            <w:tcW w:w="9209" w:type="dxa"/>
            <w:gridSpan w:val="4"/>
            <w:shd w:val="clear" w:color="auto" w:fill="F4B083" w:themeFill="accent2" w:themeFillTint="99"/>
          </w:tcPr>
          <w:p w14:paraId="31CE70B5" w14:textId="77777777" w:rsidR="00C30D6B" w:rsidRPr="00697823" w:rsidRDefault="00C30D6B" w:rsidP="00D1741F">
            <w:pPr>
              <w:ind w:left="360"/>
              <w:rPr>
                <w:rFonts w:ascii="Arial" w:hAnsi="Arial" w:cs="Arial"/>
                <w:b w:val="0"/>
                <w:bCs w:val="0"/>
                <w:color w:val="auto"/>
                <w:sz w:val="20"/>
                <w:szCs w:val="20"/>
              </w:rPr>
            </w:pPr>
          </w:p>
          <w:p w14:paraId="781DA3A7" w14:textId="24FAA16E" w:rsidR="00C30D6B" w:rsidRPr="00697823" w:rsidRDefault="00C30D6B" w:rsidP="00D1741F">
            <w:pPr>
              <w:ind w:left="360"/>
              <w:rPr>
                <w:rFonts w:ascii="Arial" w:hAnsi="Arial" w:cs="Arial"/>
                <w:b w:val="0"/>
                <w:bCs w:val="0"/>
                <w:color w:val="auto"/>
                <w:sz w:val="18"/>
                <w:szCs w:val="18"/>
              </w:rPr>
            </w:pPr>
            <w:r w:rsidRPr="00697823">
              <w:rPr>
                <w:rFonts w:ascii="Arial" w:hAnsi="Arial" w:cs="Arial"/>
                <w:b w:val="0"/>
                <w:bCs w:val="0"/>
                <w:color w:val="auto"/>
                <w:sz w:val="18"/>
                <w:szCs w:val="18"/>
              </w:rPr>
              <w:t>The Scope and scale of evaluation information provided by relevant projects and programmes is likely to be in accordance with the scale of the intervention (in respect of planned benefits, length of project and investment required)</w:t>
            </w:r>
          </w:p>
          <w:p w14:paraId="384727C6" w14:textId="77777777" w:rsidR="00C30D6B" w:rsidRPr="00697823" w:rsidRDefault="00C30D6B" w:rsidP="00D1741F">
            <w:pPr>
              <w:rPr>
                <w:rFonts w:ascii="Arial" w:hAnsi="Arial" w:cs="Arial"/>
                <w:b w:val="0"/>
                <w:bCs w:val="0"/>
                <w:color w:val="auto"/>
                <w:sz w:val="18"/>
                <w:szCs w:val="18"/>
              </w:rPr>
            </w:pPr>
          </w:p>
          <w:p w14:paraId="4BAAD2F3" w14:textId="59AC711E" w:rsidR="00AC02A9" w:rsidRPr="00D1741F" w:rsidRDefault="00C30D6B" w:rsidP="00D1741F">
            <w:pPr>
              <w:ind w:left="360"/>
              <w:rPr>
                <w:rFonts w:ascii="Arial" w:hAnsi="Arial" w:cs="Arial"/>
                <w:sz w:val="18"/>
                <w:szCs w:val="18"/>
              </w:rPr>
            </w:pPr>
            <w:r w:rsidRPr="00697823">
              <w:rPr>
                <w:rFonts w:ascii="Arial" w:hAnsi="Arial" w:cs="Arial"/>
                <w:b w:val="0"/>
                <w:bCs w:val="0"/>
                <w:color w:val="auto"/>
                <w:sz w:val="18"/>
                <w:szCs w:val="18"/>
              </w:rPr>
              <w:t>As discussed above, the Major Scheme Business Cases for large transport projects are likely to include a level of detail and complexity which may sit beyond the scope of this framework</w:t>
            </w:r>
          </w:p>
        </w:tc>
      </w:tr>
    </w:tbl>
    <w:p w14:paraId="009DE6C2" w14:textId="2D5C6754" w:rsidR="00AF76BF" w:rsidRPr="00A974C2" w:rsidRDefault="00AF76BF">
      <w:pPr>
        <w:rPr>
          <w:rFonts w:ascii="Arial" w:hAnsi="Arial" w:cs="Arial"/>
          <w:b/>
          <w:u w:val="single"/>
        </w:rPr>
      </w:pPr>
    </w:p>
    <w:p w14:paraId="09917E42" w14:textId="77777777" w:rsidR="00AC02A9" w:rsidRDefault="00AC02A9">
      <w:pPr>
        <w:rPr>
          <w:rFonts w:ascii="Arial" w:hAnsi="Arial" w:cs="Arial"/>
          <w:b/>
          <w:sz w:val="24"/>
          <w:szCs w:val="24"/>
        </w:rPr>
      </w:pPr>
    </w:p>
    <w:p w14:paraId="51469383" w14:textId="477C6091" w:rsidR="00D42453" w:rsidRPr="00047254" w:rsidRDefault="00D42453" w:rsidP="00047254">
      <w:pPr>
        <w:pStyle w:val="ListParagraph"/>
        <w:numPr>
          <w:ilvl w:val="0"/>
          <w:numId w:val="5"/>
        </w:numPr>
        <w:rPr>
          <w:rFonts w:ascii="Arial" w:hAnsi="Arial" w:cs="Arial"/>
          <w:b/>
          <w:sz w:val="24"/>
          <w:szCs w:val="24"/>
        </w:rPr>
      </w:pPr>
      <w:r w:rsidRPr="00047254">
        <w:rPr>
          <w:rFonts w:ascii="Arial" w:hAnsi="Arial" w:cs="Arial"/>
          <w:b/>
          <w:sz w:val="24"/>
          <w:szCs w:val="24"/>
        </w:rPr>
        <w:t>Lessons Learned Logs and Project Closure information</w:t>
      </w:r>
    </w:p>
    <w:p w14:paraId="3D1E0BAA" w14:textId="3BA6E3F1" w:rsidR="0030569B" w:rsidRPr="00D1741F" w:rsidRDefault="00D1741F" w:rsidP="00D1741F">
      <w:pPr>
        <w:ind w:left="720" w:hanging="360"/>
        <w:rPr>
          <w:rFonts w:ascii="Arial" w:hAnsi="Arial" w:cs="Arial"/>
          <w:bCs/>
        </w:rPr>
      </w:pPr>
      <w:r>
        <w:rPr>
          <w:rFonts w:ascii="Arial" w:hAnsi="Arial" w:cs="Arial"/>
          <w:bCs/>
        </w:rPr>
        <w:t>4.1</w:t>
      </w:r>
      <w:r>
        <w:rPr>
          <w:rFonts w:ascii="Arial" w:hAnsi="Arial" w:cs="Arial"/>
          <w:bCs/>
        </w:rPr>
        <w:tab/>
      </w:r>
      <w:r w:rsidR="00D42453" w:rsidRPr="00D1741F">
        <w:rPr>
          <w:rFonts w:ascii="Arial" w:hAnsi="Arial" w:cs="Arial"/>
          <w:bCs/>
        </w:rPr>
        <w:t>As</w:t>
      </w:r>
      <w:r w:rsidR="002E5D90" w:rsidRPr="00D1741F">
        <w:rPr>
          <w:rFonts w:ascii="Arial" w:hAnsi="Arial" w:cs="Arial"/>
          <w:bCs/>
        </w:rPr>
        <w:t xml:space="preserve"> a key</w:t>
      </w:r>
      <w:r w:rsidR="00D42453" w:rsidRPr="00D1741F">
        <w:rPr>
          <w:rFonts w:ascii="Arial" w:hAnsi="Arial" w:cs="Arial"/>
          <w:bCs/>
        </w:rPr>
        <w:t xml:space="preserve"> part of the ongoing programme management of the Growth Deal as well as other relevant programmes under its jurisdiction, the SSLEP has introduced a Lessons Learned process to capture, learn from and share relevant findings from active and completed projects and programmes. </w:t>
      </w:r>
    </w:p>
    <w:p w14:paraId="3EE219D3" w14:textId="678F7354" w:rsidR="00D42453" w:rsidRPr="00D1741F" w:rsidRDefault="00D1741F" w:rsidP="00D1741F">
      <w:pPr>
        <w:ind w:left="720" w:hanging="360"/>
        <w:rPr>
          <w:rFonts w:ascii="Arial" w:hAnsi="Arial" w:cs="Arial"/>
          <w:bCs/>
        </w:rPr>
      </w:pPr>
      <w:r>
        <w:rPr>
          <w:rFonts w:ascii="Arial" w:hAnsi="Arial" w:cs="Arial"/>
          <w:bCs/>
        </w:rPr>
        <w:t>4.2</w:t>
      </w:r>
      <w:r>
        <w:rPr>
          <w:rFonts w:ascii="Arial" w:hAnsi="Arial" w:cs="Arial"/>
          <w:bCs/>
        </w:rPr>
        <w:tab/>
      </w:r>
      <w:r w:rsidR="00D42453" w:rsidRPr="00D1741F">
        <w:rPr>
          <w:rFonts w:ascii="Arial" w:hAnsi="Arial" w:cs="Arial"/>
          <w:bCs/>
        </w:rPr>
        <w:t xml:space="preserve">The Lessons Learned information has </w:t>
      </w:r>
      <w:r w:rsidR="00A974C2" w:rsidRPr="00D1741F">
        <w:rPr>
          <w:rFonts w:ascii="Arial" w:hAnsi="Arial" w:cs="Arial"/>
          <w:bCs/>
        </w:rPr>
        <w:t xml:space="preserve">informed recent improvements to the SSLEPs programme management arrangement such as how outputs are captured and reported, the structure of and mechanisms contained within funding agreements, and the criteria against which candidate projects are assessed for potential funding. </w:t>
      </w:r>
    </w:p>
    <w:p w14:paraId="2B2EFF75" w14:textId="1193C17E" w:rsidR="00A974C2" w:rsidRDefault="00D1741F" w:rsidP="00D1741F">
      <w:pPr>
        <w:ind w:left="720" w:hanging="360"/>
        <w:rPr>
          <w:rFonts w:ascii="Arial" w:hAnsi="Arial" w:cs="Arial"/>
          <w:bCs/>
        </w:rPr>
      </w:pPr>
      <w:r>
        <w:rPr>
          <w:rFonts w:ascii="Arial" w:hAnsi="Arial" w:cs="Arial"/>
          <w:bCs/>
        </w:rPr>
        <w:t>4.3</w:t>
      </w:r>
      <w:r>
        <w:rPr>
          <w:rFonts w:ascii="Arial" w:hAnsi="Arial" w:cs="Arial"/>
          <w:bCs/>
        </w:rPr>
        <w:tab/>
      </w:r>
      <w:r w:rsidR="00A974C2" w:rsidRPr="00D1741F">
        <w:rPr>
          <w:rFonts w:ascii="Arial" w:hAnsi="Arial" w:cs="Arial"/>
          <w:bCs/>
        </w:rPr>
        <w:t xml:space="preserve">At the closure of relevant projects, the SSLEP will request a project closure report from the project sponsors. Such project closure reports will invariably include a substantial body of evidence which will be valuable to the overall monitoring and evaluation framework. </w:t>
      </w:r>
    </w:p>
    <w:p w14:paraId="6C72B578" w14:textId="77777777" w:rsidR="00D1741F" w:rsidRPr="00D1741F" w:rsidRDefault="00D1741F" w:rsidP="00D1741F">
      <w:pPr>
        <w:ind w:left="720" w:hanging="360"/>
        <w:rPr>
          <w:rFonts w:ascii="Arial" w:hAnsi="Arial" w:cs="Arial"/>
          <w:bCs/>
        </w:rPr>
      </w:pPr>
    </w:p>
    <w:p w14:paraId="0EF8D630" w14:textId="24E38C1F" w:rsidR="00DD4839" w:rsidRPr="00047254" w:rsidRDefault="00DD4839" w:rsidP="00047254">
      <w:pPr>
        <w:pStyle w:val="ListParagraph"/>
        <w:numPr>
          <w:ilvl w:val="0"/>
          <w:numId w:val="5"/>
        </w:numPr>
        <w:rPr>
          <w:rFonts w:ascii="Arial" w:hAnsi="Arial" w:cs="Arial"/>
          <w:b/>
          <w:sz w:val="24"/>
          <w:szCs w:val="24"/>
        </w:rPr>
      </w:pPr>
      <w:r w:rsidRPr="00047254">
        <w:rPr>
          <w:rFonts w:ascii="Arial" w:hAnsi="Arial" w:cs="Arial"/>
          <w:b/>
          <w:sz w:val="24"/>
          <w:szCs w:val="24"/>
        </w:rPr>
        <w:t>Conclusion</w:t>
      </w:r>
    </w:p>
    <w:p w14:paraId="562FA021" w14:textId="542C2E06" w:rsidR="00591E49" w:rsidRPr="00D1741F" w:rsidRDefault="00D1741F" w:rsidP="00D1741F">
      <w:pPr>
        <w:ind w:left="720" w:hanging="360"/>
        <w:rPr>
          <w:rFonts w:ascii="Arial" w:hAnsi="Arial" w:cs="Arial"/>
          <w:bCs/>
        </w:rPr>
      </w:pPr>
      <w:r>
        <w:rPr>
          <w:rFonts w:ascii="Arial" w:hAnsi="Arial" w:cs="Arial"/>
          <w:bCs/>
        </w:rPr>
        <w:t>5.1</w:t>
      </w:r>
      <w:r>
        <w:rPr>
          <w:rFonts w:ascii="Arial" w:hAnsi="Arial" w:cs="Arial"/>
          <w:bCs/>
        </w:rPr>
        <w:tab/>
      </w:r>
      <w:r w:rsidR="00DD4839" w:rsidRPr="00D1741F">
        <w:rPr>
          <w:rFonts w:ascii="Arial" w:hAnsi="Arial" w:cs="Arial"/>
          <w:bCs/>
        </w:rPr>
        <w:t xml:space="preserve">The above proposals are considered to provide an appropriate and proportionate approach to the monitoring and evaluation of the SSLEP Growth Deal programme. It will be important to periodically review the contents of this framework to ensure that it remains relevant and adds the greatest level of value to the SSLEP, its partners and projects for now and the future. </w:t>
      </w:r>
    </w:p>
    <w:p w14:paraId="0E19E47C" w14:textId="6F078A11" w:rsidR="0030569B" w:rsidRPr="00D1741F" w:rsidRDefault="00D1741F" w:rsidP="00D1741F">
      <w:pPr>
        <w:ind w:left="720" w:hanging="360"/>
        <w:rPr>
          <w:rFonts w:ascii="Arial" w:hAnsi="Arial" w:cs="Arial"/>
          <w:bCs/>
        </w:rPr>
      </w:pPr>
      <w:r>
        <w:rPr>
          <w:rFonts w:ascii="Arial" w:hAnsi="Arial" w:cs="Arial"/>
          <w:bCs/>
        </w:rPr>
        <w:t>5.2</w:t>
      </w:r>
      <w:r>
        <w:rPr>
          <w:rFonts w:ascii="Arial" w:hAnsi="Arial" w:cs="Arial"/>
          <w:bCs/>
        </w:rPr>
        <w:tab/>
      </w:r>
      <w:r w:rsidR="0030569B" w:rsidRPr="00D1741F">
        <w:rPr>
          <w:rFonts w:ascii="Arial" w:hAnsi="Arial" w:cs="Arial"/>
          <w:bCs/>
        </w:rPr>
        <w:t xml:space="preserve">Using all of the above principles and with consideration of value for money, lessons learned and understanding the delivery of benefits the SSLEP will be in the best placed position to consider the most relevant and impactful projects and programmes in which to resource and invest in the future. </w:t>
      </w:r>
    </w:p>
    <w:p w14:paraId="1FA935FC" w14:textId="3988BCF8" w:rsidR="00DD4839" w:rsidRDefault="00DD4839">
      <w:pPr>
        <w:rPr>
          <w:rFonts w:ascii="Arial" w:hAnsi="Arial" w:cs="Arial"/>
          <w:b/>
          <w:u w:val="single"/>
        </w:rPr>
      </w:pPr>
    </w:p>
    <w:p w14:paraId="4DC64751" w14:textId="4AAAC45E" w:rsidR="00DD4839" w:rsidRDefault="00DD4839">
      <w:pPr>
        <w:rPr>
          <w:rFonts w:ascii="Arial" w:hAnsi="Arial" w:cs="Arial"/>
          <w:b/>
          <w:u w:val="single"/>
        </w:rPr>
      </w:pPr>
    </w:p>
    <w:p w14:paraId="143C311A" w14:textId="64347BF3" w:rsidR="00DD4839" w:rsidRDefault="00DD4839">
      <w:pPr>
        <w:rPr>
          <w:rFonts w:ascii="Arial" w:hAnsi="Arial" w:cs="Arial"/>
          <w:b/>
          <w:u w:val="single"/>
        </w:rPr>
      </w:pPr>
    </w:p>
    <w:p w14:paraId="4C83FA62" w14:textId="7E296B06" w:rsidR="00DD4839" w:rsidRDefault="00DD4839">
      <w:pPr>
        <w:rPr>
          <w:rFonts w:ascii="Arial" w:hAnsi="Arial" w:cs="Arial"/>
          <w:b/>
          <w:u w:val="single"/>
        </w:rPr>
      </w:pPr>
    </w:p>
    <w:p w14:paraId="15FBB4D3" w14:textId="7454CF00" w:rsidR="00DD4839" w:rsidRDefault="00DD4839">
      <w:pPr>
        <w:rPr>
          <w:rFonts w:ascii="Arial" w:hAnsi="Arial" w:cs="Arial"/>
          <w:b/>
          <w:u w:val="single"/>
        </w:rPr>
      </w:pPr>
    </w:p>
    <w:p w14:paraId="749636B9" w14:textId="41BE3DA2" w:rsidR="00DD4839" w:rsidRDefault="00DD4839">
      <w:pPr>
        <w:rPr>
          <w:rFonts w:ascii="Arial" w:hAnsi="Arial" w:cs="Arial"/>
          <w:b/>
          <w:u w:val="single"/>
        </w:rPr>
      </w:pPr>
    </w:p>
    <w:p w14:paraId="3A4F5561" w14:textId="108B48CD" w:rsidR="00DD4839" w:rsidRDefault="00DD4839">
      <w:pPr>
        <w:rPr>
          <w:rFonts w:ascii="Arial" w:hAnsi="Arial" w:cs="Arial"/>
          <w:b/>
          <w:u w:val="single"/>
        </w:rPr>
      </w:pPr>
    </w:p>
    <w:p w14:paraId="5258ECC4" w14:textId="77777777" w:rsidR="00DD4839" w:rsidRPr="00A974C2" w:rsidRDefault="00DD4839">
      <w:pPr>
        <w:rPr>
          <w:rFonts w:ascii="Arial" w:hAnsi="Arial" w:cs="Arial"/>
          <w:b/>
          <w:u w:val="single"/>
        </w:rPr>
      </w:pPr>
    </w:p>
    <w:sectPr w:rsidR="00DD4839" w:rsidRPr="00A974C2">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29F4" w14:textId="77777777" w:rsidR="006D1D26" w:rsidRDefault="006D1D26" w:rsidP="005E0C66">
      <w:pPr>
        <w:spacing w:after="0" w:line="240" w:lineRule="auto"/>
      </w:pPr>
      <w:r>
        <w:separator/>
      </w:r>
    </w:p>
  </w:endnote>
  <w:endnote w:type="continuationSeparator" w:id="0">
    <w:p w14:paraId="7A4E3FEA" w14:textId="77777777" w:rsidR="006D1D26" w:rsidRDefault="006D1D26" w:rsidP="005E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389115"/>
      <w:docPartObj>
        <w:docPartGallery w:val="Page Numbers (Bottom of Page)"/>
        <w:docPartUnique/>
      </w:docPartObj>
    </w:sdtPr>
    <w:sdtEndPr>
      <w:rPr>
        <w:noProof/>
      </w:rPr>
    </w:sdtEndPr>
    <w:sdtContent>
      <w:p w14:paraId="66A99EE7" w14:textId="40075494" w:rsidR="00047254" w:rsidRDefault="000472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4D276D" w14:textId="77777777" w:rsidR="00047254" w:rsidRDefault="00047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F2CE" w14:textId="77777777" w:rsidR="006D1D26" w:rsidRDefault="006D1D26" w:rsidP="005E0C66">
      <w:pPr>
        <w:spacing w:after="0" w:line="240" w:lineRule="auto"/>
      </w:pPr>
      <w:r>
        <w:separator/>
      </w:r>
    </w:p>
  </w:footnote>
  <w:footnote w:type="continuationSeparator" w:id="0">
    <w:p w14:paraId="76DFA628" w14:textId="77777777" w:rsidR="006D1D26" w:rsidRDefault="006D1D26" w:rsidP="005E0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7F45" w14:textId="1701BA65" w:rsidR="00047254" w:rsidRDefault="00047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44E7" w14:textId="38588085" w:rsidR="00047254" w:rsidRDefault="00047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A02B" w14:textId="373C1516" w:rsidR="00047254" w:rsidRDefault="00047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2140"/>
    <w:multiLevelType w:val="hybridMultilevel"/>
    <w:tmpl w:val="BA4C7AC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547AD"/>
    <w:multiLevelType w:val="hybridMultilevel"/>
    <w:tmpl w:val="365E177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15134"/>
    <w:multiLevelType w:val="hybridMultilevel"/>
    <w:tmpl w:val="644637C0"/>
    <w:lvl w:ilvl="0" w:tplc="08090005">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1A376D6A"/>
    <w:multiLevelType w:val="hybridMultilevel"/>
    <w:tmpl w:val="351603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4C2CFE"/>
    <w:multiLevelType w:val="hybridMultilevel"/>
    <w:tmpl w:val="7BCEE9C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5C2447B"/>
    <w:multiLevelType w:val="hybridMultilevel"/>
    <w:tmpl w:val="EFD8DE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AF33E3"/>
    <w:multiLevelType w:val="hybridMultilevel"/>
    <w:tmpl w:val="AAA0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928BC"/>
    <w:multiLevelType w:val="hybridMultilevel"/>
    <w:tmpl w:val="BDC6D88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BF"/>
    <w:rsid w:val="00024CC2"/>
    <w:rsid w:val="00024D9E"/>
    <w:rsid w:val="00043C57"/>
    <w:rsid w:val="00047254"/>
    <w:rsid w:val="000807FD"/>
    <w:rsid w:val="000A49B5"/>
    <w:rsid w:val="000A6DF0"/>
    <w:rsid w:val="000F0B05"/>
    <w:rsid w:val="001037D9"/>
    <w:rsid w:val="0011534C"/>
    <w:rsid w:val="001831CB"/>
    <w:rsid w:val="00206C1C"/>
    <w:rsid w:val="002132FA"/>
    <w:rsid w:val="00230806"/>
    <w:rsid w:val="00246124"/>
    <w:rsid w:val="00293230"/>
    <w:rsid w:val="00296CAC"/>
    <w:rsid w:val="002C0A37"/>
    <w:rsid w:val="002E03DF"/>
    <w:rsid w:val="002E5D90"/>
    <w:rsid w:val="0030569B"/>
    <w:rsid w:val="00391B98"/>
    <w:rsid w:val="003C04D3"/>
    <w:rsid w:val="003D4329"/>
    <w:rsid w:val="003F3B16"/>
    <w:rsid w:val="00421DDD"/>
    <w:rsid w:val="00465A9E"/>
    <w:rsid w:val="004C29EE"/>
    <w:rsid w:val="004E0620"/>
    <w:rsid w:val="005010D5"/>
    <w:rsid w:val="00561E80"/>
    <w:rsid w:val="00564E3B"/>
    <w:rsid w:val="00591E49"/>
    <w:rsid w:val="0059408A"/>
    <w:rsid w:val="005A309F"/>
    <w:rsid w:val="005B53EC"/>
    <w:rsid w:val="005C661B"/>
    <w:rsid w:val="005D3905"/>
    <w:rsid w:val="005E0C66"/>
    <w:rsid w:val="0064374B"/>
    <w:rsid w:val="006657C9"/>
    <w:rsid w:val="00697823"/>
    <w:rsid w:val="006B5EF1"/>
    <w:rsid w:val="006D1D26"/>
    <w:rsid w:val="006E3CD0"/>
    <w:rsid w:val="00704A6D"/>
    <w:rsid w:val="00742B24"/>
    <w:rsid w:val="00754508"/>
    <w:rsid w:val="007839BB"/>
    <w:rsid w:val="00791C49"/>
    <w:rsid w:val="007C6450"/>
    <w:rsid w:val="008128D0"/>
    <w:rsid w:val="00825B98"/>
    <w:rsid w:val="00834D45"/>
    <w:rsid w:val="00891C10"/>
    <w:rsid w:val="00894CA9"/>
    <w:rsid w:val="00924BF4"/>
    <w:rsid w:val="009C6B02"/>
    <w:rsid w:val="00A2473F"/>
    <w:rsid w:val="00A64096"/>
    <w:rsid w:val="00A77492"/>
    <w:rsid w:val="00A829CE"/>
    <w:rsid w:val="00A82B0D"/>
    <w:rsid w:val="00A974C2"/>
    <w:rsid w:val="00AC02A9"/>
    <w:rsid w:val="00AF1E13"/>
    <w:rsid w:val="00AF76BF"/>
    <w:rsid w:val="00B5403B"/>
    <w:rsid w:val="00BA16DC"/>
    <w:rsid w:val="00BD360A"/>
    <w:rsid w:val="00BE5234"/>
    <w:rsid w:val="00BE67C0"/>
    <w:rsid w:val="00C050A9"/>
    <w:rsid w:val="00C1157D"/>
    <w:rsid w:val="00C30D6B"/>
    <w:rsid w:val="00C339B3"/>
    <w:rsid w:val="00C63F51"/>
    <w:rsid w:val="00C877CC"/>
    <w:rsid w:val="00CB6A07"/>
    <w:rsid w:val="00CC25B3"/>
    <w:rsid w:val="00D10E93"/>
    <w:rsid w:val="00D10EC6"/>
    <w:rsid w:val="00D1741F"/>
    <w:rsid w:val="00D32CC3"/>
    <w:rsid w:val="00D42453"/>
    <w:rsid w:val="00D85912"/>
    <w:rsid w:val="00D91BC3"/>
    <w:rsid w:val="00DB538B"/>
    <w:rsid w:val="00DD1D0B"/>
    <w:rsid w:val="00DD4839"/>
    <w:rsid w:val="00E9204C"/>
    <w:rsid w:val="00EF1062"/>
    <w:rsid w:val="00F70F5C"/>
    <w:rsid w:val="00F77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B095F"/>
  <w15:chartTrackingRefBased/>
  <w15:docId w15:val="{6773BF6F-61B8-43BE-9ADF-B5E5C228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DDD"/>
    <w:pPr>
      <w:ind w:left="720"/>
      <w:contextualSpacing/>
    </w:pPr>
  </w:style>
  <w:style w:type="paragraph" w:styleId="NormalWeb">
    <w:name w:val="Normal (Web)"/>
    <w:basedOn w:val="Normal"/>
    <w:uiPriority w:val="99"/>
    <w:unhideWhenUsed/>
    <w:rsid w:val="00421DD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5Dark-Accent5">
    <w:name w:val="Grid Table 5 Dark Accent 5"/>
    <w:basedOn w:val="TableNormal"/>
    <w:uiPriority w:val="50"/>
    <w:rsid w:val="00791C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591E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2">
    <w:name w:val="Grid Table 4 Accent 2"/>
    <w:basedOn w:val="TableNormal"/>
    <w:uiPriority w:val="49"/>
    <w:rsid w:val="00591E4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C339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Header">
    <w:name w:val="header"/>
    <w:basedOn w:val="Normal"/>
    <w:link w:val="HeaderChar"/>
    <w:uiPriority w:val="99"/>
    <w:unhideWhenUsed/>
    <w:rsid w:val="005E0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C66"/>
  </w:style>
  <w:style w:type="paragraph" w:styleId="Footer">
    <w:name w:val="footer"/>
    <w:basedOn w:val="Normal"/>
    <w:link w:val="FooterChar"/>
    <w:uiPriority w:val="99"/>
    <w:unhideWhenUsed/>
    <w:rsid w:val="005E0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C66"/>
  </w:style>
  <w:style w:type="character" w:styleId="Hyperlink">
    <w:name w:val="Hyperlink"/>
    <w:basedOn w:val="DefaultParagraphFont"/>
    <w:uiPriority w:val="99"/>
    <w:unhideWhenUsed/>
    <w:rsid w:val="00C050A9"/>
    <w:rPr>
      <w:color w:val="0563C1" w:themeColor="hyperlink"/>
      <w:u w:val="single"/>
    </w:rPr>
  </w:style>
  <w:style w:type="character" w:styleId="UnresolvedMention">
    <w:name w:val="Unresolved Mention"/>
    <w:basedOn w:val="DefaultParagraphFont"/>
    <w:uiPriority w:val="99"/>
    <w:semiHidden/>
    <w:unhideWhenUsed/>
    <w:rsid w:val="00C050A9"/>
    <w:rPr>
      <w:color w:val="605E5C"/>
      <w:shd w:val="clear" w:color="auto" w:fill="E1DFDD"/>
    </w:rPr>
  </w:style>
  <w:style w:type="character" w:styleId="FollowedHyperlink">
    <w:name w:val="FollowedHyperlink"/>
    <w:basedOn w:val="DefaultParagraphFont"/>
    <w:uiPriority w:val="99"/>
    <w:semiHidden/>
    <w:unhideWhenUsed/>
    <w:rsid w:val="002C0A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70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kestaffslep.org.uk/delivering-growth/deals/growth-deal/" TargetMode="Externa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7A8131-AB71-43CA-A041-FF6123BB498E}" type="doc">
      <dgm:prSet loTypeId="urn:microsoft.com/office/officeart/2005/8/layout/chevron1" loCatId="process" qsTypeId="urn:microsoft.com/office/officeart/2005/8/quickstyle/simple1" qsCatId="simple" csTypeId="urn:microsoft.com/office/officeart/2005/8/colors/accent1_2" csCatId="accent1" phldr="1"/>
      <dgm:spPr/>
    </dgm:pt>
    <dgm:pt modelId="{8483CD2A-BB05-4B32-A9E8-3769CD700F84}">
      <dgm:prSet phldrT="[Text]"/>
      <dgm:spPr>
        <a:solidFill>
          <a:schemeClr val="bg1">
            <a:lumMod val="50000"/>
          </a:schemeClr>
        </a:solidFill>
      </dgm:spPr>
      <dgm:t>
        <a:bodyPr/>
        <a:lstStyle/>
        <a:p>
          <a:r>
            <a:rPr lang="en-GB"/>
            <a:t>Low</a:t>
          </a:r>
        </a:p>
      </dgm:t>
    </dgm:pt>
    <dgm:pt modelId="{F7158E63-AB3F-495B-B1AA-90F9C2A9AC04}" type="parTrans" cxnId="{EBB98339-4C33-4708-A633-E3FEABDCFD95}">
      <dgm:prSet/>
      <dgm:spPr/>
      <dgm:t>
        <a:bodyPr/>
        <a:lstStyle/>
        <a:p>
          <a:endParaRPr lang="en-GB"/>
        </a:p>
      </dgm:t>
    </dgm:pt>
    <dgm:pt modelId="{B7E0D56A-6289-4F5F-8E56-A8056A60BF48}" type="sibTrans" cxnId="{EBB98339-4C33-4708-A633-E3FEABDCFD95}">
      <dgm:prSet/>
      <dgm:spPr/>
      <dgm:t>
        <a:bodyPr/>
        <a:lstStyle/>
        <a:p>
          <a:endParaRPr lang="en-GB"/>
        </a:p>
      </dgm:t>
    </dgm:pt>
    <dgm:pt modelId="{6A12DAA0-5478-443C-941C-0DFDD5D31676}">
      <dgm:prSet phldrT="[Text]"/>
      <dgm:spPr>
        <a:solidFill>
          <a:schemeClr val="bg1">
            <a:lumMod val="50000"/>
          </a:schemeClr>
        </a:solidFill>
      </dgm:spPr>
      <dgm:t>
        <a:bodyPr/>
        <a:lstStyle/>
        <a:p>
          <a:r>
            <a:rPr lang="en-GB"/>
            <a:t>Medium</a:t>
          </a:r>
        </a:p>
      </dgm:t>
    </dgm:pt>
    <dgm:pt modelId="{A7AC11C3-2392-4F1F-86D1-2BDFA005E1A6}" type="parTrans" cxnId="{430C5A67-560A-415E-96CF-3EB71C68792A}">
      <dgm:prSet/>
      <dgm:spPr/>
      <dgm:t>
        <a:bodyPr/>
        <a:lstStyle/>
        <a:p>
          <a:endParaRPr lang="en-GB"/>
        </a:p>
      </dgm:t>
    </dgm:pt>
    <dgm:pt modelId="{F584875B-3F9E-49BC-AA12-984B478EC724}" type="sibTrans" cxnId="{430C5A67-560A-415E-96CF-3EB71C68792A}">
      <dgm:prSet/>
      <dgm:spPr/>
      <dgm:t>
        <a:bodyPr/>
        <a:lstStyle/>
        <a:p>
          <a:endParaRPr lang="en-GB"/>
        </a:p>
      </dgm:t>
    </dgm:pt>
    <dgm:pt modelId="{B0BA654C-FD2D-447C-8349-4C19B29ECF28}">
      <dgm:prSet phldrT="[Text]"/>
      <dgm:spPr>
        <a:solidFill>
          <a:schemeClr val="bg1">
            <a:lumMod val="50000"/>
          </a:schemeClr>
        </a:solidFill>
      </dgm:spPr>
      <dgm:t>
        <a:bodyPr/>
        <a:lstStyle/>
        <a:p>
          <a:r>
            <a:rPr lang="en-GB"/>
            <a:t>High </a:t>
          </a:r>
        </a:p>
      </dgm:t>
    </dgm:pt>
    <dgm:pt modelId="{1EB0A498-3DF0-49DD-8A52-AEAEB2C69E2E}" type="parTrans" cxnId="{E3A63DD6-3A90-4635-B4B3-E6D32789A785}">
      <dgm:prSet/>
      <dgm:spPr/>
      <dgm:t>
        <a:bodyPr/>
        <a:lstStyle/>
        <a:p>
          <a:endParaRPr lang="en-GB"/>
        </a:p>
      </dgm:t>
    </dgm:pt>
    <dgm:pt modelId="{252ED2E3-3E1C-4AAE-AA3A-7FEA151E3609}" type="sibTrans" cxnId="{E3A63DD6-3A90-4635-B4B3-E6D32789A785}">
      <dgm:prSet/>
      <dgm:spPr/>
      <dgm:t>
        <a:bodyPr/>
        <a:lstStyle/>
        <a:p>
          <a:endParaRPr lang="en-GB"/>
        </a:p>
      </dgm:t>
    </dgm:pt>
    <dgm:pt modelId="{AF74EAA3-C31C-45AC-AD13-4B04E1572F0A}" type="pres">
      <dgm:prSet presAssocID="{657A8131-AB71-43CA-A041-FF6123BB498E}" presName="Name0" presStyleCnt="0">
        <dgm:presLayoutVars>
          <dgm:dir/>
          <dgm:animLvl val="lvl"/>
          <dgm:resizeHandles val="exact"/>
        </dgm:presLayoutVars>
      </dgm:prSet>
      <dgm:spPr/>
    </dgm:pt>
    <dgm:pt modelId="{4B88E85C-9944-4A86-A4ED-B708369D51F9}" type="pres">
      <dgm:prSet presAssocID="{8483CD2A-BB05-4B32-A9E8-3769CD700F84}" presName="parTxOnly" presStyleLbl="node1" presStyleIdx="0" presStyleCnt="3" custScaleX="114761">
        <dgm:presLayoutVars>
          <dgm:chMax val="0"/>
          <dgm:chPref val="0"/>
          <dgm:bulletEnabled val="1"/>
        </dgm:presLayoutVars>
      </dgm:prSet>
      <dgm:spPr/>
    </dgm:pt>
    <dgm:pt modelId="{D9E83098-8765-421C-8BDF-85238149E7E5}" type="pres">
      <dgm:prSet presAssocID="{B7E0D56A-6289-4F5F-8E56-A8056A60BF48}" presName="parTxOnlySpace" presStyleCnt="0"/>
      <dgm:spPr/>
    </dgm:pt>
    <dgm:pt modelId="{1B7493B2-7B86-4E52-B7EE-8A3CD0B305A2}" type="pres">
      <dgm:prSet presAssocID="{6A12DAA0-5478-443C-941C-0DFDD5D31676}" presName="parTxOnly" presStyleLbl="node1" presStyleIdx="1" presStyleCnt="3" custScaleX="100682">
        <dgm:presLayoutVars>
          <dgm:chMax val="0"/>
          <dgm:chPref val="0"/>
          <dgm:bulletEnabled val="1"/>
        </dgm:presLayoutVars>
      </dgm:prSet>
      <dgm:spPr/>
    </dgm:pt>
    <dgm:pt modelId="{6D9F65C2-41A9-460C-A51F-A67C1621FFD2}" type="pres">
      <dgm:prSet presAssocID="{F584875B-3F9E-49BC-AA12-984B478EC724}" presName="parTxOnlySpace" presStyleCnt="0"/>
      <dgm:spPr/>
    </dgm:pt>
    <dgm:pt modelId="{64C1CC48-7475-4EE3-8585-8538B51D0BB9}" type="pres">
      <dgm:prSet presAssocID="{B0BA654C-FD2D-447C-8349-4C19B29ECF28}" presName="parTxOnly" presStyleLbl="node1" presStyleIdx="2" presStyleCnt="3">
        <dgm:presLayoutVars>
          <dgm:chMax val="0"/>
          <dgm:chPref val="0"/>
          <dgm:bulletEnabled val="1"/>
        </dgm:presLayoutVars>
      </dgm:prSet>
      <dgm:spPr/>
    </dgm:pt>
  </dgm:ptLst>
  <dgm:cxnLst>
    <dgm:cxn modelId="{18A14403-629C-4F78-9728-9C3981C0C537}" type="presOf" srcId="{B0BA654C-FD2D-447C-8349-4C19B29ECF28}" destId="{64C1CC48-7475-4EE3-8585-8538B51D0BB9}" srcOrd="0" destOrd="0" presId="urn:microsoft.com/office/officeart/2005/8/layout/chevron1"/>
    <dgm:cxn modelId="{4B0F9636-B18A-4CE7-8F81-A588E415D492}" type="presOf" srcId="{657A8131-AB71-43CA-A041-FF6123BB498E}" destId="{AF74EAA3-C31C-45AC-AD13-4B04E1572F0A}" srcOrd="0" destOrd="0" presId="urn:microsoft.com/office/officeart/2005/8/layout/chevron1"/>
    <dgm:cxn modelId="{47908C38-95A2-491F-8A48-37DCD02A98CA}" type="presOf" srcId="{8483CD2A-BB05-4B32-A9E8-3769CD700F84}" destId="{4B88E85C-9944-4A86-A4ED-B708369D51F9}" srcOrd="0" destOrd="0" presId="urn:microsoft.com/office/officeart/2005/8/layout/chevron1"/>
    <dgm:cxn modelId="{EBB98339-4C33-4708-A633-E3FEABDCFD95}" srcId="{657A8131-AB71-43CA-A041-FF6123BB498E}" destId="{8483CD2A-BB05-4B32-A9E8-3769CD700F84}" srcOrd="0" destOrd="0" parTransId="{F7158E63-AB3F-495B-B1AA-90F9C2A9AC04}" sibTransId="{B7E0D56A-6289-4F5F-8E56-A8056A60BF48}"/>
    <dgm:cxn modelId="{43902F3B-A28E-41A6-986F-4A824154EEB7}" type="presOf" srcId="{6A12DAA0-5478-443C-941C-0DFDD5D31676}" destId="{1B7493B2-7B86-4E52-B7EE-8A3CD0B305A2}" srcOrd="0" destOrd="0" presId="urn:microsoft.com/office/officeart/2005/8/layout/chevron1"/>
    <dgm:cxn modelId="{430C5A67-560A-415E-96CF-3EB71C68792A}" srcId="{657A8131-AB71-43CA-A041-FF6123BB498E}" destId="{6A12DAA0-5478-443C-941C-0DFDD5D31676}" srcOrd="1" destOrd="0" parTransId="{A7AC11C3-2392-4F1F-86D1-2BDFA005E1A6}" sibTransId="{F584875B-3F9E-49BC-AA12-984B478EC724}"/>
    <dgm:cxn modelId="{E3A63DD6-3A90-4635-B4B3-E6D32789A785}" srcId="{657A8131-AB71-43CA-A041-FF6123BB498E}" destId="{B0BA654C-FD2D-447C-8349-4C19B29ECF28}" srcOrd="2" destOrd="0" parTransId="{1EB0A498-3DF0-49DD-8A52-AEAEB2C69E2E}" sibTransId="{252ED2E3-3E1C-4AAE-AA3A-7FEA151E3609}"/>
    <dgm:cxn modelId="{915A4025-01C7-4C14-9598-B4203ED8812E}" type="presParOf" srcId="{AF74EAA3-C31C-45AC-AD13-4B04E1572F0A}" destId="{4B88E85C-9944-4A86-A4ED-B708369D51F9}" srcOrd="0" destOrd="0" presId="urn:microsoft.com/office/officeart/2005/8/layout/chevron1"/>
    <dgm:cxn modelId="{A55C6911-BE21-40EE-A340-8997A33862A0}" type="presParOf" srcId="{AF74EAA3-C31C-45AC-AD13-4B04E1572F0A}" destId="{D9E83098-8765-421C-8BDF-85238149E7E5}" srcOrd="1" destOrd="0" presId="urn:microsoft.com/office/officeart/2005/8/layout/chevron1"/>
    <dgm:cxn modelId="{1A3911F2-DF47-4FD4-AA5A-83BA111BE04C}" type="presParOf" srcId="{AF74EAA3-C31C-45AC-AD13-4B04E1572F0A}" destId="{1B7493B2-7B86-4E52-B7EE-8A3CD0B305A2}" srcOrd="2" destOrd="0" presId="urn:microsoft.com/office/officeart/2005/8/layout/chevron1"/>
    <dgm:cxn modelId="{434CB5B1-2647-4772-8113-55D2880FE80A}" type="presParOf" srcId="{AF74EAA3-C31C-45AC-AD13-4B04E1572F0A}" destId="{6D9F65C2-41A9-460C-A51F-A67C1621FFD2}" srcOrd="3" destOrd="0" presId="urn:microsoft.com/office/officeart/2005/8/layout/chevron1"/>
    <dgm:cxn modelId="{F5B4A47F-A5EB-4377-BD28-304D2BB74D55}" type="presParOf" srcId="{AF74EAA3-C31C-45AC-AD13-4B04E1572F0A}" destId="{64C1CC48-7475-4EE3-8585-8538B51D0BB9}" srcOrd="4" destOrd="0" presId="urn:microsoft.com/office/officeart/2005/8/layout/chevron1"/>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88E85C-9944-4A86-A4ED-B708369D51F9}">
      <dsp:nvSpPr>
        <dsp:cNvPr id="0" name=""/>
        <dsp:cNvSpPr/>
      </dsp:nvSpPr>
      <dsp:spPr>
        <a:xfrm>
          <a:off x="764" y="0"/>
          <a:ext cx="2097228" cy="247650"/>
        </a:xfrm>
        <a:prstGeom prst="chevron">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GB" sz="1400" kern="1200"/>
            <a:t>Low</a:t>
          </a:r>
        </a:p>
      </dsp:txBody>
      <dsp:txXfrm>
        <a:off x="124589" y="0"/>
        <a:ext cx="1849578" cy="247650"/>
      </dsp:txXfrm>
    </dsp:sp>
    <dsp:sp modelId="{1B7493B2-7B86-4E52-B7EE-8A3CD0B305A2}">
      <dsp:nvSpPr>
        <dsp:cNvPr id="0" name=""/>
        <dsp:cNvSpPr/>
      </dsp:nvSpPr>
      <dsp:spPr>
        <a:xfrm>
          <a:off x="1915245" y="0"/>
          <a:ext cx="1839937" cy="247650"/>
        </a:xfrm>
        <a:prstGeom prst="chevron">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GB" sz="1400" kern="1200"/>
            <a:t>Medium</a:t>
          </a:r>
        </a:p>
      </dsp:txBody>
      <dsp:txXfrm>
        <a:off x="2039070" y="0"/>
        <a:ext cx="1592287" cy="247650"/>
      </dsp:txXfrm>
    </dsp:sp>
    <dsp:sp modelId="{64C1CC48-7475-4EE3-8585-8538B51D0BB9}">
      <dsp:nvSpPr>
        <dsp:cNvPr id="0" name=""/>
        <dsp:cNvSpPr/>
      </dsp:nvSpPr>
      <dsp:spPr>
        <a:xfrm>
          <a:off x="3572435" y="0"/>
          <a:ext cx="1827474" cy="247650"/>
        </a:xfrm>
        <a:prstGeom prst="chevron">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GB" sz="1400" kern="1200"/>
            <a:t>High </a:t>
          </a:r>
        </a:p>
      </dsp:txBody>
      <dsp:txXfrm>
        <a:off x="3696260" y="0"/>
        <a:ext cx="1579824" cy="24765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Vining, Jonathan (E,I&amp;S)</dc:creator>
  <cp:keywords/>
  <dc:description/>
  <cp:lastModifiedBy>Palphreyman, Sharon (Corporate)</cp:lastModifiedBy>
  <cp:revision>23</cp:revision>
  <dcterms:created xsi:type="dcterms:W3CDTF">2022-01-10T10:40:00Z</dcterms:created>
  <dcterms:modified xsi:type="dcterms:W3CDTF">2022-01-10T14:37:00Z</dcterms:modified>
</cp:coreProperties>
</file>