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3E7F6" w14:textId="7123E640" w:rsidR="00E8685D" w:rsidRPr="00E8685D" w:rsidRDefault="00E8685D" w:rsidP="00E8685D">
      <w:pPr>
        <w:jc w:val="right"/>
        <w:rPr>
          <w:rFonts w:ascii="Verdana" w:hAnsi="Verdana"/>
          <w:sz w:val="24"/>
          <w:szCs w:val="24"/>
        </w:rPr>
      </w:pPr>
      <w:r w:rsidRPr="00E8685D">
        <w:rPr>
          <w:rFonts w:ascii="Verdana" w:hAnsi="Verdana"/>
          <w:sz w:val="24"/>
          <w:szCs w:val="24"/>
        </w:rPr>
        <w:t xml:space="preserve">Item </w:t>
      </w:r>
      <w:r w:rsidR="00FD2110">
        <w:rPr>
          <w:rFonts w:ascii="Verdana" w:hAnsi="Verdana"/>
          <w:sz w:val="24"/>
          <w:szCs w:val="24"/>
        </w:rPr>
        <w:t>7</w:t>
      </w:r>
    </w:p>
    <w:p w14:paraId="76806CD3" w14:textId="4BE33563" w:rsidR="009B10BE" w:rsidRPr="000A133A" w:rsidRDefault="008F79C9" w:rsidP="000A133A">
      <w:pPr>
        <w:jc w:val="center"/>
        <w:rPr>
          <w:rFonts w:ascii="Verdana" w:hAnsi="Verdana"/>
          <w:b/>
          <w:bCs/>
          <w:sz w:val="24"/>
          <w:szCs w:val="24"/>
        </w:rPr>
      </w:pPr>
      <w:r w:rsidRPr="000A133A">
        <w:rPr>
          <w:rFonts w:ascii="Verdana" w:hAnsi="Verdana"/>
          <w:b/>
          <w:bCs/>
          <w:sz w:val="24"/>
          <w:szCs w:val="24"/>
        </w:rPr>
        <w:t>STOKE &amp; STAFFS LOCAL ENTERPRISE PARTNERSHIP</w:t>
      </w:r>
    </w:p>
    <w:p w14:paraId="0487014F" w14:textId="4A2034A8" w:rsidR="008F79C9" w:rsidRPr="000A133A" w:rsidRDefault="008F79C9" w:rsidP="000A133A">
      <w:pPr>
        <w:jc w:val="center"/>
        <w:rPr>
          <w:rFonts w:ascii="Verdana" w:hAnsi="Verdana"/>
          <w:b/>
          <w:bCs/>
          <w:sz w:val="24"/>
          <w:szCs w:val="24"/>
        </w:rPr>
      </w:pPr>
      <w:r w:rsidRPr="000A133A">
        <w:rPr>
          <w:rFonts w:ascii="Verdana" w:hAnsi="Verdana"/>
          <w:b/>
          <w:bCs/>
          <w:sz w:val="24"/>
          <w:szCs w:val="24"/>
        </w:rPr>
        <w:t>STRATEGIC PROGRAMME MANAGEMENT GROUP</w:t>
      </w:r>
    </w:p>
    <w:p w14:paraId="5090E3E7" w14:textId="59242A9F" w:rsidR="008F79C9" w:rsidRPr="000A133A" w:rsidRDefault="00FD2110" w:rsidP="000A133A">
      <w:pPr>
        <w:jc w:val="center"/>
        <w:rPr>
          <w:rFonts w:ascii="Verdana" w:hAnsi="Verdana"/>
          <w:b/>
          <w:bCs/>
          <w:sz w:val="24"/>
          <w:szCs w:val="24"/>
        </w:rPr>
      </w:pPr>
      <w:r>
        <w:rPr>
          <w:rFonts w:ascii="Verdana" w:hAnsi="Verdana"/>
          <w:b/>
          <w:bCs/>
          <w:sz w:val="24"/>
          <w:szCs w:val="24"/>
        </w:rPr>
        <w:t>8</w:t>
      </w:r>
      <w:r w:rsidRPr="00FD2110">
        <w:rPr>
          <w:rFonts w:ascii="Verdana" w:hAnsi="Verdana"/>
          <w:b/>
          <w:bCs/>
          <w:sz w:val="24"/>
          <w:szCs w:val="24"/>
          <w:vertAlign w:val="superscript"/>
        </w:rPr>
        <w:t>th</w:t>
      </w:r>
      <w:r>
        <w:rPr>
          <w:rFonts w:ascii="Verdana" w:hAnsi="Verdana"/>
          <w:b/>
          <w:bCs/>
          <w:sz w:val="24"/>
          <w:szCs w:val="24"/>
        </w:rPr>
        <w:t xml:space="preserve"> February</w:t>
      </w:r>
      <w:r w:rsidR="008F79C9" w:rsidRPr="000A133A">
        <w:rPr>
          <w:rFonts w:ascii="Verdana" w:hAnsi="Verdana"/>
          <w:b/>
          <w:bCs/>
          <w:sz w:val="24"/>
          <w:szCs w:val="24"/>
        </w:rPr>
        <w:t xml:space="preserve"> 202</w:t>
      </w:r>
      <w:r>
        <w:rPr>
          <w:rFonts w:ascii="Verdana" w:hAnsi="Verdana"/>
          <w:b/>
          <w:bCs/>
          <w:sz w:val="24"/>
          <w:szCs w:val="24"/>
        </w:rPr>
        <w:t>2</w:t>
      </w:r>
    </w:p>
    <w:p w14:paraId="497D4711" w14:textId="661C43BF" w:rsidR="008F79C9" w:rsidRDefault="008F79C9">
      <w:pPr>
        <w:rPr>
          <w:rFonts w:ascii="Verdana" w:hAnsi="Verdana"/>
          <w:sz w:val="24"/>
          <w:szCs w:val="24"/>
        </w:rPr>
      </w:pPr>
    </w:p>
    <w:p w14:paraId="655FD7CB" w14:textId="062BE31F" w:rsidR="008F79C9" w:rsidRPr="000A133A" w:rsidRDefault="008F79C9" w:rsidP="000A133A">
      <w:pPr>
        <w:jc w:val="center"/>
        <w:rPr>
          <w:rFonts w:ascii="Verdana" w:hAnsi="Verdana"/>
          <w:b/>
          <w:bCs/>
          <w:sz w:val="24"/>
          <w:szCs w:val="24"/>
        </w:rPr>
      </w:pPr>
      <w:r w:rsidRPr="000A133A">
        <w:rPr>
          <w:rFonts w:ascii="Verdana" w:hAnsi="Verdana"/>
          <w:b/>
          <w:bCs/>
          <w:sz w:val="24"/>
          <w:szCs w:val="24"/>
        </w:rPr>
        <w:t xml:space="preserve">LGF / </w:t>
      </w:r>
      <w:r w:rsidR="00FD2110">
        <w:rPr>
          <w:rFonts w:ascii="Verdana" w:hAnsi="Verdana"/>
          <w:b/>
          <w:bCs/>
          <w:sz w:val="24"/>
          <w:szCs w:val="24"/>
        </w:rPr>
        <w:t xml:space="preserve">City Deal / </w:t>
      </w:r>
      <w:r w:rsidRPr="000A133A">
        <w:rPr>
          <w:rFonts w:ascii="Verdana" w:hAnsi="Verdana"/>
          <w:b/>
          <w:bCs/>
          <w:sz w:val="24"/>
          <w:szCs w:val="24"/>
        </w:rPr>
        <w:t xml:space="preserve">GBF </w:t>
      </w:r>
      <w:r w:rsidR="00FD2110">
        <w:rPr>
          <w:rFonts w:ascii="Verdana" w:hAnsi="Verdana"/>
          <w:b/>
          <w:bCs/>
          <w:sz w:val="24"/>
          <w:szCs w:val="24"/>
        </w:rPr>
        <w:t>– Finance Update</w:t>
      </w:r>
    </w:p>
    <w:p w14:paraId="4010D277" w14:textId="3616ECB0" w:rsidR="008F79C9" w:rsidRDefault="008F79C9">
      <w:pPr>
        <w:rPr>
          <w:rFonts w:ascii="Verdana" w:hAnsi="Verdana"/>
          <w:sz w:val="24"/>
          <w:szCs w:val="24"/>
        </w:rPr>
      </w:pPr>
    </w:p>
    <w:p w14:paraId="2882E6CB" w14:textId="693DC006" w:rsidR="00FD2110" w:rsidRDefault="00FD2110">
      <w:pPr>
        <w:rPr>
          <w:rFonts w:ascii="Verdana" w:hAnsi="Verdana"/>
          <w:sz w:val="24"/>
          <w:szCs w:val="24"/>
        </w:rPr>
      </w:pPr>
      <w:r>
        <w:rPr>
          <w:rFonts w:ascii="Verdana" w:hAnsi="Verdana"/>
          <w:sz w:val="24"/>
          <w:szCs w:val="24"/>
        </w:rPr>
        <w:t>The latest financial position for the above capital schemes will be shown on the Q3 Finance Dashboard</w:t>
      </w:r>
      <w:r w:rsidR="00D6730F">
        <w:rPr>
          <w:rFonts w:ascii="Verdana" w:hAnsi="Verdana"/>
          <w:sz w:val="24"/>
          <w:szCs w:val="24"/>
        </w:rPr>
        <w:t>. A summary</w:t>
      </w:r>
      <w:r w:rsidR="00BF4EC4">
        <w:rPr>
          <w:rFonts w:ascii="Verdana" w:hAnsi="Verdana"/>
          <w:sz w:val="24"/>
          <w:szCs w:val="24"/>
        </w:rPr>
        <w:t xml:space="preserve"> </w:t>
      </w:r>
      <w:r w:rsidR="00263434">
        <w:rPr>
          <w:rFonts w:ascii="Verdana" w:hAnsi="Verdana"/>
          <w:sz w:val="24"/>
          <w:szCs w:val="24"/>
        </w:rPr>
        <w:t>is: -</w:t>
      </w:r>
    </w:p>
    <w:p w14:paraId="6D872C80" w14:textId="77777777" w:rsidR="00BF4EC4" w:rsidRDefault="00BF4EC4">
      <w:pPr>
        <w:rPr>
          <w:rFonts w:ascii="Verdana" w:hAnsi="Verdana"/>
          <w:b/>
          <w:bCs/>
          <w:sz w:val="24"/>
          <w:szCs w:val="24"/>
        </w:rPr>
      </w:pPr>
    </w:p>
    <w:p w14:paraId="5C913B8B" w14:textId="48548535" w:rsidR="008F79C9" w:rsidRPr="000A133A" w:rsidRDefault="008F79C9">
      <w:pPr>
        <w:rPr>
          <w:rFonts w:ascii="Verdana" w:hAnsi="Verdana"/>
          <w:b/>
          <w:bCs/>
          <w:sz w:val="24"/>
          <w:szCs w:val="24"/>
        </w:rPr>
      </w:pPr>
      <w:r w:rsidRPr="000A133A">
        <w:rPr>
          <w:rFonts w:ascii="Verdana" w:hAnsi="Verdana"/>
          <w:b/>
          <w:bCs/>
          <w:sz w:val="24"/>
          <w:szCs w:val="24"/>
        </w:rPr>
        <w:t>LGF</w:t>
      </w:r>
    </w:p>
    <w:p w14:paraId="076A649F" w14:textId="236A2CCB" w:rsidR="005D0962" w:rsidRDefault="00FD2110" w:rsidP="00FD2110">
      <w:pPr>
        <w:rPr>
          <w:rFonts w:ascii="Verdana" w:hAnsi="Verdana"/>
          <w:sz w:val="24"/>
          <w:szCs w:val="24"/>
        </w:rPr>
      </w:pPr>
      <w:r>
        <w:rPr>
          <w:rFonts w:ascii="Verdana" w:hAnsi="Verdana"/>
          <w:sz w:val="24"/>
          <w:szCs w:val="24"/>
        </w:rPr>
        <w:t xml:space="preserve">The DfT retained scheme where the funding was being held by the SSLEP, Etruria Valley, has now claimed </w:t>
      </w:r>
      <w:r w:rsidR="008F29AD">
        <w:rPr>
          <w:rFonts w:ascii="Verdana" w:hAnsi="Verdana"/>
          <w:sz w:val="24"/>
          <w:szCs w:val="24"/>
        </w:rPr>
        <w:t>all</w:t>
      </w:r>
      <w:r>
        <w:rPr>
          <w:rFonts w:ascii="Verdana" w:hAnsi="Verdana"/>
          <w:sz w:val="24"/>
          <w:szCs w:val="24"/>
        </w:rPr>
        <w:t xml:space="preserve"> </w:t>
      </w:r>
      <w:r w:rsidR="00BF4EC4">
        <w:rPr>
          <w:rFonts w:ascii="Verdana" w:hAnsi="Verdana"/>
          <w:sz w:val="24"/>
          <w:szCs w:val="24"/>
        </w:rPr>
        <w:t>its</w:t>
      </w:r>
      <w:r>
        <w:rPr>
          <w:rFonts w:ascii="Verdana" w:hAnsi="Verdana"/>
          <w:sz w:val="24"/>
          <w:szCs w:val="24"/>
        </w:rPr>
        <w:t xml:space="preserve"> available grant funding, a total of £13.741m in 21/22.</w:t>
      </w:r>
    </w:p>
    <w:p w14:paraId="06DA88C9" w14:textId="4EC4FF52" w:rsidR="00FD2110" w:rsidRDefault="00FD2110" w:rsidP="00FD2110">
      <w:pPr>
        <w:rPr>
          <w:rFonts w:ascii="Verdana" w:hAnsi="Verdana"/>
          <w:sz w:val="24"/>
          <w:szCs w:val="24"/>
        </w:rPr>
      </w:pPr>
      <w:r>
        <w:rPr>
          <w:rFonts w:ascii="Verdana" w:hAnsi="Verdana"/>
          <w:sz w:val="24"/>
          <w:szCs w:val="24"/>
        </w:rPr>
        <w:t>All LGF grant has now been expended.</w:t>
      </w:r>
    </w:p>
    <w:p w14:paraId="31241C01" w14:textId="77777777" w:rsidR="00FD2110" w:rsidRDefault="00FD2110" w:rsidP="0082799A">
      <w:pPr>
        <w:rPr>
          <w:rFonts w:ascii="Verdana" w:hAnsi="Verdana"/>
          <w:b/>
          <w:bCs/>
          <w:sz w:val="24"/>
          <w:szCs w:val="24"/>
        </w:rPr>
      </w:pPr>
    </w:p>
    <w:p w14:paraId="67C4EDCB" w14:textId="39ACB18C" w:rsidR="0082799A" w:rsidRPr="00FD2110" w:rsidRDefault="00FD2110" w:rsidP="0082799A">
      <w:pPr>
        <w:rPr>
          <w:rFonts w:ascii="Verdana" w:hAnsi="Verdana"/>
          <w:b/>
          <w:bCs/>
          <w:sz w:val="24"/>
          <w:szCs w:val="24"/>
        </w:rPr>
      </w:pPr>
      <w:r w:rsidRPr="00FD2110">
        <w:rPr>
          <w:rFonts w:ascii="Verdana" w:hAnsi="Verdana"/>
          <w:b/>
          <w:bCs/>
          <w:sz w:val="24"/>
          <w:szCs w:val="24"/>
        </w:rPr>
        <w:t>CITY DEAL</w:t>
      </w:r>
    </w:p>
    <w:p w14:paraId="7EB9B9B9" w14:textId="7120EBCF" w:rsidR="00FD2110" w:rsidRPr="00FD2110" w:rsidRDefault="00FD2110" w:rsidP="0082799A">
      <w:pPr>
        <w:rPr>
          <w:rFonts w:ascii="Verdana" w:hAnsi="Verdana"/>
          <w:sz w:val="24"/>
          <w:szCs w:val="24"/>
        </w:rPr>
      </w:pPr>
      <w:r w:rsidRPr="00FD2110">
        <w:rPr>
          <w:rFonts w:ascii="Verdana" w:hAnsi="Verdana"/>
          <w:sz w:val="24"/>
          <w:szCs w:val="24"/>
        </w:rPr>
        <w:t>The final City Deal scheme</w:t>
      </w:r>
      <w:r>
        <w:rPr>
          <w:rFonts w:ascii="Verdana" w:hAnsi="Verdana"/>
          <w:sz w:val="24"/>
          <w:szCs w:val="24"/>
        </w:rPr>
        <w:t>, Stoke District Heat Network, is forecast to spend £</w:t>
      </w:r>
      <w:r w:rsidR="00A021FD">
        <w:rPr>
          <w:rFonts w:ascii="Verdana" w:hAnsi="Verdana"/>
          <w:sz w:val="24"/>
          <w:szCs w:val="24"/>
        </w:rPr>
        <w:t>2</w:t>
      </w:r>
      <w:r w:rsidR="00BF4EC4">
        <w:rPr>
          <w:rFonts w:ascii="Verdana" w:hAnsi="Verdana"/>
          <w:sz w:val="24"/>
          <w:szCs w:val="24"/>
        </w:rPr>
        <w:t>m</w:t>
      </w:r>
      <w:r>
        <w:rPr>
          <w:rFonts w:ascii="Verdana" w:hAnsi="Verdana"/>
          <w:sz w:val="24"/>
          <w:szCs w:val="24"/>
        </w:rPr>
        <w:t xml:space="preserve"> in 21/22 of its remaining grant allocation of £4.320m. the balance will be carried forward into 22/23.</w:t>
      </w:r>
    </w:p>
    <w:p w14:paraId="6CC14A34" w14:textId="77777777" w:rsidR="00FD2110" w:rsidRDefault="00FD2110" w:rsidP="0082799A">
      <w:pPr>
        <w:rPr>
          <w:rFonts w:ascii="Verdana" w:hAnsi="Verdana"/>
          <w:b/>
          <w:bCs/>
          <w:sz w:val="24"/>
          <w:szCs w:val="24"/>
        </w:rPr>
      </w:pPr>
    </w:p>
    <w:p w14:paraId="16236CFE" w14:textId="60F687B6" w:rsidR="0082799A" w:rsidRPr="000A133A" w:rsidRDefault="0082799A" w:rsidP="0082799A">
      <w:pPr>
        <w:rPr>
          <w:rFonts w:ascii="Verdana" w:hAnsi="Verdana"/>
          <w:b/>
          <w:bCs/>
          <w:sz w:val="24"/>
          <w:szCs w:val="24"/>
        </w:rPr>
      </w:pPr>
      <w:r w:rsidRPr="000A133A">
        <w:rPr>
          <w:rFonts w:ascii="Verdana" w:hAnsi="Verdana"/>
          <w:b/>
          <w:bCs/>
          <w:sz w:val="24"/>
          <w:szCs w:val="24"/>
        </w:rPr>
        <w:t>GBF</w:t>
      </w:r>
    </w:p>
    <w:p w14:paraId="4EDEA5D9" w14:textId="56157964" w:rsidR="00234E34" w:rsidRDefault="00FD2110" w:rsidP="0082799A">
      <w:pPr>
        <w:rPr>
          <w:rFonts w:ascii="Verdana" w:hAnsi="Verdana"/>
          <w:sz w:val="24"/>
          <w:szCs w:val="24"/>
        </w:rPr>
      </w:pPr>
      <w:r>
        <w:rPr>
          <w:rFonts w:ascii="Verdana" w:hAnsi="Verdana"/>
          <w:sz w:val="24"/>
          <w:szCs w:val="24"/>
        </w:rPr>
        <w:t xml:space="preserve">The transfer agreement in respect of </w:t>
      </w:r>
      <w:proofErr w:type="spellStart"/>
      <w:r>
        <w:rPr>
          <w:rFonts w:ascii="Verdana" w:hAnsi="Verdana"/>
          <w:sz w:val="24"/>
          <w:szCs w:val="24"/>
        </w:rPr>
        <w:t>Drakelow</w:t>
      </w:r>
      <w:proofErr w:type="spellEnd"/>
      <w:r>
        <w:rPr>
          <w:rFonts w:ascii="Verdana" w:hAnsi="Verdana"/>
          <w:sz w:val="24"/>
          <w:szCs w:val="24"/>
        </w:rPr>
        <w:t xml:space="preserve"> Park has now been signed by all parties, and the funding of £5</w:t>
      </w:r>
      <w:r w:rsidR="00907E45">
        <w:rPr>
          <w:rFonts w:ascii="Verdana" w:hAnsi="Verdana"/>
          <w:sz w:val="24"/>
          <w:szCs w:val="24"/>
        </w:rPr>
        <w:t>.050</w:t>
      </w:r>
      <w:r>
        <w:rPr>
          <w:rFonts w:ascii="Verdana" w:hAnsi="Verdana"/>
          <w:sz w:val="24"/>
          <w:szCs w:val="24"/>
        </w:rPr>
        <w:t>m has been transferred to the D2N2 LEP.</w:t>
      </w:r>
    </w:p>
    <w:p w14:paraId="128794CC" w14:textId="54F00B05" w:rsidR="00B8560F" w:rsidRDefault="00B8560F" w:rsidP="0082799A">
      <w:pPr>
        <w:rPr>
          <w:rFonts w:ascii="Verdana" w:hAnsi="Verdana"/>
          <w:sz w:val="24"/>
          <w:szCs w:val="24"/>
        </w:rPr>
      </w:pPr>
      <w:r>
        <w:rPr>
          <w:rFonts w:ascii="Verdana" w:hAnsi="Verdana"/>
          <w:sz w:val="24"/>
          <w:szCs w:val="24"/>
        </w:rPr>
        <w:t>The latest spend / forecast / c/fwd. position on the GBF schemes is</w:t>
      </w:r>
      <w:r w:rsidR="00512FC9">
        <w:rPr>
          <w:rFonts w:ascii="Verdana" w:hAnsi="Verdana"/>
          <w:sz w:val="24"/>
          <w:szCs w:val="24"/>
        </w:rPr>
        <w:t xml:space="preserve"> shown below</w:t>
      </w:r>
      <w:r>
        <w:rPr>
          <w:rFonts w:ascii="Verdana" w:hAnsi="Verdana"/>
          <w:sz w:val="24"/>
          <w:szCs w:val="24"/>
        </w:rPr>
        <w:t xml:space="preserve"> at Appendix 1 for information.</w:t>
      </w:r>
    </w:p>
    <w:p w14:paraId="587FB75F" w14:textId="67ECABF3" w:rsidR="00A01A6B" w:rsidRDefault="00487C2D" w:rsidP="00A01A6B">
      <w:pPr>
        <w:rPr>
          <w:rFonts w:ascii="Verdana" w:hAnsi="Verdana"/>
          <w:sz w:val="24"/>
          <w:szCs w:val="24"/>
        </w:rPr>
      </w:pPr>
      <w:r>
        <w:rPr>
          <w:rFonts w:ascii="Verdana" w:hAnsi="Verdana"/>
          <w:sz w:val="24"/>
          <w:szCs w:val="24"/>
        </w:rPr>
        <w:t>Following the decision of SPMG to withdraw the grant GBF funding from the Cornhill scheme</w:t>
      </w:r>
      <w:r w:rsidR="006D6CCE">
        <w:rPr>
          <w:rFonts w:ascii="Verdana" w:hAnsi="Verdana"/>
          <w:sz w:val="24"/>
          <w:szCs w:val="24"/>
        </w:rPr>
        <w:t xml:space="preserve">, </w:t>
      </w:r>
      <w:r w:rsidR="008F29AD">
        <w:rPr>
          <w:rFonts w:ascii="Verdana" w:hAnsi="Verdana"/>
          <w:sz w:val="24"/>
          <w:szCs w:val="24"/>
        </w:rPr>
        <w:t>to</w:t>
      </w:r>
      <w:r w:rsidR="00CC69DB">
        <w:rPr>
          <w:rFonts w:ascii="Verdana" w:hAnsi="Verdana"/>
          <w:sz w:val="24"/>
          <w:szCs w:val="24"/>
        </w:rPr>
        <w:t xml:space="preserve"> maximise GBF grant spend and as agreed at</w:t>
      </w:r>
      <w:r w:rsidR="00B22223">
        <w:rPr>
          <w:rFonts w:ascii="Verdana" w:hAnsi="Verdana"/>
          <w:sz w:val="24"/>
          <w:szCs w:val="24"/>
        </w:rPr>
        <w:t xml:space="preserve"> SPMG in December, </w:t>
      </w:r>
      <w:r w:rsidR="006D6CCE">
        <w:rPr>
          <w:rFonts w:ascii="Verdana" w:hAnsi="Verdana"/>
          <w:sz w:val="24"/>
          <w:szCs w:val="24"/>
        </w:rPr>
        <w:t>the grant has been reallocated to the three schemes</w:t>
      </w:r>
      <w:r w:rsidR="00D55CD7">
        <w:rPr>
          <w:rFonts w:ascii="Verdana" w:hAnsi="Verdana"/>
          <w:sz w:val="24"/>
          <w:szCs w:val="24"/>
        </w:rPr>
        <w:t xml:space="preserve"> who were due to receive both</w:t>
      </w:r>
      <w:r w:rsidR="00D8396A">
        <w:rPr>
          <w:rFonts w:ascii="Verdana" w:hAnsi="Verdana"/>
          <w:sz w:val="24"/>
          <w:szCs w:val="24"/>
        </w:rPr>
        <w:t xml:space="preserve"> GBF and SSLEP reserve funding</w:t>
      </w:r>
      <w:r w:rsidR="00666727">
        <w:rPr>
          <w:rFonts w:ascii="Verdana" w:hAnsi="Verdana"/>
          <w:sz w:val="24"/>
          <w:szCs w:val="24"/>
        </w:rPr>
        <w:t xml:space="preserve"> (Church St</w:t>
      </w:r>
      <w:r w:rsidR="009F25C9">
        <w:rPr>
          <w:rFonts w:ascii="Verdana" w:hAnsi="Verdana"/>
          <w:sz w:val="24"/>
          <w:szCs w:val="24"/>
        </w:rPr>
        <w:t xml:space="preserve">. Gaming Hub / Cleveland </w:t>
      </w:r>
      <w:r w:rsidR="006A2A66">
        <w:rPr>
          <w:rFonts w:ascii="Verdana" w:hAnsi="Verdana"/>
          <w:sz w:val="24"/>
          <w:szCs w:val="24"/>
        </w:rPr>
        <w:t>F</w:t>
      </w:r>
      <w:r w:rsidR="009F25C9">
        <w:rPr>
          <w:rFonts w:ascii="Verdana" w:hAnsi="Verdana"/>
          <w:sz w:val="24"/>
          <w:szCs w:val="24"/>
        </w:rPr>
        <w:t>uture S</w:t>
      </w:r>
      <w:r w:rsidR="006A2A66">
        <w:rPr>
          <w:rFonts w:ascii="Verdana" w:hAnsi="Verdana"/>
          <w:sz w:val="24"/>
          <w:szCs w:val="24"/>
        </w:rPr>
        <w:t>kills Hub / SEF G JCB Robotics</w:t>
      </w:r>
      <w:r w:rsidR="00B5043A">
        <w:rPr>
          <w:rFonts w:ascii="Verdana" w:hAnsi="Verdana"/>
          <w:sz w:val="24"/>
          <w:szCs w:val="24"/>
        </w:rPr>
        <w:t>)</w:t>
      </w:r>
      <w:r w:rsidR="009B1D39">
        <w:rPr>
          <w:rFonts w:ascii="Verdana" w:hAnsi="Verdana"/>
          <w:sz w:val="24"/>
          <w:szCs w:val="24"/>
        </w:rPr>
        <w:t>. No SSLEP reserve funding</w:t>
      </w:r>
      <w:r w:rsidR="00BB0638">
        <w:rPr>
          <w:rFonts w:ascii="Verdana" w:hAnsi="Verdana"/>
          <w:sz w:val="24"/>
          <w:szCs w:val="24"/>
        </w:rPr>
        <w:t xml:space="preserve"> is now required to finance the remaining GBF programme.</w:t>
      </w:r>
      <w:r w:rsidR="00986A35">
        <w:rPr>
          <w:rFonts w:ascii="Verdana" w:hAnsi="Verdana"/>
          <w:sz w:val="24"/>
          <w:szCs w:val="24"/>
        </w:rPr>
        <w:t xml:space="preserve"> Following reallocation of the GBF Grant, £0.</w:t>
      </w:r>
      <w:r w:rsidR="0095047F">
        <w:rPr>
          <w:rFonts w:ascii="Verdana" w:hAnsi="Verdana"/>
          <w:sz w:val="24"/>
          <w:szCs w:val="24"/>
        </w:rPr>
        <w:t xml:space="preserve">052m of grant is </w:t>
      </w:r>
      <w:r w:rsidR="0095047F">
        <w:rPr>
          <w:rFonts w:ascii="Verdana" w:hAnsi="Verdana"/>
          <w:sz w:val="24"/>
          <w:szCs w:val="24"/>
        </w:rPr>
        <w:lastRenderedPageBreak/>
        <w:t>now unallocated</w:t>
      </w:r>
      <w:r w:rsidR="005164AD">
        <w:rPr>
          <w:rFonts w:ascii="Verdana" w:hAnsi="Verdana"/>
          <w:sz w:val="24"/>
          <w:szCs w:val="24"/>
        </w:rPr>
        <w:t xml:space="preserve"> and will be carried forward as part of the slippage referred to in the paragraph below for use in 22/23.</w:t>
      </w:r>
    </w:p>
    <w:p w14:paraId="4E6B32B7" w14:textId="18F1B68A" w:rsidR="0003229D" w:rsidRDefault="00547BBA" w:rsidP="00A01A6B">
      <w:pPr>
        <w:rPr>
          <w:rFonts w:ascii="Verdana" w:hAnsi="Verdana"/>
          <w:sz w:val="24"/>
          <w:szCs w:val="24"/>
        </w:rPr>
      </w:pPr>
      <w:r>
        <w:rPr>
          <w:rFonts w:ascii="Verdana" w:hAnsi="Verdana"/>
          <w:sz w:val="24"/>
          <w:szCs w:val="24"/>
        </w:rPr>
        <w:t xml:space="preserve">Latest </w:t>
      </w:r>
      <w:r w:rsidR="002809EC">
        <w:rPr>
          <w:rFonts w:ascii="Verdana" w:hAnsi="Verdana"/>
          <w:sz w:val="24"/>
          <w:szCs w:val="24"/>
        </w:rPr>
        <w:t>grants</w:t>
      </w:r>
      <w:r>
        <w:rPr>
          <w:rFonts w:ascii="Verdana" w:hAnsi="Verdana"/>
          <w:sz w:val="24"/>
          <w:szCs w:val="24"/>
        </w:rPr>
        <w:t xml:space="preserve"> spend at Q3 is £</w:t>
      </w:r>
      <w:r w:rsidR="00D07288">
        <w:rPr>
          <w:rFonts w:ascii="Verdana" w:hAnsi="Verdana"/>
          <w:sz w:val="24"/>
          <w:szCs w:val="24"/>
        </w:rPr>
        <w:t>6.021m, out of total remaining gra</w:t>
      </w:r>
      <w:r w:rsidR="00EA0C87">
        <w:rPr>
          <w:rFonts w:ascii="Verdana" w:hAnsi="Verdana"/>
          <w:sz w:val="24"/>
          <w:szCs w:val="24"/>
        </w:rPr>
        <w:t>nt of £13.290m.</w:t>
      </w:r>
      <w:r w:rsidR="00214471">
        <w:rPr>
          <w:rFonts w:ascii="Verdana" w:hAnsi="Verdana"/>
          <w:sz w:val="24"/>
          <w:szCs w:val="24"/>
        </w:rPr>
        <w:t xml:space="preserve"> </w:t>
      </w:r>
      <w:r w:rsidR="00E11328">
        <w:rPr>
          <w:rFonts w:ascii="Verdana" w:hAnsi="Verdana"/>
          <w:sz w:val="24"/>
          <w:szCs w:val="24"/>
        </w:rPr>
        <w:t>Six of the thirteen schemes remaining in the programme have fully drawn down their GBF grant allocations</w:t>
      </w:r>
      <w:r w:rsidR="00847D4C">
        <w:rPr>
          <w:rFonts w:ascii="Verdana" w:hAnsi="Verdana"/>
          <w:sz w:val="24"/>
          <w:szCs w:val="24"/>
        </w:rPr>
        <w:t xml:space="preserve">. </w:t>
      </w:r>
      <w:r w:rsidR="003D3F5E">
        <w:rPr>
          <w:rFonts w:ascii="Verdana" w:hAnsi="Verdana"/>
          <w:sz w:val="24"/>
          <w:szCs w:val="24"/>
        </w:rPr>
        <w:t xml:space="preserve">The </w:t>
      </w:r>
      <w:r w:rsidR="00A566A3">
        <w:rPr>
          <w:rFonts w:ascii="Verdana" w:hAnsi="Verdana"/>
          <w:sz w:val="24"/>
          <w:szCs w:val="24"/>
        </w:rPr>
        <w:t>current forecast slippage is £2.584m</w:t>
      </w:r>
      <w:r w:rsidR="0080568E">
        <w:rPr>
          <w:rFonts w:ascii="Verdana" w:hAnsi="Verdana"/>
          <w:sz w:val="24"/>
          <w:szCs w:val="24"/>
        </w:rPr>
        <w:t>, which has increased</w:t>
      </w:r>
      <w:r w:rsidR="00136792">
        <w:rPr>
          <w:rFonts w:ascii="Verdana" w:hAnsi="Verdana"/>
          <w:sz w:val="24"/>
          <w:szCs w:val="24"/>
        </w:rPr>
        <w:t xml:space="preserve"> from circa</w:t>
      </w:r>
      <w:r w:rsidR="00CE0DDE">
        <w:rPr>
          <w:rFonts w:ascii="Verdana" w:hAnsi="Verdana"/>
          <w:sz w:val="24"/>
          <w:szCs w:val="24"/>
        </w:rPr>
        <w:t xml:space="preserve"> £2m reported in December</w:t>
      </w:r>
      <w:r w:rsidR="00CB0FBA">
        <w:rPr>
          <w:rFonts w:ascii="Verdana" w:hAnsi="Verdana"/>
          <w:sz w:val="24"/>
          <w:szCs w:val="24"/>
        </w:rPr>
        <w:t>, primarily due to further forecast slippage on Keele IC</w:t>
      </w:r>
      <w:r w:rsidR="00837A3A">
        <w:rPr>
          <w:rFonts w:ascii="Verdana" w:hAnsi="Verdana"/>
          <w:sz w:val="24"/>
          <w:szCs w:val="24"/>
        </w:rPr>
        <w:t xml:space="preserve">7 </w:t>
      </w:r>
      <w:r w:rsidR="003332AD">
        <w:rPr>
          <w:rFonts w:ascii="Verdana" w:hAnsi="Verdana"/>
          <w:sz w:val="24"/>
          <w:szCs w:val="24"/>
        </w:rPr>
        <w:t>of £</w:t>
      </w:r>
      <w:r w:rsidR="00D865ED">
        <w:rPr>
          <w:rFonts w:ascii="Verdana" w:hAnsi="Verdana"/>
          <w:sz w:val="24"/>
          <w:szCs w:val="24"/>
        </w:rPr>
        <w:t xml:space="preserve">1m </w:t>
      </w:r>
      <w:r w:rsidR="00837A3A">
        <w:rPr>
          <w:rFonts w:ascii="Verdana" w:hAnsi="Verdana"/>
          <w:sz w:val="24"/>
          <w:szCs w:val="24"/>
        </w:rPr>
        <w:t>due to</w:t>
      </w:r>
      <w:r w:rsidR="00551B48">
        <w:rPr>
          <w:rFonts w:ascii="Verdana" w:hAnsi="Verdana"/>
          <w:sz w:val="24"/>
          <w:szCs w:val="24"/>
        </w:rPr>
        <w:t xml:space="preserve"> recent poor weather conditions and the discovery of a further badger sett on site</w:t>
      </w:r>
      <w:r w:rsidR="00D865ED">
        <w:rPr>
          <w:rFonts w:ascii="Verdana" w:hAnsi="Verdana"/>
          <w:sz w:val="24"/>
          <w:szCs w:val="24"/>
        </w:rPr>
        <w:t xml:space="preserve">, offset by </w:t>
      </w:r>
      <w:proofErr w:type="spellStart"/>
      <w:r w:rsidR="00D865ED">
        <w:rPr>
          <w:rFonts w:ascii="Verdana" w:hAnsi="Verdana"/>
          <w:sz w:val="24"/>
          <w:szCs w:val="24"/>
        </w:rPr>
        <w:t>Shirehall</w:t>
      </w:r>
      <w:proofErr w:type="spellEnd"/>
      <w:r w:rsidR="00D865ED">
        <w:rPr>
          <w:rFonts w:ascii="Verdana" w:hAnsi="Verdana"/>
          <w:sz w:val="24"/>
          <w:szCs w:val="24"/>
        </w:rPr>
        <w:t xml:space="preserve"> now confirming all GBF grant will be</w:t>
      </w:r>
      <w:r w:rsidR="0003229D">
        <w:rPr>
          <w:rFonts w:ascii="Verdana" w:hAnsi="Verdana"/>
          <w:sz w:val="24"/>
          <w:szCs w:val="24"/>
        </w:rPr>
        <w:t xml:space="preserve"> spent by 31 March 22.</w:t>
      </w:r>
    </w:p>
    <w:p w14:paraId="01B10578" w14:textId="5AB27599" w:rsidR="002003AB" w:rsidRDefault="0003229D" w:rsidP="002003AB">
      <w:pPr>
        <w:rPr>
          <w:rFonts w:ascii="Verdana" w:hAnsi="Verdana"/>
          <w:sz w:val="24"/>
          <w:szCs w:val="24"/>
        </w:rPr>
      </w:pPr>
      <w:r>
        <w:rPr>
          <w:rFonts w:ascii="Verdana" w:hAnsi="Verdana"/>
          <w:sz w:val="24"/>
          <w:szCs w:val="24"/>
        </w:rPr>
        <w:t>As agreed at the December SPMG</w:t>
      </w:r>
      <w:r w:rsidR="00155EA7">
        <w:rPr>
          <w:rFonts w:ascii="Verdana" w:hAnsi="Verdana"/>
          <w:sz w:val="24"/>
          <w:szCs w:val="24"/>
        </w:rPr>
        <w:t>, the accountable body</w:t>
      </w:r>
      <w:r w:rsidR="009F77F8">
        <w:rPr>
          <w:rFonts w:ascii="Verdana" w:hAnsi="Verdana"/>
          <w:sz w:val="24"/>
          <w:szCs w:val="24"/>
        </w:rPr>
        <w:t xml:space="preserve"> using its freedom and flexibilities</w:t>
      </w:r>
      <w:r w:rsidR="00DC055C">
        <w:rPr>
          <w:rFonts w:ascii="Verdana" w:hAnsi="Verdana"/>
          <w:sz w:val="24"/>
          <w:szCs w:val="24"/>
        </w:rPr>
        <w:t xml:space="preserve"> will do a funding switch</w:t>
      </w:r>
      <w:r w:rsidR="002003AB">
        <w:rPr>
          <w:rFonts w:ascii="Verdana" w:hAnsi="Verdana"/>
          <w:sz w:val="24"/>
          <w:szCs w:val="24"/>
        </w:rPr>
        <w:t xml:space="preserve"> with another SCC capital scheme</w:t>
      </w:r>
      <w:r w:rsidR="00C01E7C">
        <w:rPr>
          <w:rFonts w:ascii="Verdana" w:hAnsi="Verdana"/>
          <w:sz w:val="24"/>
          <w:szCs w:val="24"/>
        </w:rPr>
        <w:t xml:space="preserve"> to utilise all the GBF grant</w:t>
      </w:r>
      <w:r w:rsidR="002003AB">
        <w:rPr>
          <w:rFonts w:ascii="Verdana" w:hAnsi="Verdana"/>
          <w:sz w:val="24"/>
          <w:szCs w:val="24"/>
        </w:rPr>
        <w:t>. This w</w:t>
      </w:r>
      <w:r w:rsidR="00C01E7C">
        <w:rPr>
          <w:rFonts w:ascii="Verdana" w:hAnsi="Verdana"/>
          <w:sz w:val="24"/>
          <w:szCs w:val="24"/>
        </w:rPr>
        <w:t>ill</w:t>
      </w:r>
      <w:r w:rsidR="002003AB">
        <w:rPr>
          <w:rFonts w:ascii="Verdana" w:hAnsi="Verdana"/>
          <w:sz w:val="24"/>
          <w:szCs w:val="24"/>
        </w:rPr>
        <w:t xml:space="preserve"> ensure the funding is immediately available in 22/23 to fund the </w:t>
      </w:r>
      <w:r w:rsidR="00C01E7C">
        <w:rPr>
          <w:rFonts w:ascii="Verdana" w:hAnsi="Verdana"/>
          <w:sz w:val="24"/>
          <w:szCs w:val="24"/>
        </w:rPr>
        <w:t>slippage</w:t>
      </w:r>
      <w:r w:rsidR="002003AB">
        <w:rPr>
          <w:rFonts w:ascii="Verdana" w:hAnsi="Verdana"/>
          <w:sz w:val="24"/>
          <w:szCs w:val="24"/>
        </w:rPr>
        <w:t xml:space="preserve"> schemes.</w:t>
      </w:r>
    </w:p>
    <w:p w14:paraId="72C13199" w14:textId="6181F6BD" w:rsidR="00623CA7" w:rsidRDefault="002003AB" w:rsidP="002003AB">
      <w:pPr>
        <w:rPr>
          <w:rFonts w:ascii="Verdana" w:hAnsi="Verdana"/>
          <w:sz w:val="24"/>
          <w:szCs w:val="24"/>
        </w:rPr>
      </w:pPr>
      <w:r w:rsidRPr="00BA1EBA">
        <w:rPr>
          <w:rFonts w:ascii="Verdana" w:hAnsi="Verdana"/>
          <w:sz w:val="24"/>
          <w:szCs w:val="24"/>
        </w:rPr>
        <w:t xml:space="preserve">SPMG should note </w:t>
      </w:r>
      <w:r>
        <w:rPr>
          <w:rFonts w:ascii="Verdana" w:hAnsi="Verdana"/>
          <w:sz w:val="24"/>
          <w:szCs w:val="24"/>
        </w:rPr>
        <w:t xml:space="preserve">however, </w:t>
      </w:r>
      <w:r w:rsidRPr="00BA1EBA">
        <w:rPr>
          <w:rFonts w:ascii="Verdana" w:hAnsi="Verdana"/>
          <w:sz w:val="24"/>
          <w:szCs w:val="24"/>
        </w:rPr>
        <w:t>that when the accountable body uses its freedom and flexibilities to carry forward this funding, the SSLEP will report an underspend in its formal returns to BEIS, effectively showing under delivery against its GBF spend targets. This is a reputational risk to the SSLEP</w:t>
      </w:r>
      <w:r w:rsidR="003D1913">
        <w:rPr>
          <w:rFonts w:ascii="Verdana" w:hAnsi="Verdana"/>
          <w:sz w:val="24"/>
          <w:szCs w:val="24"/>
        </w:rPr>
        <w:t xml:space="preserve"> and potentially more widely Staffordshire</w:t>
      </w:r>
      <w:r w:rsidR="00037B0A">
        <w:rPr>
          <w:rFonts w:ascii="Verdana" w:hAnsi="Verdana"/>
          <w:sz w:val="24"/>
          <w:szCs w:val="24"/>
        </w:rPr>
        <w:t>, although given</w:t>
      </w:r>
      <w:r w:rsidR="00B240B8">
        <w:rPr>
          <w:rFonts w:ascii="Verdana" w:hAnsi="Verdana"/>
          <w:sz w:val="24"/>
          <w:szCs w:val="24"/>
        </w:rPr>
        <w:t xml:space="preserve"> the economic issues over the last two years</w:t>
      </w:r>
      <w:r w:rsidR="0003600C">
        <w:rPr>
          <w:rFonts w:ascii="Verdana" w:hAnsi="Verdana"/>
          <w:sz w:val="24"/>
          <w:szCs w:val="24"/>
        </w:rPr>
        <w:t xml:space="preserve">, it </w:t>
      </w:r>
      <w:r w:rsidR="007D2E8E">
        <w:rPr>
          <w:rFonts w:ascii="Verdana" w:hAnsi="Verdana"/>
          <w:sz w:val="24"/>
          <w:szCs w:val="24"/>
        </w:rPr>
        <w:t>could be argued some slippage in the programme was inevitable</w:t>
      </w:r>
      <w:r w:rsidRPr="00BA1EBA">
        <w:rPr>
          <w:rFonts w:ascii="Verdana" w:hAnsi="Verdana"/>
          <w:sz w:val="24"/>
          <w:szCs w:val="24"/>
        </w:rPr>
        <w:t xml:space="preserve">.  </w:t>
      </w:r>
    </w:p>
    <w:p w14:paraId="7F64AB02" w14:textId="55E6F3A5" w:rsidR="001B7B13" w:rsidRPr="00AC2407" w:rsidRDefault="001B7B13" w:rsidP="001B7B13">
      <w:pPr>
        <w:rPr>
          <w:rFonts w:ascii="Verdana" w:hAnsi="Verdana"/>
          <w:sz w:val="24"/>
          <w:szCs w:val="24"/>
        </w:rPr>
      </w:pPr>
    </w:p>
    <w:p w14:paraId="6DBE66DE" w14:textId="5FE02C70" w:rsidR="00E65064" w:rsidRDefault="00E65064" w:rsidP="005148DF">
      <w:pPr>
        <w:rPr>
          <w:rFonts w:ascii="Verdana" w:hAnsi="Verdana"/>
          <w:sz w:val="24"/>
          <w:szCs w:val="24"/>
        </w:rPr>
      </w:pPr>
    </w:p>
    <w:p w14:paraId="3615AD5D" w14:textId="490FB093" w:rsidR="00E65064" w:rsidRDefault="00E65064" w:rsidP="005148DF">
      <w:pPr>
        <w:rPr>
          <w:rFonts w:ascii="Verdana" w:hAnsi="Verdana"/>
          <w:sz w:val="24"/>
          <w:szCs w:val="24"/>
        </w:rPr>
      </w:pPr>
      <w:r>
        <w:rPr>
          <w:rFonts w:ascii="Verdana" w:hAnsi="Verdana"/>
          <w:sz w:val="24"/>
          <w:szCs w:val="24"/>
        </w:rPr>
        <w:t xml:space="preserve">Simon </w:t>
      </w:r>
      <w:r w:rsidR="00544A01">
        <w:rPr>
          <w:rFonts w:ascii="Verdana" w:hAnsi="Verdana"/>
          <w:sz w:val="24"/>
          <w:szCs w:val="24"/>
        </w:rPr>
        <w:t>Ablewhite</w:t>
      </w:r>
    </w:p>
    <w:p w14:paraId="79F5CEEA" w14:textId="71446CF3" w:rsidR="00544A01" w:rsidRDefault="00544A01" w:rsidP="005148DF">
      <w:pPr>
        <w:rPr>
          <w:rFonts w:ascii="Verdana" w:hAnsi="Verdana"/>
          <w:sz w:val="24"/>
          <w:szCs w:val="24"/>
        </w:rPr>
      </w:pPr>
      <w:r>
        <w:rPr>
          <w:rFonts w:ascii="Verdana" w:hAnsi="Verdana"/>
          <w:sz w:val="24"/>
          <w:szCs w:val="24"/>
        </w:rPr>
        <w:t>SSLEP 151 Officer</w:t>
      </w:r>
    </w:p>
    <w:p w14:paraId="691494DF" w14:textId="55A00CBF" w:rsidR="005E6207" w:rsidRDefault="005E6207" w:rsidP="005148DF">
      <w:pPr>
        <w:rPr>
          <w:rFonts w:ascii="Verdana" w:hAnsi="Verdana"/>
          <w:sz w:val="24"/>
          <w:szCs w:val="24"/>
        </w:rPr>
      </w:pPr>
    </w:p>
    <w:p w14:paraId="7815DE24" w14:textId="399D48C1" w:rsidR="005E6207" w:rsidRPr="005148DF" w:rsidRDefault="00FF4691" w:rsidP="005148DF">
      <w:pPr>
        <w:rPr>
          <w:rFonts w:ascii="Verdana" w:hAnsi="Verdana"/>
          <w:sz w:val="24"/>
          <w:szCs w:val="24"/>
        </w:rPr>
      </w:pPr>
      <w:r w:rsidRPr="00FF4691">
        <w:rPr>
          <w:noProof/>
        </w:rPr>
        <w:lastRenderedPageBreak/>
        <w:drawing>
          <wp:inline distT="0" distB="0" distL="0" distR="0" wp14:anchorId="3C8F2CA7" wp14:editId="2EBD5B94">
            <wp:extent cx="5731510" cy="5848985"/>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731510" cy="5848985"/>
                    </a:xfrm>
                    <a:prstGeom prst="rect">
                      <a:avLst/>
                    </a:prstGeom>
                    <a:noFill/>
                    <a:ln>
                      <a:noFill/>
                    </a:ln>
                  </pic:spPr>
                </pic:pic>
              </a:graphicData>
            </a:graphic>
          </wp:inline>
        </w:drawing>
      </w:r>
    </w:p>
    <w:sectPr w:rsidR="005E6207" w:rsidRPr="005148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6B1714"/>
    <w:multiLevelType w:val="hybridMultilevel"/>
    <w:tmpl w:val="1FD453AC"/>
    <w:lvl w:ilvl="0" w:tplc="08090017">
      <w:start w:val="1"/>
      <w:numFmt w:val="lowerLetter"/>
      <w:lvlText w:val="%1)"/>
      <w:lvlJc w:val="left"/>
      <w:pPr>
        <w:ind w:left="0" w:hanging="360"/>
      </w:pPr>
      <w:rPr>
        <w:rFonts w:hint="default"/>
      </w:rPr>
    </w:lvl>
    <w:lvl w:ilvl="1" w:tplc="08090019" w:tentative="1">
      <w:start w:val="1"/>
      <w:numFmt w:val="lowerLetter"/>
      <w:lvlText w:val="%2."/>
      <w:lvlJc w:val="left"/>
      <w:pPr>
        <w:ind w:left="720" w:hanging="360"/>
      </w:pPr>
    </w:lvl>
    <w:lvl w:ilvl="2" w:tplc="0809001B" w:tentative="1">
      <w:start w:val="1"/>
      <w:numFmt w:val="lowerRoman"/>
      <w:lvlText w:val="%3."/>
      <w:lvlJc w:val="right"/>
      <w:pPr>
        <w:ind w:left="1440" w:hanging="180"/>
      </w:pPr>
    </w:lvl>
    <w:lvl w:ilvl="3" w:tplc="0809000F" w:tentative="1">
      <w:start w:val="1"/>
      <w:numFmt w:val="decimal"/>
      <w:lvlText w:val="%4."/>
      <w:lvlJc w:val="left"/>
      <w:pPr>
        <w:ind w:left="2160" w:hanging="360"/>
      </w:pPr>
    </w:lvl>
    <w:lvl w:ilvl="4" w:tplc="08090019" w:tentative="1">
      <w:start w:val="1"/>
      <w:numFmt w:val="lowerLetter"/>
      <w:lvlText w:val="%5."/>
      <w:lvlJc w:val="left"/>
      <w:pPr>
        <w:ind w:left="2880" w:hanging="360"/>
      </w:pPr>
    </w:lvl>
    <w:lvl w:ilvl="5" w:tplc="0809001B" w:tentative="1">
      <w:start w:val="1"/>
      <w:numFmt w:val="lowerRoman"/>
      <w:lvlText w:val="%6."/>
      <w:lvlJc w:val="right"/>
      <w:pPr>
        <w:ind w:left="3600" w:hanging="180"/>
      </w:pPr>
    </w:lvl>
    <w:lvl w:ilvl="6" w:tplc="0809000F" w:tentative="1">
      <w:start w:val="1"/>
      <w:numFmt w:val="decimal"/>
      <w:lvlText w:val="%7."/>
      <w:lvlJc w:val="left"/>
      <w:pPr>
        <w:ind w:left="4320" w:hanging="360"/>
      </w:pPr>
    </w:lvl>
    <w:lvl w:ilvl="7" w:tplc="08090019" w:tentative="1">
      <w:start w:val="1"/>
      <w:numFmt w:val="lowerLetter"/>
      <w:lvlText w:val="%8."/>
      <w:lvlJc w:val="left"/>
      <w:pPr>
        <w:ind w:left="5040" w:hanging="360"/>
      </w:pPr>
    </w:lvl>
    <w:lvl w:ilvl="8" w:tplc="0809001B" w:tentative="1">
      <w:start w:val="1"/>
      <w:numFmt w:val="lowerRoman"/>
      <w:lvlText w:val="%9."/>
      <w:lvlJc w:val="right"/>
      <w:pPr>
        <w:ind w:left="5760" w:hanging="180"/>
      </w:pPr>
    </w:lvl>
  </w:abstractNum>
  <w:abstractNum w:abstractNumId="1" w15:restartNumberingAfterBreak="0">
    <w:nsid w:val="236D3800"/>
    <w:multiLevelType w:val="hybridMultilevel"/>
    <w:tmpl w:val="56C0867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F743020"/>
    <w:multiLevelType w:val="hybridMultilevel"/>
    <w:tmpl w:val="191E017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768B107E"/>
    <w:multiLevelType w:val="hybridMultilevel"/>
    <w:tmpl w:val="D45A11D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9C9"/>
    <w:rsid w:val="00002B49"/>
    <w:rsid w:val="00002C92"/>
    <w:rsid w:val="00011C04"/>
    <w:rsid w:val="00014C9D"/>
    <w:rsid w:val="00015D2F"/>
    <w:rsid w:val="00017F82"/>
    <w:rsid w:val="0002361E"/>
    <w:rsid w:val="0003229D"/>
    <w:rsid w:val="0003600C"/>
    <w:rsid w:val="000368BF"/>
    <w:rsid w:val="00037B0A"/>
    <w:rsid w:val="00037D34"/>
    <w:rsid w:val="00041FB6"/>
    <w:rsid w:val="0005380B"/>
    <w:rsid w:val="00055D08"/>
    <w:rsid w:val="00060EB5"/>
    <w:rsid w:val="00062250"/>
    <w:rsid w:val="00075F49"/>
    <w:rsid w:val="00082190"/>
    <w:rsid w:val="000908B1"/>
    <w:rsid w:val="000908CF"/>
    <w:rsid w:val="00091BC8"/>
    <w:rsid w:val="000A133A"/>
    <w:rsid w:val="000A4CB5"/>
    <w:rsid w:val="000B1CDC"/>
    <w:rsid w:val="000B2314"/>
    <w:rsid w:val="000B335A"/>
    <w:rsid w:val="000D192E"/>
    <w:rsid w:val="000D45EB"/>
    <w:rsid w:val="000F34E7"/>
    <w:rsid w:val="00106436"/>
    <w:rsid w:val="00106B4D"/>
    <w:rsid w:val="0011527D"/>
    <w:rsid w:val="00123FA6"/>
    <w:rsid w:val="00136792"/>
    <w:rsid w:val="00146CF8"/>
    <w:rsid w:val="00150997"/>
    <w:rsid w:val="0015202A"/>
    <w:rsid w:val="00155EA7"/>
    <w:rsid w:val="00162783"/>
    <w:rsid w:val="00176E21"/>
    <w:rsid w:val="001850ED"/>
    <w:rsid w:val="00186C8F"/>
    <w:rsid w:val="001928FA"/>
    <w:rsid w:val="001A03E8"/>
    <w:rsid w:val="001A692E"/>
    <w:rsid w:val="001B2CE6"/>
    <w:rsid w:val="001B7B13"/>
    <w:rsid w:val="001C7DE2"/>
    <w:rsid w:val="001E155D"/>
    <w:rsid w:val="001E777A"/>
    <w:rsid w:val="002003AB"/>
    <w:rsid w:val="00201A8C"/>
    <w:rsid w:val="002112EA"/>
    <w:rsid w:val="0021320D"/>
    <w:rsid w:val="00214471"/>
    <w:rsid w:val="002150C8"/>
    <w:rsid w:val="00234E34"/>
    <w:rsid w:val="00241952"/>
    <w:rsid w:val="00250157"/>
    <w:rsid w:val="00263434"/>
    <w:rsid w:val="0027155A"/>
    <w:rsid w:val="002721E2"/>
    <w:rsid w:val="00272CBD"/>
    <w:rsid w:val="00276CC1"/>
    <w:rsid w:val="002809EC"/>
    <w:rsid w:val="00281D5D"/>
    <w:rsid w:val="00294A03"/>
    <w:rsid w:val="002A0354"/>
    <w:rsid w:val="002A07EB"/>
    <w:rsid w:val="002D541B"/>
    <w:rsid w:val="002F6AB6"/>
    <w:rsid w:val="003148E8"/>
    <w:rsid w:val="0033082B"/>
    <w:rsid w:val="00331BD0"/>
    <w:rsid w:val="003332AD"/>
    <w:rsid w:val="003374BF"/>
    <w:rsid w:val="003414D8"/>
    <w:rsid w:val="00352B28"/>
    <w:rsid w:val="00356B36"/>
    <w:rsid w:val="003605DD"/>
    <w:rsid w:val="00361084"/>
    <w:rsid w:val="00361C8D"/>
    <w:rsid w:val="003830EB"/>
    <w:rsid w:val="003950AC"/>
    <w:rsid w:val="003A0296"/>
    <w:rsid w:val="003B2BE6"/>
    <w:rsid w:val="003C7116"/>
    <w:rsid w:val="003D1913"/>
    <w:rsid w:val="003D3F5E"/>
    <w:rsid w:val="003D4171"/>
    <w:rsid w:val="003E030E"/>
    <w:rsid w:val="003E2593"/>
    <w:rsid w:val="003F2108"/>
    <w:rsid w:val="0041361D"/>
    <w:rsid w:val="00421F58"/>
    <w:rsid w:val="004252BB"/>
    <w:rsid w:val="004256F0"/>
    <w:rsid w:val="004357A1"/>
    <w:rsid w:val="00440317"/>
    <w:rsid w:val="00444914"/>
    <w:rsid w:val="004517D2"/>
    <w:rsid w:val="00452A15"/>
    <w:rsid w:val="0045585F"/>
    <w:rsid w:val="00461296"/>
    <w:rsid w:val="00480573"/>
    <w:rsid w:val="00485789"/>
    <w:rsid w:val="00487C2D"/>
    <w:rsid w:val="004A62DE"/>
    <w:rsid w:val="004A6A07"/>
    <w:rsid w:val="004A711A"/>
    <w:rsid w:val="004B28BB"/>
    <w:rsid w:val="004C7557"/>
    <w:rsid w:val="004D1D12"/>
    <w:rsid w:val="004D5CAC"/>
    <w:rsid w:val="004D76D5"/>
    <w:rsid w:val="004D7829"/>
    <w:rsid w:val="004E006F"/>
    <w:rsid w:val="004E17A3"/>
    <w:rsid w:val="004F2463"/>
    <w:rsid w:val="004F3A31"/>
    <w:rsid w:val="00500242"/>
    <w:rsid w:val="00501083"/>
    <w:rsid w:val="00501113"/>
    <w:rsid w:val="00512FC9"/>
    <w:rsid w:val="005148DF"/>
    <w:rsid w:val="00515107"/>
    <w:rsid w:val="005164AD"/>
    <w:rsid w:val="00520144"/>
    <w:rsid w:val="00535625"/>
    <w:rsid w:val="00544A01"/>
    <w:rsid w:val="005471C8"/>
    <w:rsid w:val="00547BBA"/>
    <w:rsid w:val="00551B48"/>
    <w:rsid w:val="00554797"/>
    <w:rsid w:val="005633E7"/>
    <w:rsid w:val="00581C6E"/>
    <w:rsid w:val="0059791E"/>
    <w:rsid w:val="005A5451"/>
    <w:rsid w:val="005A70AE"/>
    <w:rsid w:val="005C427A"/>
    <w:rsid w:val="005C5C62"/>
    <w:rsid w:val="005C6802"/>
    <w:rsid w:val="005D0962"/>
    <w:rsid w:val="005D3D50"/>
    <w:rsid w:val="005D7FF3"/>
    <w:rsid w:val="005E5524"/>
    <w:rsid w:val="005E589F"/>
    <w:rsid w:val="005E6207"/>
    <w:rsid w:val="005F72D8"/>
    <w:rsid w:val="00602B6E"/>
    <w:rsid w:val="006225AE"/>
    <w:rsid w:val="00623CA7"/>
    <w:rsid w:val="0062564B"/>
    <w:rsid w:val="00637175"/>
    <w:rsid w:val="00640038"/>
    <w:rsid w:val="00652E88"/>
    <w:rsid w:val="00656BD6"/>
    <w:rsid w:val="006574A3"/>
    <w:rsid w:val="006612D3"/>
    <w:rsid w:val="006648F3"/>
    <w:rsid w:val="006664B9"/>
    <w:rsid w:val="00666727"/>
    <w:rsid w:val="00670B2E"/>
    <w:rsid w:val="00680AA2"/>
    <w:rsid w:val="00681584"/>
    <w:rsid w:val="00695F46"/>
    <w:rsid w:val="006A2A66"/>
    <w:rsid w:val="006B0C4A"/>
    <w:rsid w:val="006B2A0A"/>
    <w:rsid w:val="006B4A8E"/>
    <w:rsid w:val="006C7987"/>
    <w:rsid w:val="006D6623"/>
    <w:rsid w:val="006D6CCE"/>
    <w:rsid w:val="006F0DEA"/>
    <w:rsid w:val="006F1325"/>
    <w:rsid w:val="00706C81"/>
    <w:rsid w:val="00724684"/>
    <w:rsid w:val="00725695"/>
    <w:rsid w:val="00727EE9"/>
    <w:rsid w:val="00733681"/>
    <w:rsid w:val="00734935"/>
    <w:rsid w:val="00743502"/>
    <w:rsid w:val="00744318"/>
    <w:rsid w:val="00761485"/>
    <w:rsid w:val="00764487"/>
    <w:rsid w:val="007671F4"/>
    <w:rsid w:val="00767D9D"/>
    <w:rsid w:val="0077014C"/>
    <w:rsid w:val="00776D0E"/>
    <w:rsid w:val="00781695"/>
    <w:rsid w:val="00784563"/>
    <w:rsid w:val="00784E1B"/>
    <w:rsid w:val="00794B94"/>
    <w:rsid w:val="007A22D5"/>
    <w:rsid w:val="007A7D83"/>
    <w:rsid w:val="007C3308"/>
    <w:rsid w:val="007D1472"/>
    <w:rsid w:val="007D2E8E"/>
    <w:rsid w:val="007D4A57"/>
    <w:rsid w:val="007D7E42"/>
    <w:rsid w:val="007E513E"/>
    <w:rsid w:val="007F100A"/>
    <w:rsid w:val="007F7103"/>
    <w:rsid w:val="007F7DD5"/>
    <w:rsid w:val="0080469B"/>
    <w:rsid w:val="00804B26"/>
    <w:rsid w:val="0080568E"/>
    <w:rsid w:val="0081106E"/>
    <w:rsid w:val="00811F23"/>
    <w:rsid w:val="00821768"/>
    <w:rsid w:val="00823D44"/>
    <w:rsid w:val="0082799A"/>
    <w:rsid w:val="00837A3A"/>
    <w:rsid w:val="00847D4C"/>
    <w:rsid w:val="00853DF2"/>
    <w:rsid w:val="00875317"/>
    <w:rsid w:val="00882C42"/>
    <w:rsid w:val="00892099"/>
    <w:rsid w:val="008933B5"/>
    <w:rsid w:val="008937E5"/>
    <w:rsid w:val="008A0709"/>
    <w:rsid w:val="008A2D61"/>
    <w:rsid w:val="008A7818"/>
    <w:rsid w:val="008B5E49"/>
    <w:rsid w:val="008C136A"/>
    <w:rsid w:val="008C4D2E"/>
    <w:rsid w:val="008C6484"/>
    <w:rsid w:val="008C6C8D"/>
    <w:rsid w:val="008D49CD"/>
    <w:rsid w:val="008E074F"/>
    <w:rsid w:val="008F29AD"/>
    <w:rsid w:val="008F71EE"/>
    <w:rsid w:val="008F79C9"/>
    <w:rsid w:val="00907E45"/>
    <w:rsid w:val="00921A73"/>
    <w:rsid w:val="0092423E"/>
    <w:rsid w:val="00932E27"/>
    <w:rsid w:val="009346E9"/>
    <w:rsid w:val="00947962"/>
    <w:rsid w:val="00947999"/>
    <w:rsid w:val="0095047F"/>
    <w:rsid w:val="00952A99"/>
    <w:rsid w:val="00954490"/>
    <w:rsid w:val="0096236B"/>
    <w:rsid w:val="00986A35"/>
    <w:rsid w:val="00995B00"/>
    <w:rsid w:val="009A404F"/>
    <w:rsid w:val="009A705E"/>
    <w:rsid w:val="009B10BE"/>
    <w:rsid w:val="009B1D39"/>
    <w:rsid w:val="009B27E4"/>
    <w:rsid w:val="009B435A"/>
    <w:rsid w:val="009C0235"/>
    <w:rsid w:val="009C6B8F"/>
    <w:rsid w:val="009E1019"/>
    <w:rsid w:val="009E2563"/>
    <w:rsid w:val="009F25C9"/>
    <w:rsid w:val="009F72E4"/>
    <w:rsid w:val="009F77F8"/>
    <w:rsid w:val="00A01A6B"/>
    <w:rsid w:val="00A021FD"/>
    <w:rsid w:val="00A13DDA"/>
    <w:rsid w:val="00A2019C"/>
    <w:rsid w:val="00A24ABE"/>
    <w:rsid w:val="00A269C7"/>
    <w:rsid w:val="00A333B1"/>
    <w:rsid w:val="00A34495"/>
    <w:rsid w:val="00A545F8"/>
    <w:rsid w:val="00A5554C"/>
    <w:rsid w:val="00A566A3"/>
    <w:rsid w:val="00A5717A"/>
    <w:rsid w:val="00A57928"/>
    <w:rsid w:val="00A62F8F"/>
    <w:rsid w:val="00A65CF6"/>
    <w:rsid w:val="00A67F6C"/>
    <w:rsid w:val="00A70C27"/>
    <w:rsid w:val="00A768C5"/>
    <w:rsid w:val="00A82332"/>
    <w:rsid w:val="00AA3C07"/>
    <w:rsid w:val="00AA4423"/>
    <w:rsid w:val="00AC1EC4"/>
    <w:rsid w:val="00AC2407"/>
    <w:rsid w:val="00AC620A"/>
    <w:rsid w:val="00AE1ABC"/>
    <w:rsid w:val="00AF4718"/>
    <w:rsid w:val="00B02297"/>
    <w:rsid w:val="00B024D3"/>
    <w:rsid w:val="00B1310F"/>
    <w:rsid w:val="00B22223"/>
    <w:rsid w:val="00B240B8"/>
    <w:rsid w:val="00B32B66"/>
    <w:rsid w:val="00B35685"/>
    <w:rsid w:val="00B361C3"/>
    <w:rsid w:val="00B42149"/>
    <w:rsid w:val="00B5043A"/>
    <w:rsid w:val="00B506B3"/>
    <w:rsid w:val="00B64D22"/>
    <w:rsid w:val="00B71A60"/>
    <w:rsid w:val="00B8560F"/>
    <w:rsid w:val="00BA1EBA"/>
    <w:rsid w:val="00BB0638"/>
    <w:rsid w:val="00BC152B"/>
    <w:rsid w:val="00BC50D5"/>
    <w:rsid w:val="00BC6215"/>
    <w:rsid w:val="00BD64A4"/>
    <w:rsid w:val="00BF1CD8"/>
    <w:rsid w:val="00BF4EC4"/>
    <w:rsid w:val="00C01E7C"/>
    <w:rsid w:val="00C22569"/>
    <w:rsid w:val="00C27418"/>
    <w:rsid w:val="00C30781"/>
    <w:rsid w:val="00C36DD3"/>
    <w:rsid w:val="00C454BE"/>
    <w:rsid w:val="00C52F72"/>
    <w:rsid w:val="00C540B4"/>
    <w:rsid w:val="00C63CE6"/>
    <w:rsid w:val="00C65A7F"/>
    <w:rsid w:val="00C7066A"/>
    <w:rsid w:val="00C71215"/>
    <w:rsid w:val="00CA4FB5"/>
    <w:rsid w:val="00CA6C16"/>
    <w:rsid w:val="00CB0FBA"/>
    <w:rsid w:val="00CB3C2C"/>
    <w:rsid w:val="00CC0DDB"/>
    <w:rsid w:val="00CC40AE"/>
    <w:rsid w:val="00CC680E"/>
    <w:rsid w:val="00CC69DB"/>
    <w:rsid w:val="00CE0D6E"/>
    <w:rsid w:val="00CE0DDE"/>
    <w:rsid w:val="00CE5F97"/>
    <w:rsid w:val="00CE6CA8"/>
    <w:rsid w:val="00D00BA0"/>
    <w:rsid w:val="00D04983"/>
    <w:rsid w:val="00D05270"/>
    <w:rsid w:val="00D07288"/>
    <w:rsid w:val="00D0799C"/>
    <w:rsid w:val="00D352C1"/>
    <w:rsid w:val="00D35E78"/>
    <w:rsid w:val="00D40038"/>
    <w:rsid w:val="00D40D19"/>
    <w:rsid w:val="00D42D52"/>
    <w:rsid w:val="00D55CD7"/>
    <w:rsid w:val="00D6730F"/>
    <w:rsid w:val="00D74042"/>
    <w:rsid w:val="00D76E8C"/>
    <w:rsid w:val="00D82917"/>
    <w:rsid w:val="00D8396A"/>
    <w:rsid w:val="00D865ED"/>
    <w:rsid w:val="00D86982"/>
    <w:rsid w:val="00D86A44"/>
    <w:rsid w:val="00D95948"/>
    <w:rsid w:val="00D9796C"/>
    <w:rsid w:val="00DB10E6"/>
    <w:rsid w:val="00DC055C"/>
    <w:rsid w:val="00DC216F"/>
    <w:rsid w:val="00DC596D"/>
    <w:rsid w:val="00DE1152"/>
    <w:rsid w:val="00E01329"/>
    <w:rsid w:val="00E11328"/>
    <w:rsid w:val="00E30FDD"/>
    <w:rsid w:val="00E36FD3"/>
    <w:rsid w:val="00E47E58"/>
    <w:rsid w:val="00E5511B"/>
    <w:rsid w:val="00E56915"/>
    <w:rsid w:val="00E6165B"/>
    <w:rsid w:val="00E65064"/>
    <w:rsid w:val="00E724F3"/>
    <w:rsid w:val="00E8685D"/>
    <w:rsid w:val="00E86943"/>
    <w:rsid w:val="00E93257"/>
    <w:rsid w:val="00E93B0F"/>
    <w:rsid w:val="00EA0C87"/>
    <w:rsid w:val="00EA788A"/>
    <w:rsid w:val="00EB607B"/>
    <w:rsid w:val="00EF46A3"/>
    <w:rsid w:val="00F07F7E"/>
    <w:rsid w:val="00F12982"/>
    <w:rsid w:val="00F1595B"/>
    <w:rsid w:val="00F22825"/>
    <w:rsid w:val="00F2335E"/>
    <w:rsid w:val="00F43953"/>
    <w:rsid w:val="00F45CFA"/>
    <w:rsid w:val="00F570FD"/>
    <w:rsid w:val="00F87EF4"/>
    <w:rsid w:val="00FA569B"/>
    <w:rsid w:val="00FA5B4A"/>
    <w:rsid w:val="00FB3C73"/>
    <w:rsid w:val="00FB7344"/>
    <w:rsid w:val="00FD2110"/>
    <w:rsid w:val="00FE74F5"/>
    <w:rsid w:val="00FF4691"/>
    <w:rsid w:val="00FF6E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F2261F"/>
  <w15:chartTrackingRefBased/>
  <w15:docId w15:val="{EACB2C48-341F-4225-A07D-C3363D2B2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79C9"/>
    <w:pPr>
      <w:ind w:left="720"/>
      <w:contextualSpacing/>
    </w:pPr>
  </w:style>
  <w:style w:type="table" w:styleId="TableGrid">
    <w:name w:val="Table Grid"/>
    <w:basedOn w:val="TableNormal"/>
    <w:uiPriority w:val="39"/>
    <w:rsid w:val="005F7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1897872">
      <w:bodyDiv w:val="1"/>
      <w:marLeft w:val="0"/>
      <w:marRight w:val="0"/>
      <w:marTop w:val="0"/>
      <w:marBottom w:val="0"/>
      <w:divBdr>
        <w:top w:val="none" w:sz="0" w:space="0" w:color="auto"/>
        <w:left w:val="none" w:sz="0" w:space="0" w:color="auto"/>
        <w:bottom w:val="none" w:sz="0" w:space="0" w:color="auto"/>
        <w:right w:val="none" w:sz="0" w:space="0" w:color="auto"/>
      </w:divBdr>
    </w:div>
    <w:div w:id="15222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3</Pages>
  <Words>423</Words>
  <Characters>2412</Characters>
  <Application>Microsoft Office Word</Application>
  <DocSecurity>4</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Ablewhite, Simon (Corporate)</dc:creator>
  <cp:keywords/>
  <dc:description/>
  <cp:lastModifiedBy>Palphreyman, Sharon (Corporate)</cp:lastModifiedBy>
  <cp:revision>2</cp:revision>
  <dcterms:created xsi:type="dcterms:W3CDTF">2022-02-01T14:05:00Z</dcterms:created>
  <dcterms:modified xsi:type="dcterms:W3CDTF">2022-02-01T14:05:00Z</dcterms:modified>
</cp:coreProperties>
</file>