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E7F6" w14:textId="6D1EAA56" w:rsidR="00E8685D" w:rsidRPr="00E8685D" w:rsidRDefault="00E8685D" w:rsidP="00E8685D">
      <w:pPr>
        <w:jc w:val="right"/>
        <w:rPr>
          <w:rFonts w:ascii="Verdana" w:hAnsi="Verdana"/>
          <w:sz w:val="24"/>
          <w:szCs w:val="24"/>
        </w:rPr>
      </w:pPr>
      <w:r w:rsidRPr="00E8685D">
        <w:rPr>
          <w:rFonts w:ascii="Verdana" w:hAnsi="Verdana"/>
          <w:sz w:val="24"/>
          <w:szCs w:val="24"/>
        </w:rPr>
        <w:t>Item ?</w:t>
      </w:r>
    </w:p>
    <w:p w14:paraId="76806CD3" w14:textId="4BE33563" w:rsidR="009B10BE" w:rsidRPr="000A133A" w:rsidRDefault="008F79C9" w:rsidP="000A133A">
      <w:pPr>
        <w:jc w:val="center"/>
        <w:rPr>
          <w:rFonts w:ascii="Verdana" w:hAnsi="Verdana"/>
          <w:b/>
          <w:bCs/>
          <w:sz w:val="24"/>
          <w:szCs w:val="24"/>
        </w:rPr>
      </w:pPr>
      <w:r w:rsidRPr="000A133A">
        <w:rPr>
          <w:rFonts w:ascii="Verdana" w:hAnsi="Verdana"/>
          <w:b/>
          <w:bCs/>
          <w:sz w:val="24"/>
          <w:szCs w:val="24"/>
        </w:rPr>
        <w:t>STOKE &amp; STAFFS LOCAL ENTERPRISE PARTNERSHIP</w:t>
      </w:r>
    </w:p>
    <w:p w14:paraId="0487014F" w14:textId="4A2034A8" w:rsidR="008F79C9" w:rsidRPr="000A133A" w:rsidRDefault="008F79C9" w:rsidP="000A133A">
      <w:pPr>
        <w:jc w:val="center"/>
        <w:rPr>
          <w:rFonts w:ascii="Verdana" w:hAnsi="Verdana"/>
          <w:b/>
          <w:bCs/>
          <w:sz w:val="24"/>
          <w:szCs w:val="24"/>
        </w:rPr>
      </w:pPr>
      <w:r w:rsidRPr="000A133A">
        <w:rPr>
          <w:rFonts w:ascii="Verdana" w:hAnsi="Verdana"/>
          <w:b/>
          <w:bCs/>
          <w:sz w:val="24"/>
          <w:szCs w:val="24"/>
        </w:rPr>
        <w:t>STRATEGIC PROGRAMME MANAGEMENT GROUP</w:t>
      </w:r>
    </w:p>
    <w:p w14:paraId="5090E3E7" w14:textId="7A8488B3" w:rsidR="008F79C9" w:rsidRPr="000A133A" w:rsidRDefault="008F79C9" w:rsidP="000A133A">
      <w:pPr>
        <w:jc w:val="center"/>
        <w:rPr>
          <w:rFonts w:ascii="Verdana" w:hAnsi="Verdana"/>
          <w:b/>
          <w:bCs/>
          <w:sz w:val="24"/>
          <w:szCs w:val="24"/>
        </w:rPr>
      </w:pPr>
      <w:r w:rsidRPr="000A133A">
        <w:rPr>
          <w:rFonts w:ascii="Verdana" w:hAnsi="Verdana"/>
          <w:b/>
          <w:bCs/>
          <w:sz w:val="24"/>
          <w:szCs w:val="24"/>
        </w:rPr>
        <w:t>21</w:t>
      </w:r>
      <w:r w:rsidRPr="000A133A">
        <w:rPr>
          <w:rFonts w:ascii="Verdana" w:hAnsi="Verdana"/>
          <w:b/>
          <w:bCs/>
          <w:sz w:val="24"/>
          <w:szCs w:val="24"/>
          <w:vertAlign w:val="superscript"/>
        </w:rPr>
        <w:t>st</w:t>
      </w:r>
      <w:r w:rsidRPr="000A133A">
        <w:rPr>
          <w:rFonts w:ascii="Verdana" w:hAnsi="Verdana"/>
          <w:b/>
          <w:bCs/>
          <w:sz w:val="24"/>
          <w:szCs w:val="24"/>
        </w:rPr>
        <w:t xml:space="preserve"> December 2021</w:t>
      </w:r>
    </w:p>
    <w:p w14:paraId="497D4711" w14:textId="661C43BF" w:rsidR="008F79C9" w:rsidRDefault="008F79C9">
      <w:pPr>
        <w:rPr>
          <w:rFonts w:ascii="Verdana" w:hAnsi="Verdana"/>
          <w:sz w:val="24"/>
          <w:szCs w:val="24"/>
        </w:rPr>
      </w:pPr>
    </w:p>
    <w:p w14:paraId="655FD7CB" w14:textId="26E658D8" w:rsidR="008F79C9" w:rsidRPr="000A133A" w:rsidRDefault="008F79C9" w:rsidP="000A133A">
      <w:pPr>
        <w:jc w:val="center"/>
        <w:rPr>
          <w:rFonts w:ascii="Verdana" w:hAnsi="Verdana"/>
          <w:b/>
          <w:bCs/>
          <w:sz w:val="24"/>
          <w:szCs w:val="24"/>
        </w:rPr>
      </w:pPr>
      <w:r w:rsidRPr="000A133A">
        <w:rPr>
          <w:rFonts w:ascii="Verdana" w:hAnsi="Verdana"/>
          <w:b/>
          <w:bCs/>
          <w:sz w:val="24"/>
          <w:szCs w:val="24"/>
        </w:rPr>
        <w:t xml:space="preserve">LGF / GBF </w:t>
      </w:r>
      <w:r w:rsidR="00947999">
        <w:rPr>
          <w:rFonts w:ascii="Verdana" w:hAnsi="Verdana"/>
          <w:b/>
          <w:bCs/>
          <w:sz w:val="24"/>
          <w:szCs w:val="24"/>
        </w:rPr>
        <w:t xml:space="preserve">Spend Update / </w:t>
      </w:r>
      <w:r w:rsidRPr="000A133A">
        <w:rPr>
          <w:rFonts w:ascii="Verdana" w:hAnsi="Verdana"/>
          <w:b/>
          <w:bCs/>
          <w:sz w:val="24"/>
          <w:szCs w:val="24"/>
        </w:rPr>
        <w:t>Contingency Planning</w:t>
      </w:r>
    </w:p>
    <w:p w14:paraId="4010D277" w14:textId="77777777" w:rsidR="008F79C9" w:rsidRDefault="008F79C9">
      <w:pPr>
        <w:rPr>
          <w:rFonts w:ascii="Verdana" w:hAnsi="Verdana"/>
          <w:sz w:val="24"/>
          <w:szCs w:val="24"/>
        </w:rPr>
      </w:pPr>
    </w:p>
    <w:p w14:paraId="5C913B8B" w14:textId="60670116" w:rsidR="008F79C9" w:rsidRPr="000A133A" w:rsidRDefault="008F79C9">
      <w:pPr>
        <w:rPr>
          <w:rFonts w:ascii="Verdana" w:hAnsi="Verdana"/>
          <w:b/>
          <w:bCs/>
          <w:sz w:val="24"/>
          <w:szCs w:val="24"/>
        </w:rPr>
      </w:pPr>
      <w:r w:rsidRPr="000A133A">
        <w:rPr>
          <w:rFonts w:ascii="Verdana" w:hAnsi="Verdana"/>
          <w:b/>
          <w:bCs/>
          <w:sz w:val="24"/>
          <w:szCs w:val="24"/>
        </w:rPr>
        <w:t>LGF</w:t>
      </w:r>
    </w:p>
    <w:p w14:paraId="64824305" w14:textId="77777777" w:rsidR="005D0962" w:rsidRDefault="008F79C9">
      <w:pPr>
        <w:rPr>
          <w:rFonts w:ascii="Verdana" w:hAnsi="Verdana"/>
          <w:sz w:val="24"/>
          <w:szCs w:val="24"/>
        </w:rPr>
      </w:pPr>
      <w:r>
        <w:rPr>
          <w:rFonts w:ascii="Verdana" w:hAnsi="Verdana"/>
          <w:sz w:val="24"/>
          <w:szCs w:val="24"/>
        </w:rPr>
        <w:t xml:space="preserve">One scheme, Blythe Park, remains a risk. An LGF allocation of £1.250m has been made and paid to support this scheme. </w:t>
      </w:r>
    </w:p>
    <w:p w14:paraId="076A649F" w14:textId="693CDDBF" w:rsidR="005D0962" w:rsidRDefault="005D0962">
      <w:pPr>
        <w:rPr>
          <w:rFonts w:ascii="Verdana" w:hAnsi="Verdana"/>
          <w:sz w:val="24"/>
          <w:szCs w:val="24"/>
        </w:rPr>
      </w:pPr>
      <w:r>
        <w:rPr>
          <w:rFonts w:ascii="Verdana" w:hAnsi="Verdana"/>
          <w:sz w:val="24"/>
          <w:szCs w:val="24"/>
        </w:rPr>
        <w:t>If SPMG continue to support the scheme</w:t>
      </w:r>
      <w:r w:rsidR="00A5554C">
        <w:rPr>
          <w:rFonts w:ascii="Verdana" w:hAnsi="Verdana"/>
          <w:sz w:val="24"/>
          <w:szCs w:val="24"/>
        </w:rPr>
        <w:t xml:space="preserve"> following the review of the revised business case, then no action is required from an LGF payment perspective</w:t>
      </w:r>
      <w:r w:rsidR="00761485">
        <w:rPr>
          <w:rFonts w:ascii="Verdana" w:hAnsi="Verdana"/>
          <w:sz w:val="24"/>
          <w:szCs w:val="24"/>
        </w:rPr>
        <w:t>. An amendment to the existing grant agreement will need to be made to reflect the changes to the scheme e.g. revised timescales for delivery</w:t>
      </w:r>
      <w:r w:rsidR="00C454BE">
        <w:rPr>
          <w:rFonts w:ascii="Verdana" w:hAnsi="Verdana"/>
          <w:sz w:val="24"/>
          <w:szCs w:val="24"/>
        </w:rPr>
        <w:t xml:space="preserve"> of outputs.</w:t>
      </w:r>
    </w:p>
    <w:p w14:paraId="6AA18B5F" w14:textId="7451F67F" w:rsidR="008F79C9" w:rsidRDefault="008F79C9">
      <w:pPr>
        <w:rPr>
          <w:rFonts w:ascii="Verdana" w:hAnsi="Verdana"/>
          <w:sz w:val="24"/>
          <w:szCs w:val="24"/>
        </w:rPr>
      </w:pPr>
      <w:r>
        <w:rPr>
          <w:rFonts w:ascii="Verdana" w:hAnsi="Verdana"/>
          <w:sz w:val="24"/>
          <w:szCs w:val="24"/>
        </w:rPr>
        <w:t xml:space="preserve">If the scheme does not proceed or SPMG are mindful to withdraw support, </w:t>
      </w:r>
      <w:r w:rsidR="00637175">
        <w:rPr>
          <w:rFonts w:ascii="Verdana" w:hAnsi="Verdana"/>
          <w:sz w:val="24"/>
          <w:szCs w:val="24"/>
        </w:rPr>
        <w:t xml:space="preserve">following a clawback process </w:t>
      </w:r>
      <w:r>
        <w:rPr>
          <w:rFonts w:ascii="Verdana" w:hAnsi="Verdana"/>
          <w:sz w:val="24"/>
          <w:szCs w:val="24"/>
        </w:rPr>
        <w:t xml:space="preserve">this funding will </w:t>
      </w:r>
      <w:r w:rsidR="00670B2E">
        <w:rPr>
          <w:rFonts w:ascii="Verdana" w:hAnsi="Verdana"/>
          <w:sz w:val="24"/>
          <w:szCs w:val="24"/>
        </w:rPr>
        <w:t xml:space="preserve">return </w:t>
      </w:r>
      <w:r>
        <w:rPr>
          <w:rFonts w:ascii="Verdana" w:hAnsi="Verdana"/>
          <w:sz w:val="24"/>
          <w:szCs w:val="24"/>
        </w:rPr>
        <w:t>to the SSLEP.</w:t>
      </w:r>
    </w:p>
    <w:p w14:paraId="2154F182" w14:textId="77777777" w:rsidR="00C30781" w:rsidRDefault="008F79C9">
      <w:pPr>
        <w:rPr>
          <w:rFonts w:ascii="Verdana" w:hAnsi="Verdana"/>
          <w:sz w:val="24"/>
          <w:szCs w:val="24"/>
        </w:rPr>
      </w:pPr>
      <w:r>
        <w:rPr>
          <w:rFonts w:ascii="Verdana" w:hAnsi="Verdana"/>
          <w:sz w:val="24"/>
          <w:szCs w:val="24"/>
        </w:rPr>
        <w:t xml:space="preserve">It is understood BEIS are unlikely to request that this be returned to government and therefore this funding would be available for alternative use. </w:t>
      </w:r>
      <w:r w:rsidR="004C7557">
        <w:rPr>
          <w:rFonts w:ascii="Verdana" w:hAnsi="Verdana"/>
          <w:sz w:val="24"/>
          <w:szCs w:val="24"/>
        </w:rPr>
        <w:t>(</w:t>
      </w:r>
      <w:r w:rsidR="004C7557" w:rsidRPr="004C7557">
        <w:rPr>
          <w:rFonts w:ascii="Verdana" w:hAnsi="Verdana"/>
          <w:i/>
          <w:iCs/>
          <w:sz w:val="24"/>
          <w:szCs w:val="24"/>
        </w:rPr>
        <w:t xml:space="preserve">BEIS have indicated they would expect </w:t>
      </w:r>
      <w:r w:rsidR="00C30781">
        <w:rPr>
          <w:rFonts w:ascii="Verdana" w:hAnsi="Verdana"/>
          <w:i/>
          <w:iCs/>
          <w:sz w:val="24"/>
          <w:szCs w:val="24"/>
        </w:rPr>
        <w:t xml:space="preserve">that if </w:t>
      </w:r>
      <w:r w:rsidR="004C7557" w:rsidRPr="004C7557">
        <w:rPr>
          <w:rFonts w:ascii="Verdana" w:hAnsi="Verdana"/>
          <w:i/>
          <w:iCs/>
          <w:sz w:val="24"/>
          <w:szCs w:val="24"/>
        </w:rPr>
        <w:t>this funding i</w:t>
      </w:r>
      <w:r w:rsidR="00CA4FB5">
        <w:rPr>
          <w:rFonts w:ascii="Verdana" w:hAnsi="Verdana"/>
          <w:i/>
          <w:iCs/>
          <w:sz w:val="24"/>
          <w:szCs w:val="24"/>
        </w:rPr>
        <w:t xml:space="preserve">s </w:t>
      </w:r>
      <w:r w:rsidR="004C7557" w:rsidRPr="004C7557">
        <w:rPr>
          <w:rFonts w:ascii="Verdana" w:hAnsi="Verdana"/>
          <w:i/>
          <w:iCs/>
          <w:sz w:val="24"/>
          <w:szCs w:val="24"/>
        </w:rPr>
        <w:t>returned</w:t>
      </w:r>
      <w:r w:rsidR="004C7557">
        <w:rPr>
          <w:rFonts w:ascii="Verdana" w:hAnsi="Verdana"/>
          <w:sz w:val="24"/>
          <w:szCs w:val="24"/>
        </w:rPr>
        <w:t xml:space="preserve"> </w:t>
      </w:r>
      <w:r w:rsidR="00CA4FB5" w:rsidRPr="00CA6C16">
        <w:rPr>
          <w:rFonts w:ascii="Verdana" w:hAnsi="Verdana"/>
          <w:i/>
          <w:iCs/>
          <w:sz w:val="24"/>
          <w:szCs w:val="24"/>
        </w:rPr>
        <w:t>to</w:t>
      </w:r>
      <w:r w:rsidR="00CA4FB5">
        <w:rPr>
          <w:rFonts w:ascii="Verdana" w:hAnsi="Verdana"/>
          <w:sz w:val="24"/>
          <w:szCs w:val="24"/>
        </w:rPr>
        <w:t xml:space="preserve"> </w:t>
      </w:r>
      <w:r w:rsidR="00CA4FB5" w:rsidRPr="00CA6C16">
        <w:rPr>
          <w:rFonts w:ascii="Verdana" w:hAnsi="Verdana"/>
          <w:i/>
          <w:iCs/>
          <w:sz w:val="24"/>
          <w:szCs w:val="24"/>
        </w:rPr>
        <w:t>the SSLEP</w:t>
      </w:r>
      <w:r w:rsidR="00CA6C16" w:rsidRPr="00CA6C16">
        <w:rPr>
          <w:rFonts w:ascii="Verdana" w:hAnsi="Verdana"/>
          <w:i/>
          <w:iCs/>
          <w:sz w:val="24"/>
          <w:szCs w:val="24"/>
        </w:rPr>
        <w:t xml:space="preserve"> it</w:t>
      </w:r>
      <w:r w:rsidR="00CA6C16">
        <w:rPr>
          <w:rFonts w:ascii="Verdana" w:hAnsi="Verdana"/>
          <w:sz w:val="24"/>
          <w:szCs w:val="24"/>
        </w:rPr>
        <w:t xml:space="preserve"> </w:t>
      </w:r>
      <w:r w:rsidR="004C7557" w:rsidRPr="004C7557">
        <w:rPr>
          <w:rFonts w:ascii="Verdana" w:hAnsi="Verdana"/>
          <w:i/>
          <w:iCs/>
          <w:sz w:val="24"/>
          <w:szCs w:val="24"/>
        </w:rPr>
        <w:t>should be expended before 31 March 22</w:t>
      </w:r>
      <w:r w:rsidR="004C7557">
        <w:rPr>
          <w:rFonts w:ascii="Verdana" w:hAnsi="Verdana"/>
          <w:sz w:val="24"/>
          <w:szCs w:val="24"/>
        </w:rPr>
        <w:t xml:space="preserve">.) </w:t>
      </w:r>
    </w:p>
    <w:p w14:paraId="1921BC5E" w14:textId="6609CEF1" w:rsidR="008F79C9" w:rsidRDefault="008F79C9">
      <w:pPr>
        <w:rPr>
          <w:rFonts w:ascii="Verdana" w:hAnsi="Verdana"/>
          <w:sz w:val="24"/>
          <w:szCs w:val="24"/>
        </w:rPr>
      </w:pPr>
      <w:r>
        <w:rPr>
          <w:rFonts w:ascii="Verdana" w:hAnsi="Verdana"/>
          <w:sz w:val="24"/>
          <w:szCs w:val="24"/>
        </w:rPr>
        <w:t>Potential options are:-</w:t>
      </w:r>
    </w:p>
    <w:p w14:paraId="57A08542" w14:textId="009BC22C" w:rsidR="008F79C9" w:rsidRDefault="008F79C9" w:rsidP="008F79C9">
      <w:pPr>
        <w:pStyle w:val="ListParagraph"/>
        <w:numPr>
          <w:ilvl w:val="0"/>
          <w:numId w:val="1"/>
        </w:numPr>
        <w:rPr>
          <w:rFonts w:ascii="Verdana" w:hAnsi="Verdana"/>
          <w:sz w:val="24"/>
          <w:szCs w:val="24"/>
        </w:rPr>
      </w:pPr>
      <w:r>
        <w:rPr>
          <w:rFonts w:ascii="Verdana" w:hAnsi="Verdana"/>
          <w:sz w:val="24"/>
          <w:szCs w:val="24"/>
        </w:rPr>
        <w:t xml:space="preserve">Utilise on </w:t>
      </w:r>
      <w:r w:rsidR="001A692E">
        <w:rPr>
          <w:rFonts w:ascii="Verdana" w:hAnsi="Verdana"/>
          <w:sz w:val="24"/>
          <w:szCs w:val="24"/>
        </w:rPr>
        <w:t xml:space="preserve">a </w:t>
      </w:r>
      <w:r>
        <w:rPr>
          <w:rFonts w:ascii="Verdana" w:hAnsi="Verdana"/>
          <w:sz w:val="24"/>
          <w:szCs w:val="24"/>
        </w:rPr>
        <w:t>new scheme</w:t>
      </w:r>
      <w:r w:rsidR="001A692E">
        <w:rPr>
          <w:rFonts w:ascii="Verdana" w:hAnsi="Verdana"/>
          <w:sz w:val="24"/>
          <w:szCs w:val="24"/>
        </w:rPr>
        <w:t>(</w:t>
      </w:r>
      <w:r>
        <w:rPr>
          <w:rFonts w:ascii="Verdana" w:hAnsi="Verdana"/>
          <w:sz w:val="24"/>
          <w:szCs w:val="24"/>
        </w:rPr>
        <w:t>s</w:t>
      </w:r>
      <w:r w:rsidR="001A692E">
        <w:rPr>
          <w:rFonts w:ascii="Verdana" w:hAnsi="Verdana"/>
          <w:sz w:val="24"/>
          <w:szCs w:val="24"/>
        </w:rPr>
        <w:t>)</w:t>
      </w:r>
      <w:r>
        <w:rPr>
          <w:rFonts w:ascii="Verdana" w:hAnsi="Verdana"/>
          <w:sz w:val="24"/>
          <w:szCs w:val="24"/>
        </w:rPr>
        <w:t>. These would need to be identified, logically through an open call</w:t>
      </w:r>
      <w:r w:rsidR="00CA6C16">
        <w:rPr>
          <w:rFonts w:ascii="Verdana" w:hAnsi="Verdana"/>
          <w:sz w:val="24"/>
          <w:szCs w:val="24"/>
        </w:rPr>
        <w:t>, which would immediately</w:t>
      </w:r>
      <w:r w:rsidR="00281D5D">
        <w:rPr>
          <w:rFonts w:ascii="Verdana" w:hAnsi="Verdana"/>
          <w:sz w:val="24"/>
          <w:szCs w:val="24"/>
        </w:rPr>
        <w:t xml:space="preserve"> be an issue from a times</w:t>
      </w:r>
      <w:r w:rsidR="001A692E">
        <w:rPr>
          <w:rFonts w:ascii="Verdana" w:hAnsi="Verdana"/>
          <w:sz w:val="24"/>
          <w:szCs w:val="24"/>
        </w:rPr>
        <w:t>cale point of view</w:t>
      </w:r>
      <w:r w:rsidR="000B2314">
        <w:rPr>
          <w:rFonts w:ascii="Verdana" w:hAnsi="Verdana"/>
          <w:sz w:val="24"/>
          <w:szCs w:val="24"/>
        </w:rPr>
        <w:t xml:space="preserve"> indicated by BEIS</w:t>
      </w:r>
      <w:r>
        <w:rPr>
          <w:rFonts w:ascii="Verdana" w:hAnsi="Verdana"/>
          <w:sz w:val="24"/>
          <w:szCs w:val="24"/>
        </w:rPr>
        <w:t>.</w:t>
      </w:r>
    </w:p>
    <w:p w14:paraId="7274CBFA" w14:textId="77777777" w:rsidR="00D86A44" w:rsidRDefault="00D86A44" w:rsidP="00D86A44">
      <w:pPr>
        <w:pStyle w:val="ListParagraph"/>
        <w:ind w:left="0"/>
        <w:rPr>
          <w:rFonts w:ascii="Verdana" w:hAnsi="Verdana"/>
          <w:sz w:val="24"/>
          <w:szCs w:val="24"/>
        </w:rPr>
      </w:pPr>
    </w:p>
    <w:p w14:paraId="7221D2FE" w14:textId="5AA2B789" w:rsidR="008F79C9" w:rsidRDefault="008F79C9" w:rsidP="008F79C9">
      <w:pPr>
        <w:pStyle w:val="ListParagraph"/>
        <w:numPr>
          <w:ilvl w:val="0"/>
          <w:numId w:val="1"/>
        </w:numPr>
        <w:rPr>
          <w:rFonts w:ascii="Verdana" w:hAnsi="Verdana"/>
          <w:sz w:val="24"/>
          <w:szCs w:val="24"/>
        </w:rPr>
      </w:pPr>
      <w:r>
        <w:rPr>
          <w:rFonts w:ascii="Verdana" w:hAnsi="Verdana"/>
          <w:sz w:val="24"/>
          <w:szCs w:val="24"/>
        </w:rPr>
        <w:t xml:space="preserve">Hold the funding in reserves until </w:t>
      </w:r>
      <w:r w:rsidR="00F07F7E">
        <w:rPr>
          <w:rFonts w:ascii="Verdana" w:hAnsi="Verdana"/>
          <w:sz w:val="24"/>
          <w:szCs w:val="24"/>
        </w:rPr>
        <w:t xml:space="preserve">an </w:t>
      </w:r>
      <w:r>
        <w:rPr>
          <w:rFonts w:ascii="Verdana" w:hAnsi="Verdana"/>
          <w:sz w:val="24"/>
          <w:szCs w:val="24"/>
        </w:rPr>
        <w:t>alternative use is identified</w:t>
      </w:r>
      <w:r w:rsidR="00EF46A3">
        <w:rPr>
          <w:rFonts w:ascii="Verdana" w:hAnsi="Verdana"/>
          <w:sz w:val="24"/>
          <w:szCs w:val="24"/>
        </w:rPr>
        <w:t xml:space="preserve">, </w:t>
      </w:r>
      <w:r w:rsidR="00A57928">
        <w:rPr>
          <w:rFonts w:ascii="Verdana" w:hAnsi="Verdana"/>
          <w:sz w:val="24"/>
          <w:szCs w:val="24"/>
        </w:rPr>
        <w:t>(</w:t>
      </w:r>
      <w:r w:rsidR="00EF46A3">
        <w:rPr>
          <w:rFonts w:ascii="Verdana" w:hAnsi="Verdana"/>
          <w:sz w:val="24"/>
          <w:szCs w:val="24"/>
        </w:rPr>
        <w:t>effectively ignoring advice of BEIS</w:t>
      </w:r>
      <w:r w:rsidR="000368BF">
        <w:rPr>
          <w:rFonts w:ascii="Verdana" w:hAnsi="Verdana"/>
          <w:sz w:val="24"/>
          <w:szCs w:val="24"/>
        </w:rPr>
        <w:t>)</w:t>
      </w:r>
      <w:r>
        <w:rPr>
          <w:rFonts w:ascii="Verdana" w:hAnsi="Verdana"/>
          <w:sz w:val="24"/>
          <w:szCs w:val="24"/>
        </w:rPr>
        <w:t>.</w:t>
      </w:r>
      <w:r w:rsidR="00241952">
        <w:rPr>
          <w:rFonts w:ascii="Verdana" w:hAnsi="Verdana"/>
          <w:sz w:val="24"/>
          <w:szCs w:val="24"/>
        </w:rPr>
        <w:t xml:space="preserve"> </w:t>
      </w:r>
      <w:r w:rsidR="006612D3">
        <w:rPr>
          <w:rFonts w:ascii="Verdana" w:hAnsi="Verdana"/>
          <w:sz w:val="24"/>
          <w:szCs w:val="24"/>
        </w:rPr>
        <w:t>This would increase the estimated level of the Projects Reserve</w:t>
      </w:r>
      <w:r w:rsidR="005A70AE">
        <w:rPr>
          <w:rFonts w:ascii="Verdana" w:hAnsi="Verdana"/>
          <w:sz w:val="24"/>
          <w:szCs w:val="24"/>
        </w:rPr>
        <w:t xml:space="preserve"> to £1.9m</w:t>
      </w:r>
      <w:r w:rsidR="003A0296">
        <w:rPr>
          <w:rFonts w:ascii="Verdana" w:hAnsi="Verdana"/>
          <w:sz w:val="24"/>
          <w:szCs w:val="24"/>
        </w:rPr>
        <w:t xml:space="preserve"> at 31</w:t>
      </w:r>
      <w:r w:rsidR="003A0296" w:rsidRPr="003A0296">
        <w:rPr>
          <w:rFonts w:ascii="Verdana" w:hAnsi="Verdana"/>
          <w:sz w:val="24"/>
          <w:szCs w:val="24"/>
          <w:vertAlign w:val="superscript"/>
        </w:rPr>
        <w:t>st</w:t>
      </w:r>
      <w:r w:rsidR="003A0296">
        <w:rPr>
          <w:rFonts w:ascii="Verdana" w:hAnsi="Verdana"/>
          <w:sz w:val="24"/>
          <w:szCs w:val="24"/>
        </w:rPr>
        <w:t xml:space="preserve"> March 2022.</w:t>
      </w:r>
    </w:p>
    <w:p w14:paraId="3FB210E5" w14:textId="77777777" w:rsidR="00A70C27" w:rsidRPr="00A70C27" w:rsidRDefault="00A70C27" w:rsidP="00A70C27">
      <w:pPr>
        <w:pStyle w:val="ListParagraph"/>
        <w:rPr>
          <w:rFonts w:ascii="Verdana" w:hAnsi="Verdana"/>
          <w:sz w:val="24"/>
          <w:szCs w:val="24"/>
        </w:rPr>
      </w:pPr>
    </w:p>
    <w:p w14:paraId="7AAA3877" w14:textId="2A17282F" w:rsidR="008F79C9" w:rsidRDefault="008F79C9" w:rsidP="008F79C9">
      <w:pPr>
        <w:pStyle w:val="ListParagraph"/>
        <w:numPr>
          <w:ilvl w:val="0"/>
          <w:numId w:val="1"/>
        </w:numPr>
        <w:rPr>
          <w:rFonts w:ascii="Verdana" w:hAnsi="Verdana"/>
          <w:sz w:val="24"/>
          <w:szCs w:val="24"/>
        </w:rPr>
      </w:pPr>
      <w:r>
        <w:rPr>
          <w:rFonts w:ascii="Verdana" w:hAnsi="Verdana"/>
          <w:sz w:val="24"/>
          <w:szCs w:val="24"/>
        </w:rPr>
        <w:t>Utilise part of the funding (£0.524m) to support the GBF schemes which are being part funded from reserves and use the balance as per a)</w:t>
      </w:r>
      <w:r w:rsidR="00784E1B">
        <w:rPr>
          <w:rFonts w:ascii="Verdana" w:hAnsi="Verdana"/>
          <w:sz w:val="24"/>
          <w:szCs w:val="24"/>
        </w:rPr>
        <w:t>,</w:t>
      </w:r>
      <w:r>
        <w:rPr>
          <w:rFonts w:ascii="Verdana" w:hAnsi="Verdana"/>
          <w:sz w:val="24"/>
          <w:szCs w:val="24"/>
        </w:rPr>
        <w:t xml:space="preserve"> b) </w:t>
      </w:r>
      <w:r w:rsidR="00784E1B">
        <w:rPr>
          <w:rFonts w:ascii="Verdana" w:hAnsi="Verdana"/>
          <w:sz w:val="24"/>
          <w:szCs w:val="24"/>
        </w:rPr>
        <w:t>or d)</w:t>
      </w:r>
      <w:r>
        <w:rPr>
          <w:rFonts w:ascii="Verdana" w:hAnsi="Verdana"/>
          <w:sz w:val="24"/>
          <w:szCs w:val="24"/>
        </w:rPr>
        <w:t>.</w:t>
      </w:r>
    </w:p>
    <w:p w14:paraId="5E2F6A43" w14:textId="77777777" w:rsidR="00A70C27" w:rsidRPr="00A70C27" w:rsidRDefault="00A70C27" w:rsidP="00A70C27">
      <w:pPr>
        <w:pStyle w:val="ListParagraph"/>
        <w:rPr>
          <w:rFonts w:ascii="Verdana" w:hAnsi="Verdana"/>
          <w:sz w:val="24"/>
          <w:szCs w:val="24"/>
        </w:rPr>
      </w:pPr>
    </w:p>
    <w:p w14:paraId="284C2F6B" w14:textId="17E8D3DC" w:rsidR="0082799A" w:rsidRDefault="008F79C9" w:rsidP="008F79C9">
      <w:pPr>
        <w:pStyle w:val="ListParagraph"/>
        <w:numPr>
          <w:ilvl w:val="0"/>
          <w:numId w:val="1"/>
        </w:numPr>
        <w:rPr>
          <w:rFonts w:ascii="Verdana" w:hAnsi="Verdana"/>
          <w:sz w:val="24"/>
          <w:szCs w:val="24"/>
        </w:rPr>
      </w:pPr>
      <w:r>
        <w:rPr>
          <w:rFonts w:ascii="Verdana" w:hAnsi="Verdana"/>
          <w:sz w:val="24"/>
          <w:szCs w:val="24"/>
        </w:rPr>
        <w:t>Utilise the funding to support the I54WE</w:t>
      </w:r>
      <w:r w:rsidR="006F0DEA">
        <w:rPr>
          <w:rFonts w:ascii="Verdana" w:hAnsi="Verdana"/>
          <w:sz w:val="24"/>
          <w:szCs w:val="24"/>
        </w:rPr>
        <w:t xml:space="preserve"> that is currently in the GBF programme</w:t>
      </w:r>
      <w:r w:rsidR="003830EB">
        <w:rPr>
          <w:rFonts w:ascii="Verdana" w:hAnsi="Verdana"/>
          <w:sz w:val="24"/>
          <w:szCs w:val="24"/>
        </w:rPr>
        <w:t xml:space="preserve"> (and was also in the LGF programme)</w:t>
      </w:r>
      <w:r>
        <w:rPr>
          <w:rFonts w:ascii="Verdana" w:hAnsi="Verdana"/>
          <w:sz w:val="24"/>
          <w:szCs w:val="24"/>
        </w:rPr>
        <w:t>, rather than utilising future business rates from the I54. SSLEP still owes circa. £</w:t>
      </w:r>
      <w:r w:rsidR="00AC1EC4">
        <w:rPr>
          <w:rFonts w:ascii="Verdana" w:hAnsi="Verdana"/>
          <w:sz w:val="24"/>
          <w:szCs w:val="24"/>
        </w:rPr>
        <w:t>1.761</w:t>
      </w:r>
      <w:r>
        <w:rPr>
          <w:rFonts w:ascii="Verdana" w:hAnsi="Verdana"/>
          <w:sz w:val="24"/>
          <w:szCs w:val="24"/>
        </w:rPr>
        <w:t xml:space="preserve">m to </w:t>
      </w:r>
      <w:r>
        <w:rPr>
          <w:rFonts w:ascii="Verdana" w:hAnsi="Verdana"/>
          <w:sz w:val="24"/>
          <w:szCs w:val="24"/>
        </w:rPr>
        <w:lastRenderedPageBreak/>
        <w:t>this scheme and using this money to part fund this would reduce the overall</w:t>
      </w:r>
      <w:r w:rsidR="0082799A">
        <w:rPr>
          <w:rFonts w:ascii="Verdana" w:hAnsi="Verdana"/>
          <w:sz w:val="24"/>
          <w:szCs w:val="24"/>
        </w:rPr>
        <w:t xml:space="preserve"> value of the amount owing (reduced interest charges) and mean business rates would be available sooner for re-investment.</w:t>
      </w:r>
      <w:r w:rsidR="004F2463">
        <w:rPr>
          <w:rFonts w:ascii="Verdana" w:hAnsi="Verdana"/>
          <w:sz w:val="24"/>
          <w:szCs w:val="24"/>
        </w:rPr>
        <w:t xml:space="preserve"> The latest estimate is that the SSLEP will receive</w:t>
      </w:r>
      <w:r w:rsidR="0002361E">
        <w:rPr>
          <w:rFonts w:ascii="Verdana" w:hAnsi="Verdana"/>
          <w:sz w:val="24"/>
          <w:szCs w:val="24"/>
        </w:rPr>
        <w:t xml:space="preserve"> business rates from the I54EZ of circa. £3m p.a. from 2025/26</w:t>
      </w:r>
      <w:r w:rsidR="004252BB">
        <w:rPr>
          <w:rFonts w:ascii="Verdana" w:hAnsi="Verdana"/>
          <w:sz w:val="24"/>
          <w:szCs w:val="24"/>
        </w:rPr>
        <w:t>. The first call on these business rates will be the balance owing on</w:t>
      </w:r>
      <w:r w:rsidR="002721E2">
        <w:rPr>
          <w:rFonts w:ascii="Verdana" w:hAnsi="Verdana"/>
          <w:sz w:val="24"/>
          <w:szCs w:val="24"/>
        </w:rPr>
        <w:t xml:space="preserve"> the I54WE above, unless other sources of funding are utilised to pay this outstanding debt.</w:t>
      </w:r>
    </w:p>
    <w:p w14:paraId="03C8CEF4" w14:textId="77777777" w:rsidR="00E93257" w:rsidRDefault="00E93257" w:rsidP="00E93257">
      <w:pPr>
        <w:pStyle w:val="ListParagraph"/>
        <w:rPr>
          <w:rFonts w:ascii="Verdana" w:hAnsi="Verdana"/>
          <w:sz w:val="24"/>
          <w:szCs w:val="24"/>
        </w:rPr>
      </w:pPr>
    </w:p>
    <w:p w14:paraId="6D4786E3" w14:textId="49E671E8" w:rsidR="008F79C9" w:rsidRDefault="0082799A" w:rsidP="0082799A">
      <w:pPr>
        <w:rPr>
          <w:rFonts w:ascii="Verdana" w:hAnsi="Verdana"/>
          <w:sz w:val="24"/>
          <w:szCs w:val="24"/>
        </w:rPr>
      </w:pPr>
      <w:r>
        <w:rPr>
          <w:rFonts w:ascii="Verdana" w:hAnsi="Verdana"/>
          <w:sz w:val="24"/>
          <w:szCs w:val="24"/>
        </w:rPr>
        <w:t>In determining an alternative</w:t>
      </w:r>
      <w:r w:rsidR="008F79C9" w:rsidRPr="0082799A">
        <w:rPr>
          <w:rFonts w:ascii="Verdana" w:hAnsi="Verdana"/>
          <w:sz w:val="24"/>
          <w:szCs w:val="24"/>
        </w:rPr>
        <w:t xml:space="preserve"> </w:t>
      </w:r>
      <w:r>
        <w:rPr>
          <w:rFonts w:ascii="Verdana" w:hAnsi="Verdana"/>
          <w:sz w:val="24"/>
          <w:szCs w:val="24"/>
        </w:rPr>
        <w:t>option,</w:t>
      </w:r>
      <w:r w:rsidR="003C7116">
        <w:rPr>
          <w:rFonts w:ascii="Verdana" w:hAnsi="Verdana"/>
          <w:sz w:val="24"/>
          <w:szCs w:val="24"/>
        </w:rPr>
        <w:t xml:space="preserve"> should SPMG be mindful to withdraw the funding</w:t>
      </w:r>
      <w:r w:rsidR="00E93257">
        <w:rPr>
          <w:rFonts w:ascii="Verdana" w:hAnsi="Verdana"/>
          <w:sz w:val="24"/>
          <w:szCs w:val="24"/>
        </w:rPr>
        <w:t>,</w:t>
      </w:r>
      <w:r>
        <w:rPr>
          <w:rFonts w:ascii="Verdana" w:hAnsi="Verdana"/>
          <w:sz w:val="24"/>
          <w:szCs w:val="24"/>
        </w:rPr>
        <w:t xml:space="preserve"> the SSLEP needs to </w:t>
      </w:r>
      <w:r w:rsidR="00E93257">
        <w:rPr>
          <w:rFonts w:ascii="Verdana" w:hAnsi="Verdana"/>
          <w:sz w:val="24"/>
          <w:szCs w:val="24"/>
        </w:rPr>
        <w:t>consider</w:t>
      </w:r>
      <w:r>
        <w:rPr>
          <w:rFonts w:ascii="Verdana" w:hAnsi="Verdana"/>
          <w:sz w:val="24"/>
          <w:szCs w:val="24"/>
        </w:rPr>
        <w:t xml:space="preserve"> the outputs that are due to be delivered on the Blythe scheme (</w:t>
      </w:r>
      <w:r w:rsidR="005C5C62" w:rsidRPr="004C7557">
        <w:rPr>
          <w:rFonts w:ascii="Verdana" w:hAnsi="Verdana"/>
          <w:sz w:val="24"/>
          <w:szCs w:val="24"/>
        </w:rPr>
        <w:t>according</w:t>
      </w:r>
      <w:r w:rsidR="005C5C62" w:rsidRPr="00E93257">
        <w:rPr>
          <w:rFonts w:ascii="Verdana" w:hAnsi="Verdana"/>
          <w:sz w:val="24"/>
          <w:szCs w:val="24"/>
        </w:rPr>
        <w:t xml:space="preserve"> </w:t>
      </w:r>
      <w:r w:rsidR="005C5C62" w:rsidRPr="004C7557">
        <w:rPr>
          <w:rFonts w:ascii="Verdana" w:hAnsi="Verdana"/>
          <w:sz w:val="24"/>
          <w:szCs w:val="24"/>
        </w:rPr>
        <w:t xml:space="preserve">to the original </w:t>
      </w:r>
      <w:r w:rsidR="00E36FD3" w:rsidRPr="004C7557">
        <w:rPr>
          <w:rFonts w:ascii="Verdana" w:hAnsi="Verdana"/>
          <w:sz w:val="24"/>
          <w:szCs w:val="24"/>
        </w:rPr>
        <w:t xml:space="preserve">contract this was </w:t>
      </w:r>
      <w:r w:rsidR="00294A03" w:rsidRPr="004C7557">
        <w:rPr>
          <w:rFonts w:ascii="Verdana" w:hAnsi="Verdana"/>
          <w:sz w:val="24"/>
          <w:szCs w:val="24"/>
        </w:rPr>
        <w:t>168</w:t>
      </w:r>
      <w:r w:rsidRPr="004C7557">
        <w:rPr>
          <w:rFonts w:ascii="Verdana" w:hAnsi="Verdana"/>
          <w:sz w:val="24"/>
          <w:szCs w:val="24"/>
        </w:rPr>
        <w:t xml:space="preserve"> houses</w:t>
      </w:r>
      <w:r w:rsidR="00294A03" w:rsidRPr="004C7557">
        <w:rPr>
          <w:rFonts w:ascii="Verdana" w:hAnsi="Verdana"/>
          <w:sz w:val="24"/>
          <w:szCs w:val="24"/>
        </w:rPr>
        <w:t xml:space="preserve"> and</w:t>
      </w:r>
      <w:r w:rsidRPr="004C7557">
        <w:rPr>
          <w:rFonts w:ascii="Verdana" w:hAnsi="Verdana"/>
          <w:sz w:val="24"/>
          <w:szCs w:val="24"/>
        </w:rPr>
        <w:t xml:space="preserve"> </w:t>
      </w:r>
      <w:r w:rsidR="00294A03" w:rsidRPr="004C7557">
        <w:rPr>
          <w:rFonts w:ascii="Verdana" w:hAnsi="Verdana"/>
          <w:sz w:val="24"/>
          <w:szCs w:val="24"/>
        </w:rPr>
        <w:t>415</w:t>
      </w:r>
      <w:r w:rsidRPr="004C7557">
        <w:rPr>
          <w:rFonts w:ascii="Verdana" w:hAnsi="Verdana"/>
          <w:sz w:val="24"/>
          <w:szCs w:val="24"/>
        </w:rPr>
        <w:t xml:space="preserve"> jobs</w:t>
      </w:r>
      <w:r>
        <w:rPr>
          <w:rFonts w:ascii="Verdana" w:hAnsi="Verdana"/>
          <w:sz w:val="24"/>
          <w:szCs w:val="24"/>
        </w:rPr>
        <w:t>) and the impact on the overall targets the SSLEP is tasked to deliver from the LGF programme.</w:t>
      </w:r>
    </w:p>
    <w:p w14:paraId="67C4EDCB" w14:textId="08E36196" w:rsidR="0082799A" w:rsidRDefault="0082799A" w:rsidP="0082799A">
      <w:pPr>
        <w:rPr>
          <w:rFonts w:ascii="Verdana" w:hAnsi="Verdana"/>
          <w:sz w:val="24"/>
          <w:szCs w:val="24"/>
        </w:rPr>
      </w:pPr>
    </w:p>
    <w:p w14:paraId="16236CFE" w14:textId="65F7F71D" w:rsidR="0082799A" w:rsidRPr="000A133A" w:rsidRDefault="0082799A" w:rsidP="0082799A">
      <w:pPr>
        <w:rPr>
          <w:rFonts w:ascii="Verdana" w:hAnsi="Verdana"/>
          <w:b/>
          <w:bCs/>
          <w:sz w:val="24"/>
          <w:szCs w:val="24"/>
        </w:rPr>
      </w:pPr>
      <w:r w:rsidRPr="000A133A">
        <w:rPr>
          <w:rFonts w:ascii="Verdana" w:hAnsi="Verdana"/>
          <w:b/>
          <w:bCs/>
          <w:sz w:val="24"/>
          <w:szCs w:val="24"/>
        </w:rPr>
        <w:t>GBF</w:t>
      </w:r>
    </w:p>
    <w:p w14:paraId="4EDEA5D9" w14:textId="7F87EA3F" w:rsidR="00234E34" w:rsidRDefault="00E86943" w:rsidP="0082799A">
      <w:pPr>
        <w:rPr>
          <w:rFonts w:ascii="Verdana" w:hAnsi="Verdana"/>
          <w:sz w:val="24"/>
          <w:szCs w:val="24"/>
        </w:rPr>
      </w:pPr>
      <w:r>
        <w:rPr>
          <w:rFonts w:ascii="Verdana" w:hAnsi="Verdana"/>
          <w:sz w:val="24"/>
          <w:szCs w:val="24"/>
        </w:rPr>
        <w:t xml:space="preserve">Separate papers elsewhere on the Agenda </w:t>
      </w:r>
      <w:r w:rsidR="007D4A57">
        <w:rPr>
          <w:rFonts w:ascii="Verdana" w:hAnsi="Verdana"/>
          <w:sz w:val="24"/>
          <w:szCs w:val="24"/>
        </w:rPr>
        <w:t xml:space="preserve">have highlighted issues with several schemes being unable to meet the </w:t>
      </w:r>
      <w:r w:rsidR="00234E34">
        <w:rPr>
          <w:rFonts w:ascii="Verdana" w:hAnsi="Verdana"/>
          <w:sz w:val="24"/>
          <w:szCs w:val="24"/>
        </w:rPr>
        <w:t>31</w:t>
      </w:r>
      <w:r w:rsidR="00234E34" w:rsidRPr="00234E34">
        <w:rPr>
          <w:rFonts w:ascii="Verdana" w:hAnsi="Verdana"/>
          <w:sz w:val="24"/>
          <w:szCs w:val="24"/>
          <w:vertAlign w:val="superscript"/>
        </w:rPr>
        <w:t>st</w:t>
      </w:r>
      <w:r w:rsidR="00234E34">
        <w:rPr>
          <w:rFonts w:ascii="Verdana" w:hAnsi="Verdana"/>
          <w:sz w:val="24"/>
          <w:szCs w:val="24"/>
        </w:rPr>
        <w:t xml:space="preserve"> March 2022 spend deadline</w:t>
      </w:r>
      <w:r w:rsidR="00652E88">
        <w:rPr>
          <w:rFonts w:ascii="Verdana" w:hAnsi="Verdana"/>
          <w:sz w:val="24"/>
          <w:szCs w:val="24"/>
        </w:rPr>
        <w:t xml:space="preserve"> for</w:t>
      </w:r>
      <w:r w:rsidR="000B335A">
        <w:rPr>
          <w:rFonts w:ascii="Verdana" w:hAnsi="Verdana"/>
          <w:sz w:val="24"/>
          <w:szCs w:val="24"/>
        </w:rPr>
        <w:t xml:space="preserve"> GBF</w:t>
      </w:r>
      <w:r w:rsidR="00FB7344">
        <w:rPr>
          <w:rFonts w:ascii="Verdana" w:hAnsi="Verdana"/>
          <w:sz w:val="24"/>
          <w:szCs w:val="24"/>
        </w:rPr>
        <w:t>.</w:t>
      </w:r>
    </w:p>
    <w:p w14:paraId="190B105E" w14:textId="77777777" w:rsidR="00A01A6B" w:rsidRDefault="00A01A6B" w:rsidP="00A01A6B">
      <w:pPr>
        <w:rPr>
          <w:rFonts w:ascii="Verdana" w:hAnsi="Verdana"/>
          <w:sz w:val="24"/>
          <w:szCs w:val="24"/>
        </w:rPr>
      </w:pPr>
      <w:r>
        <w:rPr>
          <w:rFonts w:ascii="Verdana" w:hAnsi="Verdana"/>
          <w:sz w:val="24"/>
          <w:szCs w:val="24"/>
        </w:rPr>
        <w:t>A summary of the current position is:-</w:t>
      </w:r>
    </w:p>
    <w:p w14:paraId="587FB75F" w14:textId="77777777" w:rsidR="00A01A6B" w:rsidRDefault="00A01A6B" w:rsidP="00A01A6B">
      <w:pPr>
        <w:rPr>
          <w:rFonts w:ascii="Verdana" w:hAnsi="Verdana"/>
          <w:sz w:val="24"/>
          <w:szCs w:val="24"/>
        </w:rPr>
      </w:pPr>
    </w:p>
    <w:tbl>
      <w:tblPr>
        <w:tblStyle w:val="TableGrid"/>
        <w:tblW w:w="0" w:type="auto"/>
        <w:tblLook w:val="04A0" w:firstRow="1" w:lastRow="0" w:firstColumn="1" w:lastColumn="0" w:noHBand="0" w:noVBand="1"/>
      </w:tblPr>
      <w:tblGrid>
        <w:gridCol w:w="1980"/>
        <w:gridCol w:w="1984"/>
        <w:gridCol w:w="2127"/>
        <w:gridCol w:w="2925"/>
      </w:tblGrid>
      <w:tr w:rsidR="00A01A6B" w14:paraId="51A46FFC" w14:textId="77777777" w:rsidTr="00F87EF4">
        <w:tc>
          <w:tcPr>
            <w:tcW w:w="1980" w:type="dxa"/>
          </w:tcPr>
          <w:p w14:paraId="36AA8D75" w14:textId="77777777" w:rsidR="00A01A6B" w:rsidRPr="0096236B" w:rsidRDefault="00A01A6B" w:rsidP="005A1C59">
            <w:pPr>
              <w:jc w:val="center"/>
              <w:rPr>
                <w:rFonts w:ascii="Verdana" w:hAnsi="Verdana"/>
                <w:b/>
                <w:bCs/>
                <w:sz w:val="24"/>
                <w:szCs w:val="24"/>
              </w:rPr>
            </w:pPr>
            <w:r w:rsidRPr="0096236B">
              <w:rPr>
                <w:rFonts w:ascii="Verdana" w:hAnsi="Verdana"/>
                <w:b/>
                <w:bCs/>
                <w:sz w:val="24"/>
                <w:szCs w:val="24"/>
              </w:rPr>
              <w:t>Scheme</w:t>
            </w:r>
          </w:p>
        </w:tc>
        <w:tc>
          <w:tcPr>
            <w:tcW w:w="1984" w:type="dxa"/>
          </w:tcPr>
          <w:p w14:paraId="16449F7D" w14:textId="77777777" w:rsidR="008D49CD" w:rsidRDefault="00A01A6B" w:rsidP="005A1C59">
            <w:pPr>
              <w:jc w:val="center"/>
              <w:rPr>
                <w:rFonts w:ascii="Verdana" w:hAnsi="Verdana"/>
                <w:b/>
                <w:bCs/>
                <w:sz w:val="24"/>
                <w:szCs w:val="24"/>
              </w:rPr>
            </w:pPr>
            <w:r w:rsidRPr="0096236B">
              <w:rPr>
                <w:rFonts w:ascii="Verdana" w:hAnsi="Verdana"/>
                <w:b/>
                <w:bCs/>
                <w:sz w:val="24"/>
                <w:szCs w:val="24"/>
              </w:rPr>
              <w:t xml:space="preserve">GBF </w:t>
            </w:r>
            <w:r w:rsidR="00BF1CD8">
              <w:rPr>
                <w:rFonts w:ascii="Verdana" w:hAnsi="Verdana"/>
                <w:b/>
                <w:bCs/>
                <w:sz w:val="24"/>
                <w:szCs w:val="24"/>
              </w:rPr>
              <w:t xml:space="preserve">est. </w:t>
            </w:r>
            <w:r w:rsidRPr="0096236B">
              <w:rPr>
                <w:rFonts w:ascii="Verdana" w:hAnsi="Verdana"/>
                <w:b/>
                <w:bCs/>
                <w:sz w:val="24"/>
                <w:szCs w:val="24"/>
              </w:rPr>
              <w:t>underspend 21/22</w:t>
            </w:r>
          </w:p>
          <w:p w14:paraId="48018218" w14:textId="76D64C93" w:rsidR="00A01A6B" w:rsidRPr="0096236B" w:rsidRDefault="00A01A6B" w:rsidP="005A1C59">
            <w:pPr>
              <w:jc w:val="center"/>
              <w:rPr>
                <w:rFonts w:ascii="Verdana" w:hAnsi="Verdana"/>
                <w:b/>
                <w:bCs/>
                <w:sz w:val="24"/>
                <w:szCs w:val="24"/>
              </w:rPr>
            </w:pPr>
            <w:r w:rsidRPr="0096236B">
              <w:rPr>
                <w:rFonts w:ascii="Verdana" w:hAnsi="Verdana"/>
                <w:b/>
                <w:bCs/>
                <w:sz w:val="24"/>
                <w:szCs w:val="24"/>
              </w:rPr>
              <w:t xml:space="preserve"> £m</w:t>
            </w:r>
          </w:p>
        </w:tc>
        <w:tc>
          <w:tcPr>
            <w:tcW w:w="2127" w:type="dxa"/>
          </w:tcPr>
          <w:p w14:paraId="6506B096" w14:textId="77777777" w:rsidR="008D49CD" w:rsidRDefault="00A01A6B" w:rsidP="005A1C59">
            <w:pPr>
              <w:jc w:val="center"/>
              <w:rPr>
                <w:rFonts w:ascii="Verdana" w:hAnsi="Verdana"/>
                <w:b/>
                <w:bCs/>
                <w:sz w:val="24"/>
                <w:szCs w:val="24"/>
              </w:rPr>
            </w:pPr>
            <w:r w:rsidRPr="0096236B">
              <w:rPr>
                <w:rFonts w:ascii="Verdana" w:hAnsi="Verdana"/>
                <w:b/>
                <w:bCs/>
                <w:sz w:val="24"/>
                <w:szCs w:val="24"/>
              </w:rPr>
              <w:t xml:space="preserve">Reserves </w:t>
            </w:r>
            <w:r w:rsidR="00BF1CD8">
              <w:rPr>
                <w:rFonts w:ascii="Verdana" w:hAnsi="Verdana"/>
                <w:b/>
                <w:bCs/>
                <w:sz w:val="24"/>
                <w:szCs w:val="24"/>
              </w:rPr>
              <w:t xml:space="preserve">est. </w:t>
            </w:r>
            <w:r w:rsidRPr="0096236B">
              <w:rPr>
                <w:rFonts w:ascii="Verdana" w:hAnsi="Verdana"/>
                <w:b/>
                <w:bCs/>
                <w:sz w:val="24"/>
                <w:szCs w:val="24"/>
              </w:rPr>
              <w:t xml:space="preserve">underspend 21/22 </w:t>
            </w:r>
          </w:p>
          <w:p w14:paraId="7CE89C38" w14:textId="61A72A17" w:rsidR="00A01A6B" w:rsidRPr="0096236B" w:rsidRDefault="00A01A6B" w:rsidP="005A1C59">
            <w:pPr>
              <w:jc w:val="center"/>
              <w:rPr>
                <w:rFonts w:ascii="Verdana" w:hAnsi="Verdana"/>
                <w:b/>
                <w:bCs/>
                <w:sz w:val="24"/>
                <w:szCs w:val="24"/>
              </w:rPr>
            </w:pPr>
            <w:r w:rsidRPr="0096236B">
              <w:rPr>
                <w:rFonts w:ascii="Verdana" w:hAnsi="Verdana"/>
                <w:b/>
                <w:bCs/>
                <w:sz w:val="24"/>
                <w:szCs w:val="24"/>
              </w:rPr>
              <w:t>£m</w:t>
            </w:r>
          </w:p>
        </w:tc>
        <w:tc>
          <w:tcPr>
            <w:tcW w:w="2925" w:type="dxa"/>
          </w:tcPr>
          <w:p w14:paraId="02BE17D1" w14:textId="77777777" w:rsidR="00A01A6B" w:rsidRPr="0096236B" w:rsidRDefault="00A01A6B" w:rsidP="005A1C59">
            <w:pPr>
              <w:jc w:val="center"/>
              <w:rPr>
                <w:rFonts w:ascii="Verdana" w:hAnsi="Verdana"/>
                <w:b/>
                <w:bCs/>
                <w:sz w:val="24"/>
                <w:szCs w:val="24"/>
              </w:rPr>
            </w:pPr>
            <w:r w:rsidRPr="0096236B">
              <w:rPr>
                <w:rFonts w:ascii="Verdana" w:hAnsi="Verdana"/>
                <w:b/>
                <w:bCs/>
                <w:sz w:val="24"/>
                <w:szCs w:val="24"/>
              </w:rPr>
              <w:t>Notes</w:t>
            </w:r>
          </w:p>
        </w:tc>
      </w:tr>
      <w:tr w:rsidR="00A01A6B" w14:paraId="1DF16327" w14:textId="77777777" w:rsidTr="00F87EF4">
        <w:tc>
          <w:tcPr>
            <w:tcW w:w="1980" w:type="dxa"/>
          </w:tcPr>
          <w:p w14:paraId="2C690632" w14:textId="77777777" w:rsidR="00A01A6B" w:rsidRDefault="00A01A6B" w:rsidP="005A1C59">
            <w:pPr>
              <w:rPr>
                <w:rFonts w:ascii="Verdana" w:hAnsi="Verdana"/>
                <w:sz w:val="24"/>
                <w:szCs w:val="24"/>
              </w:rPr>
            </w:pPr>
            <w:r>
              <w:rPr>
                <w:rFonts w:ascii="Verdana" w:hAnsi="Verdana"/>
                <w:sz w:val="24"/>
                <w:szCs w:val="24"/>
              </w:rPr>
              <w:t>Cornhill</w:t>
            </w:r>
          </w:p>
        </w:tc>
        <w:tc>
          <w:tcPr>
            <w:tcW w:w="1984" w:type="dxa"/>
          </w:tcPr>
          <w:p w14:paraId="541F6901" w14:textId="77777777" w:rsidR="00A01A6B" w:rsidRDefault="00A01A6B" w:rsidP="005A1C59">
            <w:pPr>
              <w:rPr>
                <w:rFonts w:ascii="Verdana" w:hAnsi="Verdana"/>
                <w:sz w:val="24"/>
                <w:szCs w:val="24"/>
              </w:rPr>
            </w:pPr>
            <w:r>
              <w:rPr>
                <w:rFonts w:ascii="Verdana" w:hAnsi="Verdana"/>
                <w:sz w:val="24"/>
                <w:szCs w:val="24"/>
              </w:rPr>
              <w:t>£0.291</w:t>
            </w:r>
          </w:p>
        </w:tc>
        <w:tc>
          <w:tcPr>
            <w:tcW w:w="2127" w:type="dxa"/>
          </w:tcPr>
          <w:p w14:paraId="540C3815" w14:textId="77777777" w:rsidR="00A01A6B" w:rsidRDefault="00A01A6B" w:rsidP="005A1C59">
            <w:pPr>
              <w:rPr>
                <w:rFonts w:ascii="Verdana" w:hAnsi="Verdana"/>
                <w:sz w:val="24"/>
                <w:szCs w:val="24"/>
              </w:rPr>
            </w:pPr>
            <w:r>
              <w:rPr>
                <w:rFonts w:ascii="Verdana" w:hAnsi="Verdana"/>
                <w:sz w:val="24"/>
                <w:szCs w:val="24"/>
              </w:rPr>
              <w:t>£0.284</w:t>
            </w:r>
          </w:p>
        </w:tc>
        <w:tc>
          <w:tcPr>
            <w:tcW w:w="2925" w:type="dxa"/>
          </w:tcPr>
          <w:p w14:paraId="73D06CF8" w14:textId="360E27B3" w:rsidR="00A01A6B" w:rsidRDefault="008D49CD" w:rsidP="005A1C59">
            <w:pPr>
              <w:rPr>
                <w:rFonts w:ascii="Verdana" w:hAnsi="Verdana"/>
                <w:sz w:val="24"/>
                <w:szCs w:val="24"/>
              </w:rPr>
            </w:pPr>
            <w:r>
              <w:rPr>
                <w:rFonts w:ascii="Verdana" w:hAnsi="Verdana"/>
                <w:sz w:val="24"/>
                <w:szCs w:val="24"/>
              </w:rPr>
              <w:t xml:space="preserve">Decision required whether </w:t>
            </w:r>
            <w:r w:rsidR="00B361C3">
              <w:rPr>
                <w:rFonts w:ascii="Verdana" w:hAnsi="Verdana"/>
                <w:sz w:val="24"/>
                <w:szCs w:val="24"/>
              </w:rPr>
              <w:t>to continue to support</w:t>
            </w:r>
            <w:r w:rsidR="009A705E">
              <w:rPr>
                <w:rFonts w:ascii="Verdana" w:hAnsi="Verdana"/>
                <w:sz w:val="24"/>
                <w:szCs w:val="24"/>
              </w:rPr>
              <w:t xml:space="preserve"> – scheme not yet contracted</w:t>
            </w:r>
          </w:p>
        </w:tc>
      </w:tr>
      <w:tr w:rsidR="00A01A6B" w14:paraId="567956A9" w14:textId="77777777" w:rsidTr="00F87EF4">
        <w:tc>
          <w:tcPr>
            <w:tcW w:w="1980" w:type="dxa"/>
          </w:tcPr>
          <w:p w14:paraId="507588CA" w14:textId="77777777" w:rsidR="00A01A6B" w:rsidRDefault="00A01A6B" w:rsidP="005A1C59">
            <w:pPr>
              <w:rPr>
                <w:rFonts w:ascii="Verdana" w:hAnsi="Verdana"/>
                <w:sz w:val="24"/>
                <w:szCs w:val="24"/>
              </w:rPr>
            </w:pPr>
            <w:r>
              <w:rPr>
                <w:rFonts w:ascii="Verdana" w:hAnsi="Verdana"/>
                <w:sz w:val="24"/>
                <w:szCs w:val="24"/>
              </w:rPr>
              <w:t>Keele IC7</w:t>
            </w:r>
          </w:p>
        </w:tc>
        <w:tc>
          <w:tcPr>
            <w:tcW w:w="1984" w:type="dxa"/>
          </w:tcPr>
          <w:p w14:paraId="480D7B02" w14:textId="77777777" w:rsidR="00A01A6B" w:rsidRDefault="00A01A6B" w:rsidP="005A1C59">
            <w:pPr>
              <w:rPr>
                <w:rFonts w:ascii="Verdana" w:hAnsi="Verdana"/>
                <w:sz w:val="24"/>
                <w:szCs w:val="24"/>
              </w:rPr>
            </w:pPr>
            <w:r>
              <w:rPr>
                <w:rFonts w:ascii="Verdana" w:hAnsi="Verdana"/>
                <w:sz w:val="24"/>
                <w:szCs w:val="24"/>
              </w:rPr>
              <w:t>£1.200</w:t>
            </w:r>
          </w:p>
        </w:tc>
        <w:tc>
          <w:tcPr>
            <w:tcW w:w="2127" w:type="dxa"/>
          </w:tcPr>
          <w:p w14:paraId="4834DC75" w14:textId="77777777" w:rsidR="00A01A6B" w:rsidRDefault="00A01A6B" w:rsidP="005A1C59">
            <w:pPr>
              <w:rPr>
                <w:rFonts w:ascii="Verdana" w:hAnsi="Verdana"/>
                <w:sz w:val="24"/>
                <w:szCs w:val="24"/>
              </w:rPr>
            </w:pPr>
          </w:p>
        </w:tc>
        <w:tc>
          <w:tcPr>
            <w:tcW w:w="2925" w:type="dxa"/>
          </w:tcPr>
          <w:p w14:paraId="2EFA6173" w14:textId="3A98F9B5" w:rsidR="00A01A6B" w:rsidRDefault="00BC152B" w:rsidP="005A1C59">
            <w:pPr>
              <w:rPr>
                <w:rFonts w:ascii="Verdana" w:hAnsi="Verdana"/>
                <w:sz w:val="24"/>
                <w:szCs w:val="24"/>
              </w:rPr>
            </w:pPr>
            <w:r>
              <w:rPr>
                <w:rFonts w:ascii="Verdana" w:hAnsi="Verdana"/>
                <w:sz w:val="24"/>
                <w:szCs w:val="24"/>
              </w:rPr>
              <w:t>Assume continue to support the scheme</w:t>
            </w:r>
          </w:p>
        </w:tc>
      </w:tr>
      <w:tr w:rsidR="00A01A6B" w14:paraId="0F4F963B" w14:textId="77777777" w:rsidTr="00F87EF4">
        <w:tc>
          <w:tcPr>
            <w:tcW w:w="1980" w:type="dxa"/>
          </w:tcPr>
          <w:p w14:paraId="07FE8217" w14:textId="77777777" w:rsidR="00A01A6B" w:rsidRDefault="00A01A6B" w:rsidP="005A1C59">
            <w:pPr>
              <w:rPr>
                <w:rFonts w:ascii="Verdana" w:hAnsi="Verdana"/>
                <w:sz w:val="24"/>
                <w:szCs w:val="24"/>
              </w:rPr>
            </w:pPr>
            <w:r>
              <w:rPr>
                <w:rFonts w:ascii="Verdana" w:hAnsi="Verdana"/>
                <w:sz w:val="24"/>
                <w:szCs w:val="24"/>
              </w:rPr>
              <w:t>Shirehall</w:t>
            </w:r>
          </w:p>
        </w:tc>
        <w:tc>
          <w:tcPr>
            <w:tcW w:w="1984" w:type="dxa"/>
          </w:tcPr>
          <w:p w14:paraId="49D16706" w14:textId="77777777" w:rsidR="00A01A6B" w:rsidRDefault="00A01A6B" w:rsidP="005A1C59">
            <w:pPr>
              <w:rPr>
                <w:rFonts w:ascii="Verdana" w:hAnsi="Verdana"/>
                <w:sz w:val="24"/>
                <w:szCs w:val="24"/>
              </w:rPr>
            </w:pPr>
            <w:r>
              <w:rPr>
                <w:rFonts w:ascii="Verdana" w:hAnsi="Verdana"/>
                <w:sz w:val="24"/>
                <w:szCs w:val="24"/>
              </w:rPr>
              <w:t>£0.578</w:t>
            </w:r>
          </w:p>
        </w:tc>
        <w:tc>
          <w:tcPr>
            <w:tcW w:w="2127" w:type="dxa"/>
          </w:tcPr>
          <w:p w14:paraId="016A33A4" w14:textId="77777777" w:rsidR="00A01A6B" w:rsidRDefault="00A01A6B" w:rsidP="005A1C59">
            <w:pPr>
              <w:rPr>
                <w:rFonts w:ascii="Verdana" w:hAnsi="Verdana"/>
                <w:sz w:val="24"/>
                <w:szCs w:val="24"/>
              </w:rPr>
            </w:pPr>
          </w:p>
        </w:tc>
        <w:tc>
          <w:tcPr>
            <w:tcW w:w="2925" w:type="dxa"/>
          </w:tcPr>
          <w:p w14:paraId="624BC19D" w14:textId="7D7BE76F" w:rsidR="00A01A6B" w:rsidRDefault="00BC152B" w:rsidP="005A1C59">
            <w:pPr>
              <w:rPr>
                <w:rFonts w:ascii="Verdana" w:hAnsi="Verdana"/>
                <w:sz w:val="24"/>
                <w:szCs w:val="24"/>
              </w:rPr>
            </w:pPr>
            <w:r>
              <w:rPr>
                <w:rFonts w:ascii="Verdana" w:hAnsi="Verdana"/>
                <w:sz w:val="24"/>
                <w:szCs w:val="24"/>
              </w:rPr>
              <w:t>Assume continue to support the scheme</w:t>
            </w:r>
          </w:p>
        </w:tc>
      </w:tr>
      <w:tr w:rsidR="00A01A6B" w14:paraId="26DE0F52" w14:textId="77777777" w:rsidTr="00F87EF4">
        <w:tc>
          <w:tcPr>
            <w:tcW w:w="1980" w:type="dxa"/>
          </w:tcPr>
          <w:p w14:paraId="7B430D7A" w14:textId="77777777" w:rsidR="00A01A6B" w:rsidRDefault="00A01A6B" w:rsidP="005A1C59">
            <w:pPr>
              <w:rPr>
                <w:rFonts w:ascii="Verdana" w:hAnsi="Verdana"/>
                <w:sz w:val="24"/>
                <w:szCs w:val="24"/>
              </w:rPr>
            </w:pPr>
            <w:r>
              <w:rPr>
                <w:rFonts w:ascii="Verdana" w:hAnsi="Verdana"/>
                <w:sz w:val="24"/>
                <w:szCs w:val="24"/>
              </w:rPr>
              <w:t>Powering Up Enterprise</w:t>
            </w:r>
          </w:p>
        </w:tc>
        <w:tc>
          <w:tcPr>
            <w:tcW w:w="1984" w:type="dxa"/>
          </w:tcPr>
          <w:p w14:paraId="5668FC6D" w14:textId="77777777" w:rsidR="00A01A6B" w:rsidRDefault="00A01A6B" w:rsidP="005A1C59">
            <w:pPr>
              <w:rPr>
                <w:rFonts w:ascii="Verdana" w:hAnsi="Verdana"/>
                <w:sz w:val="24"/>
                <w:szCs w:val="24"/>
              </w:rPr>
            </w:pPr>
            <w:r>
              <w:rPr>
                <w:rFonts w:ascii="Verdana" w:hAnsi="Verdana"/>
                <w:sz w:val="24"/>
                <w:szCs w:val="24"/>
              </w:rPr>
              <w:t>£0.200</w:t>
            </w:r>
          </w:p>
        </w:tc>
        <w:tc>
          <w:tcPr>
            <w:tcW w:w="2127" w:type="dxa"/>
          </w:tcPr>
          <w:p w14:paraId="14A8CC39" w14:textId="77777777" w:rsidR="00A01A6B" w:rsidRDefault="00A01A6B" w:rsidP="005A1C59">
            <w:pPr>
              <w:rPr>
                <w:rFonts w:ascii="Verdana" w:hAnsi="Verdana"/>
                <w:sz w:val="24"/>
                <w:szCs w:val="24"/>
              </w:rPr>
            </w:pPr>
          </w:p>
        </w:tc>
        <w:tc>
          <w:tcPr>
            <w:tcW w:w="2925" w:type="dxa"/>
          </w:tcPr>
          <w:p w14:paraId="2AAF6C64" w14:textId="7A74E541" w:rsidR="00A01A6B" w:rsidRDefault="00A01A6B" w:rsidP="005A1C59">
            <w:pPr>
              <w:rPr>
                <w:rFonts w:ascii="Verdana" w:hAnsi="Verdana"/>
                <w:sz w:val="24"/>
                <w:szCs w:val="24"/>
              </w:rPr>
            </w:pPr>
            <w:r>
              <w:rPr>
                <w:rFonts w:ascii="Verdana" w:hAnsi="Verdana"/>
                <w:sz w:val="24"/>
                <w:szCs w:val="24"/>
              </w:rPr>
              <w:t>Best case scenario – potentially additional £0.5m</w:t>
            </w:r>
            <w:r w:rsidR="00BC152B">
              <w:rPr>
                <w:rFonts w:ascii="Verdana" w:hAnsi="Verdana"/>
                <w:sz w:val="24"/>
                <w:szCs w:val="24"/>
              </w:rPr>
              <w:t>. Assume continue to suppo</w:t>
            </w:r>
            <w:r w:rsidR="00CE5F97">
              <w:rPr>
                <w:rFonts w:ascii="Verdana" w:hAnsi="Verdana"/>
                <w:sz w:val="24"/>
                <w:szCs w:val="24"/>
              </w:rPr>
              <w:t>rt the scheme.</w:t>
            </w:r>
          </w:p>
        </w:tc>
      </w:tr>
      <w:tr w:rsidR="00A01A6B" w14:paraId="73566C5E" w14:textId="77777777" w:rsidTr="00F87EF4">
        <w:tc>
          <w:tcPr>
            <w:tcW w:w="1980" w:type="dxa"/>
          </w:tcPr>
          <w:p w14:paraId="2FFE9235" w14:textId="77777777" w:rsidR="00A01A6B" w:rsidRDefault="00A01A6B" w:rsidP="005A1C59">
            <w:pPr>
              <w:rPr>
                <w:rFonts w:ascii="Verdana" w:hAnsi="Verdana"/>
                <w:sz w:val="24"/>
                <w:szCs w:val="24"/>
              </w:rPr>
            </w:pPr>
          </w:p>
        </w:tc>
        <w:tc>
          <w:tcPr>
            <w:tcW w:w="1984" w:type="dxa"/>
          </w:tcPr>
          <w:p w14:paraId="543BD7CA" w14:textId="77777777" w:rsidR="00A01A6B" w:rsidRDefault="00A01A6B" w:rsidP="005A1C59">
            <w:pPr>
              <w:rPr>
                <w:rFonts w:ascii="Verdana" w:hAnsi="Verdana"/>
                <w:sz w:val="24"/>
                <w:szCs w:val="24"/>
              </w:rPr>
            </w:pPr>
          </w:p>
        </w:tc>
        <w:tc>
          <w:tcPr>
            <w:tcW w:w="2127" w:type="dxa"/>
          </w:tcPr>
          <w:p w14:paraId="16D246BD" w14:textId="77777777" w:rsidR="00A01A6B" w:rsidRDefault="00A01A6B" w:rsidP="005A1C59">
            <w:pPr>
              <w:rPr>
                <w:rFonts w:ascii="Verdana" w:hAnsi="Verdana"/>
                <w:sz w:val="24"/>
                <w:szCs w:val="24"/>
              </w:rPr>
            </w:pPr>
          </w:p>
        </w:tc>
        <w:tc>
          <w:tcPr>
            <w:tcW w:w="2925" w:type="dxa"/>
          </w:tcPr>
          <w:p w14:paraId="1BF078C9" w14:textId="77777777" w:rsidR="00A01A6B" w:rsidRDefault="00A01A6B" w:rsidP="005A1C59">
            <w:pPr>
              <w:rPr>
                <w:rFonts w:ascii="Verdana" w:hAnsi="Verdana"/>
                <w:sz w:val="24"/>
                <w:szCs w:val="24"/>
              </w:rPr>
            </w:pPr>
          </w:p>
        </w:tc>
      </w:tr>
      <w:tr w:rsidR="00A01A6B" w14:paraId="512CA971" w14:textId="77777777" w:rsidTr="00F87EF4">
        <w:tc>
          <w:tcPr>
            <w:tcW w:w="1980" w:type="dxa"/>
          </w:tcPr>
          <w:p w14:paraId="55883893" w14:textId="77777777" w:rsidR="00A01A6B" w:rsidRPr="00B361C3" w:rsidRDefault="00A01A6B" w:rsidP="005A1C59">
            <w:pPr>
              <w:rPr>
                <w:rFonts w:ascii="Verdana" w:hAnsi="Verdana"/>
                <w:b/>
                <w:bCs/>
                <w:sz w:val="24"/>
                <w:szCs w:val="24"/>
              </w:rPr>
            </w:pPr>
            <w:r w:rsidRPr="00B361C3">
              <w:rPr>
                <w:rFonts w:ascii="Verdana" w:hAnsi="Verdana"/>
                <w:b/>
                <w:bCs/>
                <w:sz w:val="24"/>
                <w:szCs w:val="24"/>
              </w:rPr>
              <w:t>Total</w:t>
            </w:r>
          </w:p>
        </w:tc>
        <w:tc>
          <w:tcPr>
            <w:tcW w:w="1984" w:type="dxa"/>
          </w:tcPr>
          <w:p w14:paraId="65EF44EE" w14:textId="77777777" w:rsidR="00A01A6B" w:rsidRPr="00B361C3" w:rsidRDefault="00A01A6B" w:rsidP="005A1C59">
            <w:pPr>
              <w:rPr>
                <w:rFonts w:ascii="Verdana" w:hAnsi="Verdana"/>
                <w:b/>
                <w:bCs/>
                <w:sz w:val="24"/>
                <w:szCs w:val="24"/>
              </w:rPr>
            </w:pPr>
            <w:r w:rsidRPr="00B361C3">
              <w:rPr>
                <w:rFonts w:ascii="Verdana" w:hAnsi="Verdana"/>
                <w:b/>
                <w:bCs/>
                <w:sz w:val="24"/>
                <w:szCs w:val="24"/>
              </w:rPr>
              <w:t>£2.269</w:t>
            </w:r>
          </w:p>
        </w:tc>
        <w:tc>
          <w:tcPr>
            <w:tcW w:w="2127" w:type="dxa"/>
          </w:tcPr>
          <w:p w14:paraId="27343D06" w14:textId="77777777" w:rsidR="00A01A6B" w:rsidRPr="00B361C3" w:rsidRDefault="00A01A6B" w:rsidP="005A1C59">
            <w:pPr>
              <w:rPr>
                <w:rFonts w:ascii="Verdana" w:hAnsi="Verdana"/>
                <w:b/>
                <w:bCs/>
                <w:sz w:val="24"/>
                <w:szCs w:val="24"/>
              </w:rPr>
            </w:pPr>
            <w:r w:rsidRPr="00B361C3">
              <w:rPr>
                <w:rFonts w:ascii="Verdana" w:hAnsi="Verdana"/>
                <w:b/>
                <w:bCs/>
                <w:sz w:val="24"/>
                <w:szCs w:val="24"/>
              </w:rPr>
              <w:t>£0.284</w:t>
            </w:r>
          </w:p>
        </w:tc>
        <w:tc>
          <w:tcPr>
            <w:tcW w:w="2925" w:type="dxa"/>
          </w:tcPr>
          <w:p w14:paraId="1A15CB80" w14:textId="77777777" w:rsidR="00A01A6B" w:rsidRDefault="00A01A6B" w:rsidP="005A1C59">
            <w:pPr>
              <w:rPr>
                <w:rFonts w:ascii="Verdana" w:hAnsi="Verdana"/>
                <w:sz w:val="24"/>
                <w:szCs w:val="24"/>
              </w:rPr>
            </w:pPr>
          </w:p>
        </w:tc>
      </w:tr>
      <w:tr w:rsidR="00A01A6B" w14:paraId="22F41CE1" w14:textId="77777777" w:rsidTr="00F87EF4">
        <w:tc>
          <w:tcPr>
            <w:tcW w:w="1980" w:type="dxa"/>
          </w:tcPr>
          <w:p w14:paraId="396D39E1" w14:textId="77777777" w:rsidR="00A01A6B" w:rsidRDefault="00A01A6B" w:rsidP="005A1C59">
            <w:pPr>
              <w:rPr>
                <w:rFonts w:ascii="Verdana" w:hAnsi="Verdana"/>
                <w:sz w:val="24"/>
                <w:szCs w:val="24"/>
              </w:rPr>
            </w:pPr>
          </w:p>
        </w:tc>
        <w:tc>
          <w:tcPr>
            <w:tcW w:w="1984" w:type="dxa"/>
          </w:tcPr>
          <w:p w14:paraId="2E5240CF" w14:textId="77777777" w:rsidR="00A01A6B" w:rsidRDefault="00A01A6B" w:rsidP="005A1C59">
            <w:pPr>
              <w:rPr>
                <w:rFonts w:ascii="Verdana" w:hAnsi="Verdana"/>
                <w:sz w:val="24"/>
                <w:szCs w:val="24"/>
              </w:rPr>
            </w:pPr>
          </w:p>
        </w:tc>
        <w:tc>
          <w:tcPr>
            <w:tcW w:w="2127" w:type="dxa"/>
          </w:tcPr>
          <w:p w14:paraId="248D1766" w14:textId="77777777" w:rsidR="00A01A6B" w:rsidRDefault="00A01A6B" w:rsidP="005A1C59">
            <w:pPr>
              <w:rPr>
                <w:rFonts w:ascii="Verdana" w:hAnsi="Verdana"/>
                <w:sz w:val="24"/>
                <w:szCs w:val="24"/>
              </w:rPr>
            </w:pPr>
          </w:p>
        </w:tc>
        <w:tc>
          <w:tcPr>
            <w:tcW w:w="2925" w:type="dxa"/>
          </w:tcPr>
          <w:p w14:paraId="53C7617F" w14:textId="77777777" w:rsidR="00A01A6B" w:rsidRDefault="00A01A6B" w:rsidP="005A1C59">
            <w:pPr>
              <w:rPr>
                <w:rFonts w:ascii="Verdana" w:hAnsi="Verdana"/>
                <w:sz w:val="24"/>
                <w:szCs w:val="24"/>
              </w:rPr>
            </w:pPr>
          </w:p>
        </w:tc>
      </w:tr>
    </w:tbl>
    <w:p w14:paraId="0A04B21E" w14:textId="77777777" w:rsidR="00A01A6B" w:rsidRDefault="00A01A6B" w:rsidP="00A01A6B">
      <w:pPr>
        <w:rPr>
          <w:rFonts w:ascii="Verdana" w:hAnsi="Verdana"/>
          <w:sz w:val="24"/>
          <w:szCs w:val="24"/>
        </w:rPr>
      </w:pPr>
    </w:p>
    <w:p w14:paraId="466EB1CC" w14:textId="489D669D" w:rsidR="002003AB" w:rsidRDefault="002003AB" w:rsidP="002003AB">
      <w:pPr>
        <w:rPr>
          <w:rFonts w:ascii="Verdana" w:hAnsi="Verdana"/>
          <w:sz w:val="24"/>
          <w:szCs w:val="24"/>
        </w:rPr>
      </w:pPr>
      <w:r>
        <w:rPr>
          <w:rFonts w:ascii="Verdana" w:hAnsi="Verdana"/>
          <w:sz w:val="24"/>
          <w:szCs w:val="24"/>
        </w:rPr>
        <w:t xml:space="preserve">In order to maximise GBF spend, the first call on the forecast GBF underspend would be to utilise it to replace the SSLEP reserve funding which has been agreed on 3 </w:t>
      </w:r>
      <w:r w:rsidR="006C7987">
        <w:rPr>
          <w:rFonts w:ascii="Verdana" w:hAnsi="Verdana"/>
          <w:sz w:val="24"/>
          <w:szCs w:val="24"/>
        </w:rPr>
        <w:t>other</w:t>
      </w:r>
      <w:r>
        <w:rPr>
          <w:rFonts w:ascii="Verdana" w:hAnsi="Verdana"/>
          <w:sz w:val="24"/>
          <w:szCs w:val="24"/>
        </w:rPr>
        <w:t xml:space="preserve"> GBF schemes of £0.239m. The equivalent amount of reserves could then be earmarked to support the schemes </w:t>
      </w:r>
      <w:r w:rsidR="00361084">
        <w:rPr>
          <w:rFonts w:ascii="Verdana" w:hAnsi="Verdana"/>
          <w:sz w:val="24"/>
          <w:szCs w:val="24"/>
        </w:rPr>
        <w:t xml:space="preserve">above </w:t>
      </w:r>
      <w:r>
        <w:rPr>
          <w:rFonts w:ascii="Verdana" w:hAnsi="Verdana"/>
          <w:sz w:val="24"/>
          <w:szCs w:val="24"/>
        </w:rPr>
        <w:t>in 22/23.</w:t>
      </w:r>
    </w:p>
    <w:p w14:paraId="2B28000A" w14:textId="77777777" w:rsidR="00D04983" w:rsidRDefault="00D04983" w:rsidP="00D04983">
      <w:pPr>
        <w:rPr>
          <w:rFonts w:ascii="Verdana" w:hAnsi="Verdana"/>
          <w:sz w:val="24"/>
          <w:szCs w:val="24"/>
        </w:rPr>
      </w:pPr>
      <w:r>
        <w:rPr>
          <w:rFonts w:ascii="Verdana" w:hAnsi="Verdana"/>
          <w:sz w:val="24"/>
          <w:szCs w:val="24"/>
        </w:rPr>
        <w:t>This would then leave an estimated £2.030m of “unspent” GBF at 31</w:t>
      </w:r>
      <w:r w:rsidRPr="00727EE9">
        <w:rPr>
          <w:rFonts w:ascii="Verdana" w:hAnsi="Verdana"/>
          <w:sz w:val="24"/>
          <w:szCs w:val="24"/>
          <w:vertAlign w:val="superscript"/>
        </w:rPr>
        <w:t>st</w:t>
      </w:r>
      <w:r>
        <w:rPr>
          <w:rFonts w:ascii="Verdana" w:hAnsi="Verdana"/>
          <w:sz w:val="24"/>
          <w:szCs w:val="24"/>
        </w:rPr>
        <w:t xml:space="preserve"> March 2022.</w:t>
      </w:r>
    </w:p>
    <w:p w14:paraId="2E6BC5DA" w14:textId="77777777" w:rsidR="00361084" w:rsidRDefault="002003AB" w:rsidP="002003AB">
      <w:pPr>
        <w:rPr>
          <w:rFonts w:ascii="Verdana" w:hAnsi="Verdana"/>
          <w:sz w:val="24"/>
          <w:szCs w:val="24"/>
        </w:rPr>
      </w:pPr>
      <w:r>
        <w:rPr>
          <w:rFonts w:ascii="Verdana" w:hAnsi="Verdana"/>
          <w:sz w:val="24"/>
          <w:szCs w:val="24"/>
        </w:rPr>
        <w:t xml:space="preserve">To demonstrate full use of the GBF grant, the balance of the underspend would need to be utilised on an existing GBF scheme, where funding could be subsequently switched back to support the above schemes in future years. </w:t>
      </w:r>
    </w:p>
    <w:p w14:paraId="1FA7C158" w14:textId="6D5F19E4" w:rsidR="002003AB" w:rsidRDefault="002003AB" w:rsidP="002003AB">
      <w:pPr>
        <w:rPr>
          <w:rFonts w:ascii="Verdana" w:hAnsi="Verdana"/>
          <w:sz w:val="24"/>
          <w:szCs w:val="24"/>
        </w:rPr>
      </w:pPr>
      <w:r>
        <w:rPr>
          <w:rFonts w:ascii="Verdana" w:hAnsi="Verdana"/>
          <w:sz w:val="24"/>
          <w:szCs w:val="24"/>
        </w:rPr>
        <w:t>The only scheme available is the I54WE scheme, which as set above, would mean the funding would not be available to switch back to the</w:t>
      </w:r>
      <w:r w:rsidR="00E5511B">
        <w:rPr>
          <w:rFonts w:ascii="Verdana" w:hAnsi="Verdana"/>
          <w:sz w:val="24"/>
          <w:szCs w:val="24"/>
        </w:rPr>
        <w:t>se</w:t>
      </w:r>
      <w:r>
        <w:rPr>
          <w:rFonts w:ascii="Verdana" w:hAnsi="Verdana"/>
          <w:sz w:val="24"/>
          <w:szCs w:val="24"/>
        </w:rPr>
        <w:t xml:space="preserve"> schemes until 25/26, which would cause issues for the scheme promoters. There is also an inherent risk around the future of EZ business rates, should the SSLEP not exist in the future.</w:t>
      </w:r>
      <w:r w:rsidR="006D6623">
        <w:rPr>
          <w:rFonts w:ascii="Verdana" w:hAnsi="Verdana"/>
          <w:sz w:val="24"/>
          <w:szCs w:val="24"/>
        </w:rPr>
        <w:t xml:space="preserve"> </w:t>
      </w:r>
      <w:r w:rsidR="00CC40AE">
        <w:rPr>
          <w:rFonts w:ascii="Verdana" w:hAnsi="Verdana"/>
          <w:sz w:val="24"/>
          <w:szCs w:val="24"/>
        </w:rPr>
        <w:t>This option would also not utilise all of the unspent grant, and an underspend against GBF of</w:t>
      </w:r>
      <w:r w:rsidR="00952A99">
        <w:rPr>
          <w:rFonts w:ascii="Verdana" w:hAnsi="Verdana"/>
          <w:sz w:val="24"/>
          <w:szCs w:val="24"/>
        </w:rPr>
        <w:t xml:space="preserve"> approximately £</w:t>
      </w:r>
      <w:r w:rsidR="00C27418">
        <w:rPr>
          <w:rFonts w:ascii="Verdana" w:hAnsi="Verdana"/>
          <w:sz w:val="24"/>
          <w:szCs w:val="24"/>
        </w:rPr>
        <w:t>0.269m would still be reported.</w:t>
      </w:r>
      <w:r w:rsidR="00CC40AE">
        <w:rPr>
          <w:rFonts w:ascii="Verdana" w:hAnsi="Verdana"/>
          <w:sz w:val="24"/>
          <w:szCs w:val="24"/>
        </w:rPr>
        <w:t xml:space="preserve"> </w:t>
      </w:r>
    </w:p>
    <w:p w14:paraId="01B10578" w14:textId="4544575B" w:rsidR="002003AB" w:rsidRDefault="002003AB" w:rsidP="002003AB">
      <w:pPr>
        <w:rPr>
          <w:rFonts w:ascii="Verdana" w:hAnsi="Verdana"/>
          <w:sz w:val="24"/>
          <w:szCs w:val="24"/>
        </w:rPr>
      </w:pPr>
      <w:r>
        <w:rPr>
          <w:rFonts w:ascii="Verdana" w:hAnsi="Verdana"/>
          <w:sz w:val="24"/>
          <w:szCs w:val="24"/>
        </w:rPr>
        <w:t xml:space="preserve">The most prudent approach </w:t>
      </w:r>
      <w:r w:rsidR="00C27418">
        <w:rPr>
          <w:rFonts w:ascii="Verdana" w:hAnsi="Verdana"/>
          <w:sz w:val="24"/>
          <w:szCs w:val="24"/>
        </w:rPr>
        <w:t xml:space="preserve">therefore </w:t>
      </w:r>
      <w:r>
        <w:rPr>
          <w:rFonts w:ascii="Verdana" w:hAnsi="Verdana"/>
          <w:sz w:val="24"/>
          <w:szCs w:val="24"/>
        </w:rPr>
        <w:t>would be for the GBF underspend to be carried forward by using the freedom and flexibilities of the accountable body to do a funding switch with another SCC capital scheme. This would ensure the funding is immediately available in 22/23 to fund the above schemes.</w:t>
      </w:r>
    </w:p>
    <w:p w14:paraId="72C13199" w14:textId="6181F6BD" w:rsidR="00623CA7" w:rsidRDefault="002003AB" w:rsidP="002003AB">
      <w:pPr>
        <w:rPr>
          <w:rFonts w:ascii="Verdana" w:hAnsi="Verdana"/>
          <w:sz w:val="24"/>
          <w:szCs w:val="24"/>
        </w:rPr>
      </w:pPr>
      <w:r w:rsidRPr="00BA1EBA">
        <w:rPr>
          <w:rFonts w:ascii="Verdana" w:hAnsi="Verdana"/>
          <w:sz w:val="24"/>
          <w:szCs w:val="24"/>
        </w:rPr>
        <w:t xml:space="preserve">SPMG should note </w:t>
      </w:r>
      <w:r>
        <w:rPr>
          <w:rFonts w:ascii="Verdana" w:hAnsi="Verdana"/>
          <w:sz w:val="24"/>
          <w:szCs w:val="24"/>
        </w:rPr>
        <w:t xml:space="preserve">however, </w:t>
      </w:r>
      <w:r w:rsidRPr="00BA1EBA">
        <w:rPr>
          <w:rFonts w:ascii="Verdana" w:hAnsi="Verdana"/>
          <w:sz w:val="24"/>
          <w:szCs w:val="24"/>
        </w:rPr>
        <w:t>that when the accountable body uses its freedom and flexibilities to carry forward this funding, the SSLEP will report an underspend in its formal returns to BEIS, effectively showing under delivery against its GBF spend targets. This is a reputational risk to the SSLEP</w:t>
      </w:r>
      <w:r w:rsidR="003D1913">
        <w:rPr>
          <w:rFonts w:ascii="Verdana" w:hAnsi="Verdana"/>
          <w:sz w:val="24"/>
          <w:szCs w:val="24"/>
        </w:rPr>
        <w:t xml:space="preserve"> and potentially more widely Staffordshire</w:t>
      </w:r>
      <w:r w:rsidR="00037B0A">
        <w:rPr>
          <w:rFonts w:ascii="Verdana" w:hAnsi="Verdana"/>
          <w:sz w:val="24"/>
          <w:szCs w:val="24"/>
        </w:rPr>
        <w:t>, although given</w:t>
      </w:r>
      <w:r w:rsidR="00B240B8">
        <w:rPr>
          <w:rFonts w:ascii="Verdana" w:hAnsi="Verdana"/>
          <w:sz w:val="24"/>
          <w:szCs w:val="24"/>
        </w:rPr>
        <w:t xml:space="preserve"> the economic issues over the last two years</w:t>
      </w:r>
      <w:r w:rsidR="0003600C">
        <w:rPr>
          <w:rFonts w:ascii="Verdana" w:hAnsi="Verdana"/>
          <w:sz w:val="24"/>
          <w:szCs w:val="24"/>
        </w:rPr>
        <w:t xml:space="preserve">, it </w:t>
      </w:r>
      <w:r w:rsidR="007D2E8E">
        <w:rPr>
          <w:rFonts w:ascii="Verdana" w:hAnsi="Verdana"/>
          <w:sz w:val="24"/>
          <w:szCs w:val="24"/>
        </w:rPr>
        <w:t>could be argued some slippage in the programme was inevitable</w:t>
      </w:r>
      <w:r w:rsidRPr="00BA1EBA">
        <w:rPr>
          <w:rFonts w:ascii="Verdana" w:hAnsi="Verdana"/>
          <w:sz w:val="24"/>
          <w:szCs w:val="24"/>
        </w:rPr>
        <w:t xml:space="preserve">.  </w:t>
      </w:r>
    </w:p>
    <w:p w14:paraId="7F2B7E6B" w14:textId="11B51A0B" w:rsidR="002003AB" w:rsidRPr="00BA1EBA" w:rsidRDefault="00623CA7" w:rsidP="002003AB">
      <w:pPr>
        <w:rPr>
          <w:rFonts w:ascii="Verdana" w:hAnsi="Verdana"/>
          <w:sz w:val="24"/>
          <w:szCs w:val="24"/>
        </w:rPr>
      </w:pPr>
      <w:r>
        <w:rPr>
          <w:rFonts w:ascii="Verdana" w:hAnsi="Verdana"/>
          <w:sz w:val="24"/>
          <w:szCs w:val="24"/>
        </w:rPr>
        <w:t>Based</w:t>
      </w:r>
      <w:r w:rsidR="00150997">
        <w:rPr>
          <w:rFonts w:ascii="Verdana" w:hAnsi="Verdana"/>
          <w:sz w:val="24"/>
          <w:szCs w:val="24"/>
        </w:rPr>
        <w:t xml:space="preserve"> on the above figures, an underspend of circa £2m</w:t>
      </w:r>
      <w:r w:rsidR="00640038">
        <w:rPr>
          <w:rFonts w:ascii="Verdana" w:hAnsi="Verdana"/>
          <w:sz w:val="24"/>
          <w:szCs w:val="24"/>
        </w:rPr>
        <w:t xml:space="preserve"> (10.7%)</w:t>
      </w:r>
      <w:r w:rsidR="00150997">
        <w:rPr>
          <w:rFonts w:ascii="Verdana" w:hAnsi="Verdana"/>
          <w:sz w:val="24"/>
          <w:szCs w:val="24"/>
        </w:rPr>
        <w:t xml:space="preserve"> </w:t>
      </w:r>
      <w:r w:rsidR="005C6802">
        <w:rPr>
          <w:rFonts w:ascii="Verdana" w:hAnsi="Verdana"/>
          <w:sz w:val="24"/>
          <w:szCs w:val="24"/>
        </w:rPr>
        <w:t>would be reported against the total GBF allocation</w:t>
      </w:r>
      <w:r w:rsidR="002003AB" w:rsidRPr="00BA1EBA">
        <w:rPr>
          <w:rFonts w:ascii="Verdana" w:hAnsi="Verdana"/>
          <w:sz w:val="24"/>
          <w:szCs w:val="24"/>
        </w:rPr>
        <w:t xml:space="preserve"> </w:t>
      </w:r>
      <w:r w:rsidR="009A404F">
        <w:rPr>
          <w:rFonts w:ascii="Verdana" w:hAnsi="Verdana"/>
          <w:sz w:val="24"/>
          <w:szCs w:val="24"/>
        </w:rPr>
        <w:t>of £</w:t>
      </w:r>
      <w:r w:rsidR="00485789">
        <w:rPr>
          <w:rFonts w:ascii="Verdana" w:hAnsi="Verdana"/>
          <w:sz w:val="24"/>
          <w:szCs w:val="24"/>
        </w:rPr>
        <w:t>18</w:t>
      </w:r>
      <w:r w:rsidR="00554797">
        <w:rPr>
          <w:rFonts w:ascii="Verdana" w:hAnsi="Verdana"/>
          <w:sz w:val="24"/>
          <w:szCs w:val="24"/>
        </w:rPr>
        <w:t>.650m (excluding Drakelow).</w:t>
      </w:r>
    </w:p>
    <w:p w14:paraId="7F64AB02" w14:textId="55E6F3A5" w:rsidR="001B7B13" w:rsidRPr="00AC2407" w:rsidRDefault="001B7B13" w:rsidP="001B7B13">
      <w:pPr>
        <w:rPr>
          <w:rFonts w:ascii="Verdana" w:hAnsi="Verdana"/>
          <w:sz w:val="24"/>
          <w:szCs w:val="24"/>
        </w:rPr>
      </w:pPr>
    </w:p>
    <w:p w14:paraId="6DBE66DE" w14:textId="5FE02C70" w:rsidR="00E65064" w:rsidRDefault="00E65064" w:rsidP="005148DF">
      <w:pPr>
        <w:rPr>
          <w:rFonts w:ascii="Verdana" w:hAnsi="Verdana"/>
          <w:sz w:val="24"/>
          <w:szCs w:val="24"/>
        </w:rPr>
      </w:pPr>
    </w:p>
    <w:p w14:paraId="3615AD5D" w14:textId="490FB093" w:rsidR="00E65064" w:rsidRDefault="00E65064" w:rsidP="005148DF">
      <w:pPr>
        <w:rPr>
          <w:rFonts w:ascii="Verdana" w:hAnsi="Verdana"/>
          <w:sz w:val="24"/>
          <w:szCs w:val="24"/>
        </w:rPr>
      </w:pPr>
      <w:r>
        <w:rPr>
          <w:rFonts w:ascii="Verdana" w:hAnsi="Verdana"/>
          <w:sz w:val="24"/>
          <w:szCs w:val="24"/>
        </w:rPr>
        <w:t xml:space="preserve">Simon </w:t>
      </w:r>
      <w:r w:rsidR="00544A01">
        <w:rPr>
          <w:rFonts w:ascii="Verdana" w:hAnsi="Verdana"/>
          <w:sz w:val="24"/>
          <w:szCs w:val="24"/>
        </w:rPr>
        <w:t>Ablewhite</w:t>
      </w:r>
    </w:p>
    <w:p w14:paraId="79F5CEEA" w14:textId="5907108F" w:rsidR="00544A01" w:rsidRPr="005148DF" w:rsidRDefault="00544A01" w:rsidP="005148DF">
      <w:pPr>
        <w:rPr>
          <w:rFonts w:ascii="Verdana" w:hAnsi="Verdana"/>
          <w:sz w:val="24"/>
          <w:szCs w:val="24"/>
        </w:rPr>
      </w:pPr>
      <w:r>
        <w:rPr>
          <w:rFonts w:ascii="Verdana" w:hAnsi="Verdana"/>
          <w:sz w:val="24"/>
          <w:szCs w:val="24"/>
        </w:rPr>
        <w:t>SSLEP 151 Officer</w:t>
      </w:r>
    </w:p>
    <w:sectPr w:rsidR="00544A01" w:rsidRPr="0051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714"/>
    <w:multiLevelType w:val="hybridMultilevel"/>
    <w:tmpl w:val="1FD453AC"/>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36D3800"/>
    <w:multiLevelType w:val="hybridMultilevel"/>
    <w:tmpl w:val="56C086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43020"/>
    <w:multiLevelType w:val="hybridMultilevel"/>
    <w:tmpl w:val="191E01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8B107E"/>
    <w:multiLevelType w:val="hybridMultilevel"/>
    <w:tmpl w:val="D45A1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C9"/>
    <w:rsid w:val="00002B49"/>
    <w:rsid w:val="00002C92"/>
    <w:rsid w:val="00011C04"/>
    <w:rsid w:val="00014C9D"/>
    <w:rsid w:val="00015D2F"/>
    <w:rsid w:val="00017F82"/>
    <w:rsid w:val="0002361E"/>
    <w:rsid w:val="0003600C"/>
    <w:rsid w:val="000368BF"/>
    <w:rsid w:val="00037B0A"/>
    <w:rsid w:val="00037D34"/>
    <w:rsid w:val="00041FB6"/>
    <w:rsid w:val="0005380B"/>
    <w:rsid w:val="00055D08"/>
    <w:rsid w:val="00060EB5"/>
    <w:rsid w:val="00062250"/>
    <w:rsid w:val="00075F49"/>
    <w:rsid w:val="00082190"/>
    <w:rsid w:val="000908CF"/>
    <w:rsid w:val="00091BC8"/>
    <w:rsid w:val="000A133A"/>
    <w:rsid w:val="000A4CB5"/>
    <w:rsid w:val="000B1CDC"/>
    <w:rsid w:val="000B2314"/>
    <w:rsid w:val="000B335A"/>
    <w:rsid w:val="000D45EB"/>
    <w:rsid w:val="000F34E7"/>
    <w:rsid w:val="00106436"/>
    <w:rsid w:val="00106B4D"/>
    <w:rsid w:val="0011527D"/>
    <w:rsid w:val="00123FA6"/>
    <w:rsid w:val="00146CF8"/>
    <w:rsid w:val="00150997"/>
    <w:rsid w:val="0015202A"/>
    <w:rsid w:val="00162783"/>
    <w:rsid w:val="00176E21"/>
    <w:rsid w:val="001850ED"/>
    <w:rsid w:val="00186C8F"/>
    <w:rsid w:val="001928FA"/>
    <w:rsid w:val="001A03E8"/>
    <w:rsid w:val="001A692E"/>
    <w:rsid w:val="001B2CE6"/>
    <w:rsid w:val="001B7B13"/>
    <w:rsid w:val="001C7DE2"/>
    <w:rsid w:val="001E155D"/>
    <w:rsid w:val="001E777A"/>
    <w:rsid w:val="002003AB"/>
    <w:rsid w:val="00201A8C"/>
    <w:rsid w:val="002112EA"/>
    <w:rsid w:val="0021320D"/>
    <w:rsid w:val="002150C8"/>
    <w:rsid w:val="00234E34"/>
    <w:rsid w:val="00241952"/>
    <w:rsid w:val="00250157"/>
    <w:rsid w:val="0027155A"/>
    <w:rsid w:val="002721E2"/>
    <w:rsid w:val="00272CBD"/>
    <w:rsid w:val="00276CC1"/>
    <w:rsid w:val="00281D5D"/>
    <w:rsid w:val="00294A03"/>
    <w:rsid w:val="002A0354"/>
    <w:rsid w:val="002A07EB"/>
    <w:rsid w:val="002D541B"/>
    <w:rsid w:val="002F6AB6"/>
    <w:rsid w:val="003148E8"/>
    <w:rsid w:val="0033082B"/>
    <w:rsid w:val="00331BD0"/>
    <w:rsid w:val="003374BF"/>
    <w:rsid w:val="003414D8"/>
    <w:rsid w:val="00352B28"/>
    <w:rsid w:val="00356B36"/>
    <w:rsid w:val="003605DD"/>
    <w:rsid w:val="00361084"/>
    <w:rsid w:val="00361C8D"/>
    <w:rsid w:val="003830EB"/>
    <w:rsid w:val="003950AC"/>
    <w:rsid w:val="003A0296"/>
    <w:rsid w:val="003B2BE6"/>
    <w:rsid w:val="003C7116"/>
    <w:rsid w:val="003D1913"/>
    <w:rsid w:val="003D4171"/>
    <w:rsid w:val="003E030E"/>
    <w:rsid w:val="003E2593"/>
    <w:rsid w:val="003F2108"/>
    <w:rsid w:val="0041361D"/>
    <w:rsid w:val="00421F58"/>
    <w:rsid w:val="004252BB"/>
    <w:rsid w:val="004256F0"/>
    <w:rsid w:val="004357A1"/>
    <w:rsid w:val="00440317"/>
    <w:rsid w:val="00444914"/>
    <w:rsid w:val="004517D2"/>
    <w:rsid w:val="00452A15"/>
    <w:rsid w:val="0045585F"/>
    <w:rsid w:val="00461296"/>
    <w:rsid w:val="00480573"/>
    <w:rsid w:val="00485789"/>
    <w:rsid w:val="004A62DE"/>
    <w:rsid w:val="004A6A07"/>
    <w:rsid w:val="004A711A"/>
    <w:rsid w:val="004B28BB"/>
    <w:rsid w:val="004C7557"/>
    <w:rsid w:val="004D1D12"/>
    <w:rsid w:val="004D5CAC"/>
    <w:rsid w:val="004D76D5"/>
    <w:rsid w:val="004D7829"/>
    <w:rsid w:val="004E006F"/>
    <w:rsid w:val="004E17A3"/>
    <w:rsid w:val="004F2463"/>
    <w:rsid w:val="004F3A31"/>
    <w:rsid w:val="00500242"/>
    <w:rsid w:val="00501083"/>
    <w:rsid w:val="00501113"/>
    <w:rsid w:val="005148DF"/>
    <w:rsid w:val="00515107"/>
    <w:rsid w:val="00520144"/>
    <w:rsid w:val="00544A01"/>
    <w:rsid w:val="005471C8"/>
    <w:rsid w:val="00554797"/>
    <w:rsid w:val="005633E7"/>
    <w:rsid w:val="00581C6E"/>
    <w:rsid w:val="0059791E"/>
    <w:rsid w:val="005A5451"/>
    <w:rsid w:val="005A70AE"/>
    <w:rsid w:val="005C427A"/>
    <w:rsid w:val="005C5C62"/>
    <w:rsid w:val="005C6802"/>
    <w:rsid w:val="005D0962"/>
    <w:rsid w:val="005D3D50"/>
    <w:rsid w:val="005D7FF3"/>
    <w:rsid w:val="005E5524"/>
    <w:rsid w:val="005E589F"/>
    <w:rsid w:val="005F72D8"/>
    <w:rsid w:val="00602B6E"/>
    <w:rsid w:val="006225AE"/>
    <w:rsid w:val="00623CA7"/>
    <w:rsid w:val="0062564B"/>
    <w:rsid w:val="00637175"/>
    <w:rsid w:val="00640038"/>
    <w:rsid w:val="00652E88"/>
    <w:rsid w:val="00656BD6"/>
    <w:rsid w:val="006574A3"/>
    <w:rsid w:val="006612D3"/>
    <w:rsid w:val="006648F3"/>
    <w:rsid w:val="006664B9"/>
    <w:rsid w:val="00670B2E"/>
    <w:rsid w:val="00680AA2"/>
    <w:rsid w:val="00681584"/>
    <w:rsid w:val="006B0C4A"/>
    <w:rsid w:val="006B2A0A"/>
    <w:rsid w:val="006B4A8E"/>
    <w:rsid w:val="006C7987"/>
    <w:rsid w:val="006D6623"/>
    <w:rsid w:val="006F0DEA"/>
    <w:rsid w:val="006F1325"/>
    <w:rsid w:val="00706C81"/>
    <w:rsid w:val="00724684"/>
    <w:rsid w:val="00725695"/>
    <w:rsid w:val="00727EE9"/>
    <w:rsid w:val="00733681"/>
    <w:rsid w:val="00734935"/>
    <w:rsid w:val="00743502"/>
    <w:rsid w:val="00744318"/>
    <w:rsid w:val="00761485"/>
    <w:rsid w:val="00764487"/>
    <w:rsid w:val="007671F4"/>
    <w:rsid w:val="00767D9D"/>
    <w:rsid w:val="0077014C"/>
    <w:rsid w:val="00776D0E"/>
    <w:rsid w:val="00781695"/>
    <w:rsid w:val="00784563"/>
    <w:rsid w:val="00784E1B"/>
    <w:rsid w:val="00794B94"/>
    <w:rsid w:val="007A22D5"/>
    <w:rsid w:val="007A7D83"/>
    <w:rsid w:val="007C3308"/>
    <w:rsid w:val="007D1472"/>
    <w:rsid w:val="007D2E8E"/>
    <w:rsid w:val="007D4A57"/>
    <w:rsid w:val="007D7E42"/>
    <w:rsid w:val="007E513E"/>
    <w:rsid w:val="007F100A"/>
    <w:rsid w:val="007F7103"/>
    <w:rsid w:val="007F7DD5"/>
    <w:rsid w:val="0080469B"/>
    <w:rsid w:val="00804B26"/>
    <w:rsid w:val="0081106E"/>
    <w:rsid w:val="00811F23"/>
    <w:rsid w:val="00821768"/>
    <w:rsid w:val="00823D44"/>
    <w:rsid w:val="0082799A"/>
    <w:rsid w:val="00853DF2"/>
    <w:rsid w:val="00875317"/>
    <w:rsid w:val="00882C42"/>
    <w:rsid w:val="00892099"/>
    <w:rsid w:val="008933B5"/>
    <w:rsid w:val="008937E5"/>
    <w:rsid w:val="008A0709"/>
    <w:rsid w:val="008A2D61"/>
    <w:rsid w:val="008A7818"/>
    <w:rsid w:val="008B5E49"/>
    <w:rsid w:val="008C136A"/>
    <w:rsid w:val="008C4D2E"/>
    <w:rsid w:val="008C6484"/>
    <w:rsid w:val="008C6C8D"/>
    <w:rsid w:val="008D49CD"/>
    <w:rsid w:val="008E074F"/>
    <w:rsid w:val="008F71EE"/>
    <w:rsid w:val="008F79C9"/>
    <w:rsid w:val="0092423E"/>
    <w:rsid w:val="00932E27"/>
    <w:rsid w:val="009346E9"/>
    <w:rsid w:val="00947962"/>
    <w:rsid w:val="00947999"/>
    <w:rsid w:val="00952A99"/>
    <w:rsid w:val="00954490"/>
    <w:rsid w:val="0096236B"/>
    <w:rsid w:val="00995B00"/>
    <w:rsid w:val="009A404F"/>
    <w:rsid w:val="009A705E"/>
    <w:rsid w:val="009B10BE"/>
    <w:rsid w:val="009B27E4"/>
    <w:rsid w:val="009B435A"/>
    <w:rsid w:val="009C0235"/>
    <w:rsid w:val="009C6B8F"/>
    <w:rsid w:val="009E1019"/>
    <w:rsid w:val="009E2563"/>
    <w:rsid w:val="009F72E4"/>
    <w:rsid w:val="00A01A6B"/>
    <w:rsid w:val="00A13DDA"/>
    <w:rsid w:val="00A2019C"/>
    <w:rsid w:val="00A24ABE"/>
    <w:rsid w:val="00A269C7"/>
    <w:rsid w:val="00A333B1"/>
    <w:rsid w:val="00A34495"/>
    <w:rsid w:val="00A545F8"/>
    <w:rsid w:val="00A5554C"/>
    <w:rsid w:val="00A5717A"/>
    <w:rsid w:val="00A57928"/>
    <w:rsid w:val="00A62F8F"/>
    <w:rsid w:val="00A65CF6"/>
    <w:rsid w:val="00A67F6C"/>
    <w:rsid w:val="00A70C27"/>
    <w:rsid w:val="00A768C5"/>
    <w:rsid w:val="00A82332"/>
    <w:rsid w:val="00AA3C07"/>
    <w:rsid w:val="00AA4423"/>
    <w:rsid w:val="00AC1EC4"/>
    <w:rsid w:val="00AC2407"/>
    <w:rsid w:val="00AC620A"/>
    <w:rsid w:val="00AE1ABC"/>
    <w:rsid w:val="00AF4718"/>
    <w:rsid w:val="00B02297"/>
    <w:rsid w:val="00B024D3"/>
    <w:rsid w:val="00B1310F"/>
    <w:rsid w:val="00B240B8"/>
    <w:rsid w:val="00B32B66"/>
    <w:rsid w:val="00B35685"/>
    <w:rsid w:val="00B361C3"/>
    <w:rsid w:val="00B42149"/>
    <w:rsid w:val="00B506B3"/>
    <w:rsid w:val="00B64D22"/>
    <w:rsid w:val="00B71A60"/>
    <w:rsid w:val="00BA1EBA"/>
    <w:rsid w:val="00BC152B"/>
    <w:rsid w:val="00BC50D5"/>
    <w:rsid w:val="00BD64A4"/>
    <w:rsid w:val="00BF1CD8"/>
    <w:rsid w:val="00C22569"/>
    <w:rsid w:val="00C27418"/>
    <w:rsid w:val="00C30781"/>
    <w:rsid w:val="00C36DD3"/>
    <w:rsid w:val="00C454BE"/>
    <w:rsid w:val="00C52F72"/>
    <w:rsid w:val="00C540B4"/>
    <w:rsid w:val="00C63CE6"/>
    <w:rsid w:val="00C65A7F"/>
    <w:rsid w:val="00C7066A"/>
    <w:rsid w:val="00C71215"/>
    <w:rsid w:val="00CA4FB5"/>
    <w:rsid w:val="00CA6C16"/>
    <w:rsid w:val="00CB3C2C"/>
    <w:rsid w:val="00CC0DDB"/>
    <w:rsid w:val="00CC40AE"/>
    <w:rsid w:val="00CC680E"/>
    <w:rsid w:val="00CE0D6E"/>
    <w:rsid w:val="00CE5F97"/>
    <w:rsid w:val="00CE6CA8"/>
    <w:rsid w:val="00D00BA0"/>
    <w:rsid w:val="00D04983"/>
    <w:rsid w:val="00D05270"/>
    <w:rsid w:val="00D0799C"/>
    <w:rsid w:val="00D352C1"/>
    <w:rsid w:val="00D35E78"/>
    <w:rsid w:val="00D40038"/>
    <w:rsid w:val="00D40D19"/>
    <w:rsid w:val="00D42D52"/>
    <w:rsid w:val="00D74042"/>
    <w:rsid w:val="00D76E8C"/>
    <w:rsid w:val="00D82917"/>
    <w:rsid w:val="00D86982"/>
    <w:rsid w:val="00D86A44"/>
    <w:rsid w:val="00D95948"/>
    <w:rsid w:val="00D9796C"/>
    <w:rsid w:val="00DB10E6"/>
    <w:rsid w:val="00DC216F"/>
    <w:rsid w:val="00DC596D"/>
    <w:rsid w:val="00DE1152"/>
    <w:rsid w:val="00E01329"/>
    <w:rsid w:val="00E30FDD"/>
    <w:rsid w:val="00E36FD3"/>
    <w:rsid w:val="00E47E58"/>
    <w:rsid w:val="00E5511B"/>
    <w:rsid w:val="00E56915"/>
    <w:rsid w:val="00E6165B"/>
    <w:rsid w:val="00E65064"/>
    <w:rsid w:val="00E724F3"/>
    <w:rsid w:val="00E8685D"/>
    <w:rsid w:val="00E86943"/>
    <w:rsid w:val="00E93257"/>
    <w:rsid w:val="00E93B0F"/>
    <w:rsid w:val="00EA788A"/>
    <w:rsid w:val="00EB607B"/>
    <w:rsid w:val="00EF46A3"/>
    <w:rsid w:val="00F07F7E"/>
    <w:rsid w:val="00F12982"/>
    <w:rsid w:val="00F22825"/>
    <w:rsid w:val="00F2335E"/>
    <w:rsid w:val="00F43953"/>
    <w:rsid w:val="00F45CFA"/>
    <w:rsid w:val="00F570FD"/>
    <w:rsid w:val="00F87EF4"/>
    <w:rsid w:val="00FA569B"/>
    <w:rsid w:val="00FA5B4A"/>
    <w:rsid w:val="00FB3C73"/>
    <w:rsid w:val="00FB7344"/>
    <w:rsid w:val="00FE74F5"/>
    <w:rsid w:val="00FF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261F"/>
  <w15:chartTrackingRefBased/>
  <w15:docId w15:val="{EACB2C48-341F-4225-A07D-C3363D2B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C9"/>
    <w:pPr>
      <w:ind w:left="720"/>
      <w:contextualSpacing/>
    </w:pPr>
  </w:style>
  <w:style w:type="table" w:styleId="TableGrid">
    <w:name w:val="Table Grid"/>
    <w:basedOn w:val="TableNormal"/>
    <w:uiPriority w:val="39"/>
    <w:rsid w:val="005F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Ablewhite, Simon (Corporate)</cp:lastModifiedBy>
  <cp:revision>3</cp:revision>
  <dcterms:created xsi:type="dcterms:W3CDTF">2021-12-16T10:41:00Z</dcterms:created>
  <dcterms:modified xsi:type="dcterms:W3CDTF">2021-12-16T10:44:00Z</dcterms:modified>
</cp:coreProperties>
</file>