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232D9" w14:textId="79AFB093" w:rsidR="00D0383C" w:rsidRPr="00A95C83" w:rsidRDefault="00D0383C" w:rsidP="00B0508A">
      <w:pPr>
        <w:jc w:val="center"/>
        <w:rPr>
          <w:b/>
          <w:sz w:val="26"/>
          <w:szCs w:val="26"/>
        </w:rPr>
      </w:pPr>
      <w:r w:rsidRPr="00A95C83">
        <w:rPr>
          <w:b/>
          <w:sz w:val="26"/>
          <w:szCs w:val="26"/>
        </w:rPr>
        <w:t>Stoke-on-Trent and Staffordshire Local Enterprise Partnership</w:t>
      </w:r>
    </w:p>
    <w:p w14:paraId="6A5DC223" w14:textId="409448A2" w:rsidR="00D0383C" w:rsidRPr="00A95C83" w:rsidRDefault="00D0383C" w:rsidP="00D0383C">
      <w:pPr>
        <w:jc w:val="center"/>
        <w:rPr>
          <w:b/>
          <w:sz w:val="26"/>
          <w:szCs w:val="26"/>
        </w:rPr>
      </w:pPr>
      <w:r w:rsidRPr="00A95C83">
        <w:rPr>
          <w:b/>
          <w:sz w:val="26"/>
          <w:szCs w:val="26"/>
        </w:rPr>
        <w:t>Strategic Programme Management Board December 2021</w:t>
      </w:r>
    </w:p>
    <w:p w14:paraId="67B2A0B7" w14:textId="1ED8D7F8" w:rsidR="00B0508A" w:rsidRPr="00A95C83" w:rsidRDefault="00D0383C" w:rsidP="00B0508A">
      <w:pPr>
        <w:jc w:val="center"/>
        <w:rPr>
          <w:b/>
          <w:sz w:val="26"/>
          <w:szCs w:val="26"/>
        </w:rPr>
      </w:pPr>
      <w:r w:rsidRPr="00A95C83">
        <w:rPr>
          <w:b/>
          <w:sz w:val="26"/>
          <w:szCs w:val="26"/>
        </w:rPr>
        <w:t>Innovation Centre Seven Getting Building Fund Re-profile</w:t>
      </w:r>
    </w:p>
    <w:p w14:paraId="115EF4A4" w14:textId="02DBFBEB" w:rsidR="00D0383C" w:rsidRPr="001A1F5B" w:rsidRDefault="00D0383C" w:rsidP="00B0508A">
      <w:pPr>
        <w:jc w:val="center"/>
        <w:rPr>
          <w:b/>
          <w:sz w:val="14"/>
        </w:rPr>
      </w:pPr>
    </w:p>
    <w:p w14:paraId="4C5C0CA9" w14:textId="6D798568" w:rsidR="00D0383C" w:rsidRPr="00834D23" w:rsidRDefault="00D0383C" w:rsidP="00D0383C">
      <w:pPr>
        <w:rPr>
          <w:b/>
          <w:sz w:val="22"/>
        </w:rPr>
      </w:pPr>
      <w:r w:rsidRPr="00834D23">
        <w:rPr>
          <w:b/>
          <w:sz w:val="22"/>
        </w:rPr>
        <w:t>Executive Summary</w:t>
      </w:r>
    </w:p>
    <w:p w14:paraId="272C87FF" w14:textId="386E5634" w:rsidR="00D0383C" w:rsidRPr="00834D23" w:rsidRDefault="00D0383C" w:rsidP="00D0383C">
      <w:pPr>
        <w:rPr>
          <w:sz w:val="22"/>
        </w:rPr>
      </w:pPr>
      <w:r w:rsidRPr="00834D23">
        <w:rPr>
          <w:sz w:val="22"/>
        </w:rPr>
        <w:t xml:space="preserve">Delivery of Innovation Centre Seven (IC7) has been detrimentally impacted by three macro environmental factors namely the global pandemic, Brexit and climate change induced weather and one micro environmental factor namely the presence of three badger setts on the site.  </w:t>
      </w:r>
    </w:p>
    <w:p w14:paraId="6731FC97" w14:textId="77777777" w:rsidR="00D0383C" w:rsidRPr="00834D23" w:rsidRDefault="00D0383C" w:rsidP="00D0383C">
      <w:pPr>
        <w:rPr>
          <w:sz w:val="14"/>
        </w:rPr>
      </w:pPr>
    </w:p>
    <w:p w14:paraId="69FFD406" w14:textId="61200CA0" w:rsidR="00D0383C" w:rsidRPr="00834D23" w:rsidRDefault="00D0383C" w:rsidP="00D0383C">
      <w:pPr>
        <w:rPr>
          <w:sz w:val="22"/>
        </w:rPr>
      </w:pPr>
      <w:r w:rsidRPr="00834D23">
        <w:rPr>
          <w:sz w:val="22"/>
        </w:rPr>
        <w:t xml:space="preserve">These factors currently transpire into a circa eight week delay and the need to re-profile the Getting Building Fund </w:t>
      </w:r>
      <w:r w:rsidR="00A95C83" w:rsidRPr="00834D23">
        <w:rPr>
          <w:sz w:val="22"/>
        </w:rPr>
        <w:t xml:space="preserve">(GBF) </w:t>
      </w:r>
      <w:r w:rsidRPr="00834D23">
        <w:rPr>
          <w:sz w:val="22"/>
        </w:rPr>
        <w:t>Investment from £6.1m in 2021-22 to £4m in 2021-22 and £2.1m in 2022-23 utilising the Local Enterprise Partnership’s (LEP) freedoms and flexibilities for programme financial management.</w:t>
      </w:r>
    </w:p>
    <w:p w14:paraId="22079D1E" w14:textId="192340B2" w:rsidR="00D0383C" w:rsidRPr="00834D23" w:rsidRDefault="00D0383C" w:rsidP="00D0383C">
      <w:pPr>
        <w:rPr>
          <w:sz w:val="14"/>
        </w:rPr>
      </w:pPr>
    </w:p>
    <w:p w14:paraId="7875BA5D" w14:textId="21B06861" w:rsidR="00D0383C" w:rsidRPr="00834D23" w:rsidRDefault="00F7109D" w:rsidP="00D0383C">
      <w:pPr>
        <w:rPr>
          <w:b/>
          <w:sz w:val="22"/>
        </w:rPr>
      </w:pPr>
      <w:r w:rsidRPr="00834D23">
        <w:rPr>
          <w:b/>
          <w:sz w:val="22"/>
        </w:rPr>
        <w:t>Request</w:t>
      </w:r>
    </w:p>
    <w:p w14:paraId="02F0F4D1" w14:textId="7B67EC4E" w:rsidR="00D0383C" w:rsidRPr="00834D23" w:rsidRDefault="00D0383C" w:rsidP="00D0383C">
      <w:pPr>
        <w:rPr>
          <w:sz w:val="22"/>
        </w:rPr>
      </w:pPr>
      <w:r w:rsidRPr="00834D23">
        <w:rPr>
          <w:sz w:val="22"/>
        </w:rPr>
        <w:t xml:space="preserve">To utilise the Stoke-on-Trent and Staffordshire LEP freedoms and flexibilities to enable the re-profile of </w:t>
      </w:r>
      <w:r w:rsidR="00A95C83" w:rsidRPr="00834D23">
        <w:rPr>
          <w:sz w:val="22"/>
        </w:rPr>
        <w:t xml:space="preserve">GBF </w:t>
      </w:r>
      <w:r w:rsidRPr="00834D23">
        <w:rPr>
          <w:sz w:val="22"/>
        </w:rPr>
        <w:t>investment on Innovation Centre Seven to £4m in 2021-22 and £2.1m in 2022-23.</w:t>
      </w:r>
    </w:p>
    <w:p w14:paraId="595348FB" w14:textId="6B23B619" w:rsidR="00D0383C" w:rsidRPr="00834D23" w:rsidRDefault="00D0383C" w:rsidP="00D0383C">
      <w:pPr>
        <w:rPr>
          <w:sz w:val="14"/>
        </w:rPr>
      </w:pPr>
    </w:p>
    <w:p w14:paraId="540DD305" w14:textId="3D8850EB" w:rsidR="00D0383C" w:rsidRPr="00834D23" w:rsidRDefault="00D0383C" w:rsidP="00D0383C">
      <w:pPr>
        <w:rPr>
          <w:b/>
          <w:sz w:val="22"/>
        </w:rPr>
      </w:pPr>
      <w:r w:rsidRPr="00834D23">
        <w:rPr>
          <w:b/>
          <w:sz w:val="22"/>
        </w:rPr>
        <w:t>Context</w:t>
      </w:r>
    </w:p>
    <w:p w14:paraId="2D2D2933" w14:textId="780897A3" w:rsidR="00D0383C" w:rsidRPr="00834D23" w:rsidRDefault="00D0383C" w:rsidP="00D0383C">
      <w:pPr>
        <w:rPr>
          <w:sz w:val="22"/>
        </w:rPr>
      </w:pPr>
      <w:r w:rsidRPr="00834D23">
        <w:rPr>
          <w:sz w:val="22"/>
        </w:rPr>
        <w:t xml:space="preserve">IC7 will create a 2,696sqm BREEAM excellent purpose-built grow on acceleration facility in Keele University’s Science and Innovation Park, part of the Keele Growth Corridor UEZ, to include space for business-university interactions and grow on space for SMEs in Stoke-on-Trent and Staffordshire Local Enterprise Partnership (SSLEP) priority sectors.  </w:t>
      </w:r>
    </w:p>
    <w:p w14:paraId="62AD424F" w14:textId="7CAE3CCD" w:rsidR="00D0383C" w:rsidRPr="00834D23" w:rsidRDefault="00D0383C" w:rsidP="00D0383C">
      <w:pPr>
        <w:rPr>
          <w:sz w:val="14"/>
        </w:rPr>
      </w:pPr>
    </w:p>
    <w:p w14:paraId="435F7697" w14:textId="7EE34C89" w:rsidR="00D0383C" w:rsidRPr="00834D23" w:rsidRDefault="00D0383C" w:rsidP="00D0383C">
      <w:pPr>
        <w:rPr>
          <w:b/>
          <w:sz w:val="22"/>
        </w:rPr>
      </w:pPr>
      <w:r w:rsidRPr="00834D23">
        <w:rPr>
          <w:b/>
          <w:sz w:val="22"/>
        </w:rPr>
        <w:t>Current position</w:t>
      </w:r>
    </w:p>
    <w:p w14:paraId="441826F6" w14:textId="4D16B8E0" w:rsidR="00D0383C" w:rsidRPr="00834D23" w:rsidRDefault="00D0383C" w:rsidP="00D0383C">
      <w:pPr>
        <w:rPr>
          <w:sz w:val="22"/>
        </w:rPr>
      </w:pPr>
      <w:r w:rsidRPr="00834D23">
        <w:rPr>
          <w:sz w:val="22"/>
        </w:rPr>
        <w:t xml:space="preserve">The full multi-disciplinary design team is in place, the main works contractor Bowmer and Kirkland </w:t>
      </w:r>
      <w:r w:rsidR="00621975" w:rsidRPr="00834D23">
        <w:rPr>
          <w:sz w:val="22"/>
        </w:rPr>
        <w:t xml:space="preserve">have been </w:t>
      </w:r>
      <w:r w:rsidRPr="00834D23">
        <w:rPr>
          <w:sz w:val="22"/>
        </w:rPr>
        <w:t xml:space="preserve">appointed and the steel frame </w:t>
      </w:r>
      <w:r w:rsidR="00621975" w:rsidRPr="00834D23">
        <w:rPr>
          <w:sz w:val="22"/>
        </w:rPr>
        <w:t xml:space="preserve">is </w:t>
      </w:r>
      <w:r w:rsidRPr="00834D23">
        <w:rPr>
          <w:sz w:val="22"/>
        </w:rPr>
        <w:t>significantly complete</w:t>
      </w:r>
      <w:r w:rsidR="003065DE" w:rsidRPr="00834D23">
        <w:rPr>
          <w:sz w:val="22"/>
        </w:rPr>
        <w:t xml:space="preserve"> (see image overleaf)</w:t>
      </w:r>
      <w:r w:rsidRPr="00834D23">
        <w:rPr>
          <w:sz w:val="22"/>
        </w:rPr>
        <w:t>.</w:t>
      </w:r>
      <w:r w:rsidR="00621975" w:rsidRPr="00834D23">
        <w:rPr>
          <w:sz w:val="22"/>
        </w:rPr>
        <w:t xml:space="preserve">  Furthermore an anchor tenant is close to being secured who would take occupation of the first floor and there is advanced dialogue with a number of tenants for the second floor.</w:t>
      </w:r>
    </w:p>
    <w:p w14:paraId="15AC05CF" w14:textId="03678BED" w:rsidR="00D0383C" w:rsidRPr="00834D23" w:rsidRDefault="00D0383C" w:rsidP="00D0383C">
      <w:pPr>
        <w:rPr>
          <w:sz w:val="14"/>
        </w:rPr>
      </w:pPr>
    </w:p>
    <w:p w14:paraId="2CA87AC3" w14:textId="75830E64" w:rsidR="00D0383C" w:rsidRPr="00834D23" w:rsidRDefault="00621975" w:rsidP="00D0383C">
      <w:pPr>
        <w:rPr>
          <w:sz w:val="22"/>
        </w:rPr>
      </w:pPr>
      <w:r w:rsidRPr="00834D23">
        <w:rPr>
          <w:sz w:val="22"/>
        </w:rPr>
        <w:t>However d</w:t>
      </w:r>
      <w:r w:rsidR="00D0383C" w:rsidRPr="00834D23">
        <w:rPr>
          <w:sz w:val="22"/>
        </w:rPr>
        <w:t>elivery of IC7 has been detrimentally impacted by three macro environmental fact</w:t>
      </w:r>
      <w:r w:rsidRPr="00834D23">
        <w:rPr>
          <w:sz w:val="22"/>
        </w:rPr>
        <w:t>ors namely the global pandemic and</w:t>
      </w:r>
      <w:r w:rsidR="00D0383C" w:rsidRPr="00834D23">
        <w:rPr>
          <w:sz w:val="22"/>
        </w:rPr>
        <w:t xml:space="preserve"> Brexit </w:t>
      </w:r>
      <w:r w:rsidRPr="00834D23">
        <w:rPr>
          <w:sz w:val="22"/>
        </w:rPr>
        <w:t xml:space="preserve">(which have caused a delay to the availability of and steel frame erection) </w:t>
      </w:r>
      <w:r w:rsidR="00D0383C" w:rsidRPr="00834D23">
        <w:rPr>
          <w:sz w:val="22"/>
        </w:rPr>
        <w:t xml:space="preserve">and climate change induced weather </w:t>
      </w:r>
      <w:r w:rsidRPr="00834D23">
        <w:rPr>
          <w:sz w:val="22"/>
        </w:rPr>
        <w:t xml:space="preserve">conditions </w:t>
      </w:r>
      <w:r w:rsidR="001A1F5B" w:rsidRPr="00834D23">
        <w:rPr>
          <w:sz w:val="22"/>
        </w:rPr>
        <w:t>(</w:t>
      </w:r>
      <w:r w:rsidRPr="00834D23">
        <w:rPr>
          <w:sz w:val="22"/>
        </w:rPr>
        <w:t>including storm Arwen</w:t>
      </w:r>
      <w:r w:rsidR="001A1F5B" w:rsidRPr="00834D23">
        <w:rPr>
          <w:sz w:val="22"/>
        </w:rPr>
        <w:t>)</w:t>
      </w:r>
      <w:r w:rsidRPr="00834D23">
        <w:rPr>
          <w:sz w:val="22"/>
        </w:rPr>
        <w:t xml:space="preserve"> </w:t>
      </w:r>
      <w:r w:rsidR="00D0383C" w:rsidRPr="00834D23">
        <w:rPr>
          <w:sz w:val="22"/>
        </w:rPr>
        <w:t>and one micro environmental factor namely the presence of t</w:t>
      </w:r>
      <w:r w:rsidRPr="00834D23">
        <w:rPr>
          <w:sz w:val="22"/>
        </w:rPr>
        <w:t>hree badger setts on the site (t</w:t>
      </w:r>
      <w:r w:rsidR="001A1F5B" w:rsidRPr="00834D23">
        <w:rPr>
          <w:sz w:val="22"/>
        </w:rPr>
        <w:t>he presence of two of which were</w:t>
      </w:r>
      <w:r w:rsidRPr="00834D23">
        <w:rPr>
          <w:sz w:val="22"/>
        </w:rPr>
        <w:t xml:space="preserve"> known through the extensive site surveys) but the third of which was not known and for which a delay in response</w:t>
      </w:r>
      <w:r w:rsidR="001A1F5B" w:rsidRPr="00834D23">
        <w:rPr>
          <w:sz w:val="22"/>
        </w:rPr>
        <w:t xml:space="preserve"> from Natural England negatively impacted the programme.</w:t>
      </w:r>
    </w:p>
    <w:p w14:paraId="1452F594" w14:textId="77777777" w:rsidR="001A1F5B" w:rsidRPr="00834D23" w:rsidRDefault="001A1F5B" w:rsidP="00D0383C">
      <w:pPr>
        <w:rPr>
          <w:sz w:val="14"/>
        </w:rPr>
      </w:pPr>
    </w:p>
    <w:p w14:paraId="2BEADF36" w14:textId="7724FB93" w:rsidR="001A1F5B" w:rsidRPr="00834D23" w:rsidRDefault="001A1F5B" w:rsidP="00D0383C">
      <w:pPr>
        <w:rPr>
          <w:sz w:val="22"/>
        </w:rPr>
      </w:pPr>
      <w:r w:rsidRPr="00834D23">
        <w:rPr>
          <w:sz w:val="22"/>
        </w:rPr>
        <w:t>The main works contractor has submitted early warning notices, for a total of eight weeks, for the aforementioned events/impacts which following a meeting with the Managing Director of Bowmer and Kirkland and extensive due diligence by the University’s appointed Quantity Surveyor (QS) Currie and Brown have been verified.  Accordingly a re-profile of GBF investment, is requested as set out in Table 1 below:</w:t>
      </w:r>
    </w:p>
    <w:p w14:paraId="31A94C0E" w14:textId="46D78C3A" w:rsidR="001A1F5B" w:rsidRPr="00834D23" w:rsidRDefault="001A1F5B" w:rsidP="00D0383C">
      <w:pPr>
        <w:rPr>
          <w:sz w:val="14"/>
        </w:rPr>
      </w:pPr>
    </w:p>
    <w:tbl>
      <w:tblPr>
        <w:tblW w:w="8097" w:type="dxa"/>
        <w:jc w:val="center"/>
        <w:tblLook w:val="04A0" w:firstRow="1" w:lastRow="0" w:firstColumn="1" w:lastColumn="0" w:noHBand="0" w:noVBand="1"/>
      </w:tblPr>
      <w:tblGrid>
        <w:gridCol w:w="2000"/>
        <w:gridCol w:w="1277"/>
        <w:gridCol w:w="1134"/>
        <w:gridCol w:w="1134"/>
        <w:gridCol w:w="1276"/>
        <w:gridCol w:w="1276"/>
      </w:tblGrid>
      <w:tr w:rsidR="001A1F5B" w:rsidRPr="00834D23" w14:paraId="12B44CB3" w14:textId="78E76085" w:rsidTr="00A95C83">
        <w:trPr>
          <w:trHeight w:val="227"/>
          <w:jc w:val="center"/>
        </w:trPr>
        <w:tc>
          <w:tcPr>
            <w:tcW w:w="2000" w:type="dxa"/>
            <w:vMerge w:val="restart"/>
            <w:tcBorders>
              <w:top w:val="single" w:sz="4" w:space="0" w:color="auto"/>
              <w:left w:val="single" w:sz="4" w:space="0" w:color="auto"/>
              <w:right w:val="single" w:sz="4" w:space="0" w:color="auto"/>
            </w:tcBorders>
            <w:shd w:val="clear" w:color="000000" w:fill="C6E0B4"/>
            <w:noWrap/>
            <w:vAlign w:val="center"/>
          </w:tcPr>
          <w:p w14:paraId="6FE4FA03" w14:textId="30A9E8A1" w:rsidR="001A1F5B" w:rsidRPr="00834D23" w:rsidRDefault="001A1F5B" w:rsidP="00A95C83">
            <w:pPr>
              <w:rPr>
                <w:rFonts w:cstheme="minorHAnsi"/>
                <w:b/>
                <w:bCs/>
                <w:color w:val="000000"/>
                <w:sz w:val="16"/>
                <w:szCs w:val="22"/>
              </w:rPr>
            </w:pPr>
            <w:r w:rsidRPr="00834D23">
              <w:rPr>
                <w:rFonts w:cstheme="minorHAnsi"/>
                <w:b/>
                <w:bCs/>
                <w:color w:val="000000"/>
                <w:sz w:val="16"/>
                <w:szCs w:val="22"/>
              </w:rPr>
              <w:t>Element</w:t>
            </w:r>
          </w:p>
        </w:tc>
        <w:tc>
          <w:tcPr>
            <w:tcW w:w="4821" w:type="dxa"/>
            <w:gridSpan w:val="4"/>
            <w:tcBorders>
              <w:top w:val="single" w:sz="4" w:space="0" w:color="auto"/>
              <w:left w:val="nil"/>
              <w:bottom w:val="single" w:sz="4" w:space="0" w:color="auto"/>
              <w:right w:val="single" w:sz="4" w:space="0" w:color="auto"/>
            </w:tcBorders>
            <w:shd w:val="clear" w:color="000000" w:fill="C6E0B4"/>
            <w:noWrap/>
            <w:vAlign w:val="center"/>
          </w:tcPr>
          <w:p w14:paraId="2F19FAB9" w14:textId="5200465F" w:rsidR="001A1F5B" w:rsidRPr="00834D23" w:rsidRDefault="001A1F5B" w:rsidP="00A95C83">
            <w:pPr>
              <w:jc w:val="center"/>
              <w:rPr>
                <w:rFonts w:cstheme="minorHAnsi"/>
                <w:b/>
                <w:bCs/>
                <w:color w:val="000000"/>
                <w:sz w:val="16"/>
                <w:szCs w:val="22"/>
              </w:rPr>
            </w:pPr>
            <w:r w:rsidRPr="00834D23">
              <w:rPr>
                <w:rFonts w:cstheme="minorHAnsi"/>
                <w:b/>
                <w:bCs/>
                <w:color w:val="000000"/>
                <w:sz w:val="16"/>
                <w:szCs w:val="22"/>
              </w:rPr>
              <w:t>2021-22</w:t>
            </w:r>
          </w:p>
        </w:tc>
        <w:tc>
          <w:tcPr>
            <w:tcW w:w="1276" w:type="dxa"/>
            <w:tcBorders>
              <w:top w:val="single" w:sz="4" w:space="0" w:color="auto"/>
              <w:left w:val="nil"/>
              <w:bottom w:val="single" w:sz="4" w:space="0" w:color="auto"/>
              <w:right w:val="single" w:sz="4" w:space="0" w:color="auto"/>
            </w:tcBorders>
            <w:shd w:val="clear" w:color="000000" w:fill="C6E0B4"/>
            <w:vAlign w:val="center"/>
          </w:tcPr>
          <w:p w14:paraId="5F6EB438" w14:textId="0F70AF63" w:rsidR="001A1F5B" w:rsidRPr="00834D23" w:rsidRDefault="001A1F5B" w:rsidP="00A95C83">
            <w:pPr>
              <w:jc w:val="center"/>
              <w:rPr>
                <w:rFonts w:cstheme="minorHAnsi"/>
                <w:b/>
                <w:bCs/>
                <w:color w:val="000000"/>
                <w:sz w:val="16"/>
                <w:szCs w:val="22"/>
              </w:rPr>
            </w:pPr>
            <w:r w:rsidRPr="00834D23">
              <w:rPr>
                <w:rFonts w:cstheme="minorHAnsi"/>
                <w:b/>
                <w:bCs/>
                <w:color w:val="000000"/>
                <w:sz w:val="16"/>
                <w:szCs w:val="22"/>
              </w:rPr>
              <w:t>2022-23</w:t>
            </w:r>
          </w:p>
        </w:tc>
      </w:tr>
      <w:tr w:rsidR="001A1F5B" w:rsidRPr="00834D23" w14:paraId="35ABA873" w14:textId="3504A362" w:rsidTr="00A95C83">
        <w:trPr>
          <w:trHeight w:val="227"/>
          <w:jc w:val="center"/>
        </w:trPr>
        <w:tc>
          <w:tcPr>
            <w:tcW w:w="2000" w:type="dxa"/>
            <w:vMerge/>
            <w:tcBorders>
              <w:left w:val="single" w:sz="4" w:space="0" w:color="auto"/>
              <w:bottom w:val="single" w:sz="4" w:space="0" w:color="auto"/>
              <w:right w:val="single" w:sz="4" w:space="0" w:color="auto"/>
            </w:tcBorders>
            <w:shd w:val="clear" w:color="000000" w:fill="C6E0B4"/>
            <w:noWrap/>
            <w:vAlign w:val="center"/>
            <w:hideMark/>
          </w:tcPr>
          <w:p w14:paraId="669CC156" w14:textId="4CA6A8E3" w:rsidR="001A1F5B" w:rsidRPr="00834D23" w:rsidRDefault="001A1F5B" w:rsidP="00A95C83">
            <w:pPr>
              <w:rPr>
                <w:rFonts w:cstheme="minorHAnsi"/>
                <w:b/>
                <w:bCs/>
                <w:color w:val="000000"/>
                <w:sz w:val="16"/>
                <w:szCs w:val="22"/>
              </w:rPr>
            </w:pPr>
          </w:p>
        </w:tc>
        <w:tc>
          <w:tcPr>
            <w:tcW w:w="1277" w:type="dxa"/>
            <w:tcBorders>
              <w:top w:val="single" w:sz="4" w:space="0" w:color="auto"/>
              <w:left w:val="nil"/>
              <w:bottom w:val="single" w:sz="4" w:space="0" w:color="auto"/>
              <w:right w:val="single" w:sz="4" w:space="0" w:color="auto"/>
            </w:tcBorders>
            <w:shd w:val="clear" w:color="000000" w:fill="C6E0B4"/>
            <w:noWrap/>
            <w:vAlign w:val="center"/>
            <w:hideMark/>
          </w:tcPr>
          <w:p w14:paraId="26B1DD74" w14:textId="77777777" w:rsidR="001A1F5B" w:rsidRPr="00834D23" w:rsidRDefault="001A1F5B" w:rsidP="00A95C83">
            <w:pPr>
              <w:jc w:val="center"/>
              <w:rPr>
                <w:rFonts w:cstheme="minorHAnsi"/>
                <w:b/>
                <w:bCs/>
                <w:color w:val="000000"/>
                <w:sz w:val="16"/>
                <w:szCs w:val="22"/>
              </w:rPr>
            </w:pPr>
            <w:r w:rsidRPr="00834D23">
              <w:rPr>
                <w:rFonts w:cstheme="minorHAnsi"/>
                <w:b/>
                <w:bCs/>
                <w:color w:val="000000"/>
                <w:sz w:val="16"/>
                <w:szCs w:val="22"/>
              </w:rPr>
              <w:t>Qtr1 (£m)</w:t>
            </w:r>
          </w:p>
        </w:tc>
        <w:tc>
          <w:tcPr>
            <w:tcW w:w="1134" w:type="dxa"/>
            <w:tcBorders>
              <w:top w:val="single" w:sz="4" w:space="0" w:color="auto"/>
              <w:left w:val="nil"/>
              <w:bottom w:val="single" w:sz="4" w:space="0" w:color="auto"/>
              <w:right w:val="single" w:sz="4" w:space="0" w:color="auto"/>
            </w:tcBorders>
            <w:shd w:val="clear" w:color="000000" w:fill="C6E0B4"/>
            <w:noWrap/>
            <w:vAlign w:val="center"/>
            <w:hideMark/>
          </w:tcPr>
          <w:p w14:paraId="1089837C" w14:textId="77777777" w:rsidR="001A1F5B" w:rsidRPr="00834D23" w:rsidRDefault="001A1F5B" w:rsidP="00A95C83">
            <w:pPr>
              <w:jc w:val="center"/>
              <w:rPr>
                <w:rFonts w:cstheme="minorHAnsi"/>
                <w:b/>
                <w:bCs/>
                <w:color w:val="000000"/>
                <w:sz w:val="16"/>
                <w:szCs w:val="22"/>
              </w:rPr>
            </w:pPr>
            <w:r w:rsidRPr="00834D23">
              <w:rPr>
                <w:rFonts w:cstheme="minorHAnsi"/>
                <w:b/>
                <w:bCs/>
                <w:color w:val="000000"/>
                <w:sz w:val="16"/>
                <w:szCs w:val="22"/>
              </w:rPr>
              <w:t>Qtr2 (£m)</w:t>
            </w:r>
          </w:p>
        </w:tc>
        <w:tc>
          <w:tcPr>
            <w:tcW w:w="1134" w:type="dxa"/>
            <w:tcBorders>
              <w:top w:val="single" w:sz="4" w:space="0" w:color="auto"/>
              <w:left w:val="nil"/>
              <w:bottom w:val="single" w:sz="4" w:space="0" w:color="auto"/>
              <w:right w:val="single" w:sz="4" w:space="0" w:color="auto"/>
            </w:tcBorders>
            <w:shd w:val="clear" w:color="000000" w:fill="C6E0B4"/>
            <w:noWrap/>
            <w:vAlign w:val="center"/>
            <w:hideMark/>
          </w:tcPr>
          <w:p w14:paraId="0685E572" w14:textId="77777777" w:rsidR="001A1F5B" w:rsidRPr="00834D23" w:rsidRDefault="001A1F5B" w:rsidP="00A95C83">
            <w:pPr>
              <w:jc w:val="center"/>
              <w:rPr>
                <w:rFonts w:cstheme="minorHAnsi"/>
                <w:b/>
                <w:bCs/>
                <w:color w:val="000000"/>
                <w:sz w:val="16"/>
                <w:szCs w:val="22"/>
              </w:rPr>
            </w:pPr>
            <w:r w:rsidRPr="00834D23">
              <w:rPr>
                <w:rFonts w:cstheme="minorHAnsi"/>
                <w:b/>
                <w:bCs/>
                <w:color w:val="000000"/>
                <w:sz w:val="16"/>
                <w:szCs w:val="22"/>
              </w:rPr>
              <w:t>Qtr3 (£m)</w:t>
            </w:r>
          </w:p>
        </w:tc>
        <w:tc>
          <w:tcPr>
            <w:tcW w:w="1276" w:type="dxa"/>
            <w:tcBorders>
              <w:top w:val="single" w:sz="4" w:space="0" w:color="auto"/>
              <w:left w:val="nil"/>
              <w:bottom w:val="single" w:sz="4" w:space="0" w:color="auto"/>
              <w:right w:val="single" w:sz="4" w:space="0" w:color="auto"/>
            </w:tcBorders>
            <w:shd w:val="clear" w:color="000000" w:fill="C6E0B4"/>
            <w:noWrap/>
            <w:vAlign w:val="center"/>
            <w:hideMark/>
          </w:tcPr>
          <w:p w14:paraId="59BFFF22" w14:textId="77777777" w:rsidR="001A1F5B" w:rsidRPr="00834D23" w:rsidRDefault="001A1F5B" w:rsidP="00A95C83">
            <w:pPr>
              <w:jc w:val="center"/>
              <w:rPr>
                <w:rFonts w:cstheme="minorHAnsi"/>
                <w:b/>
                <w:bCs/>
                <w:color w:val="000000"/>
                <w:sz w:val="16"/>
                <w:szCs w:val="22"/>
              </w:rPr>
            </w:pPr>
            <w:r w:rsidRPr="00834D23">
              <w:rPr>
                <w:rFonts w:cstheme="minorHAnsi"/>
                <w:b/>
                <w:bCs/>
                <w:color w:val="000000"/>
                <w:sz w:val="16"/>
                <w:szCs w:val="22"/>
              </w:rPr>
              <w:t>Qtr4 (£m)</w:t>
            </w:r>
          </w:p>
        </w:tc>
        <w:tc>
          <w:tcPr>
            <w:tcW w:w="1276" w:type="dxa"/>
            <w:tcBorders>
              <w:top w:val="single" w:sz="4" w:space="0" w:color="auto"/>
              <w:left w:val="nil"/>
              <w:bottom w:val="single" w:sz="4" w:space="0" w:color="auto"/>
              <w:right w:val="single" w:sz="4" w:space="0" w:color="auto"/>
            </w:tcBorders>
            <w:shd w:val="clear" w:color="000000" w:fill="C6E0B4"/>
            <w:vAlign w:val="center"/>
          </w:tcPr>
          <w:p w14:paraId="0DFCB4AE" w14:textId="4CB4DE7D" w:rsidR="001A1F5B" w:rsidRPr="00834D23" w:rsidRDefault="001A1F5B" w:rsidP="00A95C83">
            <w:pPr>
              <w:jc w:val="center"/>
              <w:rPr>
                <w:rFonts w:cstheme="minorHAnsi"/>
                <w:b/>
                <w:bCs/>
                <w:color w:val="000000"/>
                <w:sz w:val="16"/>
                <w:szCs w:val="22"/>
              </w:rPr>
            </w:pPr>
            <w:r w:rsidRPr="00834D23">
              <w:rPr>
                <w:rFonts w:cstheme="minorHAnsi"/>
                <w:b/>
                <w:bCs/>
                <w:color w:val="000000"/>
                <w:sz w:val="16"/>
                <w:szCs w:val="22"/>
              </w:rPr>
              <w:t>Qtr1 (£m)</w:t>
            </w:r>
          </w:p>
        </w:tc>
      </w:tr>
      <w:tr w:rsidR="001A1F5B" w:rsidRPr="00834D23" w14:paraId="711668BA" w14:textId="32AC3507" w:rsidTr="00A95C83">
        <w:trPr>
          <w:trHeight w:val="227"/>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56A093D" w14:textId="6E905A18" w:rsidR="001A1F5B" w:rsidRPr="00834D23" w:rsidRDefault="001A1F5B" w:rsidP="00A95C83">
            <w:pPr>
              <w:rPr>
                <w:rFonts w:cstheme="minorHAnsi"/>
                <w:color w:val="000000"/>
                <w:sz w:val="16"/>
                <w:szCs w:val="22"/>
              </w:rPr>
            </w:pPr>
            <w:r w:rsidRPr="00834D23">
              <w:rPr>
                <w:rFonts w:cstheme="minorHAnsi"/>
                <w:color w:val="000000"/>
                <w:sz w:val="16"/>
                <w:szCs w:val="22"/>
              </w:rPr>
              <w:t>Contract cumulative</w:t>
            </w:r>
          </w:p>
        </w:tc>
        <w:tc>
          <w:tcPr>
            <w:tcW w:w="1277" w:type="dxa"/>
            <w:tcBorders>
              <w:top w:val="nil"/>
              <w:left w:val="nil"/>
              <w:bottom w:val="single" w:sz="4" w:space="0" w:color="auto"/>
              <w:right w:val="single" w:sz="4" w:space="0" w:color="auto"/>
            </w:tcBorders>
            <w:shd w:val="clear" w:color="auto" w:fill="auto"/>
            <w:noWrap/>
            <w:vAlign w:val="center"/>
            <w:hideMark/>
          </w:tcPr>
          <w:p w14:paraId="1FF12B40" w14:textId="77777777" w:rsidR="001A1F5B" w:rsidRPr="00834D23" w:rsidRDefault="001A1F5B" w:rsidP="00A95C83">
            <w:pPr>
              <w:jc w:val="center"/>
              <w:rPr>
                <w:rFonts w:cstheme="minorHAnsi"/>
                <w:color w:val="000000"/>
                <w:sz w:val="16"/>
                <w:szCs w:val="22"/>
              </w:rPr>
            </w:pPr>
            <w:r w:rsidRPr="00834D23">
              <w:rPr>
                <w:rFonts w:cstheme="minorHAnsi"/>
                <w:color w:val="000000"/>
                <w:sz w:val="16"/>
                <w:szCs w:val="22"/>
              </w:rPr>
              <w:t>0.38</w:t>
            </w:r>
          </w:p>
        </w:tc>
        <w:tc>
          <w:tcPr>
            <w:tcW w:w="1134" w:type="dxa"/>
            <w:tcBorders>
              <w:top w:val="nil"/>
              <w:left w:val="nil"/>
              <w:bottom w:val="single" w:sz="4" w:space="0" w:color="auto"/>
              <w:right w:val="single" w:sz="4" w:space="0" w:color="auto"/>
            </w:tcBorders>
            <w:shd w:val="clear" w:color="auto" w:fill="auto"/>
            <w:noWrap/>
            <w:vAlign w:val="center"/>
            <w:hideMark/>
          </w:tcPr>
          <w:p w14:paraId="0214F1AC" w14:textId="77777777" w:rsidR="001A1F5B" w:rsidRPr="00834D23" w:rsidRDefault="001A1F5B" w:rsidP="00A95C83">
            <w:pPr>
              <w:jc w:val="center"/>
              <w:rPr>
                <w:rFonts w:cstheme="minorHAnsi"/>
                <w:color w:val="000000"/>
                <w:sz w:val="16"/>
                <w:szCs w:val="22"/>
              </w:rPr>
            </w:pPr>
            <w:r w:rsidRPr="00834D23">
              <w:rPr>
                <w:rFonts w:cstheme="minorHAnsi"/>
                <w:color w:val="000000"/>
                <w:sz w:val="16"/>
                <w:szCs w:val="22"/>
              </w:rPr>
              <w:t>1.88</w:t>
            </w:r>
          </w:p>
        </w:tc>
        <w:tc>
          <w:tcPr>
            <w:tcW w:w="1134" w:type="dxa"/>
            <w:tcBorders>
              <w:top w:val="nil"/>
              <w:left w:val="nil"/>
              <w:bottom w:val="single" w:sz="4" w:space="0" w:color="auto"/>
              <w:right w:val="single" w:sz="4" w:space="0" w:color="auto"/>
            </w:tcBorders>
            <w:shd w:val="clear" w:color="auto" w:fill="auto"/>
            <w:noWrap/>
            <w:vAlign w:val="center"/>
            <w:hideMark/>
          </w:tcPr>
          <w:p w14:paraId="78880888" w14:textId="77777777" w:rsidR="001A1F5B" w:rsidRPr="00834D23" w:rsidRDefault="001A1F5B" w:rsidP="00A95C83">
            <w:pPr>
              <w:jc w:val="center"/>
              <w:rPr>
                <w:rFonts w:cstheme="minorHAnsi"/>
                <w:color w:val="000000"/>
                <w:sz w:val="16"/>
                <w:szCs w:val="22"/>
              </w:rPr>
            </w:pPr>
            <w:r w:rsidRPr="00834D23">
              <w:rPr>
                <w:rFonts w:cstheme="minorHAnsi"/>
                <w:color w:val="000000"/>
                <w:sz w:val="16"/>
                <w:szCs w:val="22"/>
              </w:rPr>
              <w:t>3.98</w:t>
            </w:r>
          </w:p>
        </w:tc>
        <w:tc>
          <w:tcPr>
            <w:tcW w:w="1276" w:type="dxa"/>
            <w:tcBorders>
              <w:top w:val="nil"/>
              <w:left w:val="nil"/>
              <w:bottom w:val="single" w:sz="4" w:space="0" w:color="auto"/>
              <w:right w:val="single" w:sz="4" w:space="0" w:color="auto"/>
            </w:tcBorders>
            <w:shd w:val="clear" w:color="auto" w:fill="auto"/>
            <w:noWrap/>
            <w:vAlign w:val="center"/>
            <w:hideMark/>
          </w:tcPr>
          <w:p w14:paraId="15BC3A54" w14:textId="77777777" w:rsidR="001A1F5B" w:rsidRPr="00834D23" w:rsidRDefault="001A1F5B" w:rsidP="00A95C83">
            <w:pPr>
              <w:jc w:val="center"/>
              <w:rPr>
                <w:rFonts w:cstheme="minorHAnsi"/>
                <w:color w:val="000000"/>
                <w:sz w:val="16"/>
                <w:szCs w:val="22"/>
              </w:rPr>
            </w:pPr>
            <w:r w:rsidRPr="00834D23">
              <w:rPr>
                <w:rFonts w:cstheme="minorHAnsi"/>
                <w:color w:val="000000"/>
                <w:sz w:val="16"/>
                <w:szCs w:val="22"/>
              </w:rPr>
              <w:t>6.10</w:t>
            </w:r>
          </w:p>
        </w:tc>
        <w:tc>
          <w:tcPr>
            <w:tcW w:w="1276" w:type="dxa"/>
            <w:tcBorders>
              <w:top w:val="nil"/>
              <w:left w:val="nil"/>
              <w:bottom w:val="single" w:sz="4" w:space="0" w:color="auto"/>
              <w:right w:val="single" w:sz="4" w:space="0" w:color="auto"/>
            </w:tcBorders>
            <w:vAlign w:val="center"/>
          </w:tcPr>
          <w:p w14:paraId="137B21C4" w14:textId="51C84224" w:rsidR="001A1F5B" w:rsidRPr="00834D23" w:rsidRDefault="001A1F5B" w:rsidP="00A95C83">
            <w:pPr>
              <w:jc w:val="center"/>
              <w:rPr>
                <w:rFonts w:cstheme="minorHAnsi"/>
                <w:color w:val="000000"/>
                <w:sz w:val="16"/>
                <w:szCs w:val="22"/>
              </w:rPr>
            </w:pPr>
            <w:r w:rsidRPr="00834D23">
              <w:rPr>
                <w:rFonts w:cstheme="minorHAnsi"/>
                <w:color w:val="000000"/>
                <w:sz w:val="16"/>
                <w:szCs w:val="22"/>
              </w:rPr>
              <w:t>-</w:t>
            </w:r>
          </w:p>
        </w:tc>
      </w:tr>
      <w:tr w:rsidR="001A1F5B" w:rsidRPr="00834D23" w14:paraId="2D0DB1F6" w14:textId="75CB15F8" w:rsidTr="00A95C83">
        <w:trPr>
          <w:trHeight w:val="227"/>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03BC9AF7" w14:textId="387F26D0" w:rsidR="001A1F5B" w:rsidRPr="00834D23" w:rsidRDefault="001A1F5B" w:rsidP="00A95C83">
            <w:pPr>
              <w:rPr>
                <w:rFonts w:cstheme="minorHAnsi"/>
                <w:color w:val="000000"/>
                <w:sz w:val="16"/>
                <w:szCs w:val="22"/>
              </w:rPr>
            </w:pPr>
            <w:r w:rsidRPr="00834D23">
              <w:rPr>
                <w:rFonts w:cstheme="minorHAnsi"/>
                <w:color w:val="000000"/>
                <w:sz w:val="16"/>
                <w:szCs w:val="22"/>
              </w:rPr>
              <w:t>Actual to date</w:t>
            </w:r>
          </w:p>
        </w:tc>
        <w:tc>
          <w:tcPr>
            <w:tcW w:w="1277" w:type="dxa"/>
            <w:tcBorders>
              <w:top w:val="nil"/>
              <w:left w:val="nil"/>
              <w:bottom w:val="single" w:sz="4" w:space="0" w:color="auto"/>
              <w:right w:val="single" w:sz="4" w:space="0" w:color="auto"/>
            </w:tcBorders>
            <w:shd w:val="clear" w:color="auto" w:fill="auto"/>
            <w:noWrap/>
            <w:vAlign w:val="center"/>
            <w:hideMark/>
          </w:tcPr>
          <w:p w14:paraId="75919EB7" w14:textId="0C1D886C" w:rsidR="001A1F5B" w:rsidRPr="00834D23" w:rsidRDefault="001A1F5B" w:rsidP="00A95C83">
            <w:pPr>
              <w:jc w:val="center"/>
              <w:rPr>
                <w:rFonts w:cstheme="minorHAnsi"/>
                <w:color w:val="000000"/>
                <w:sz w:val="16"/>
                <w:szCs w:val="22"/>
              </w:rPr>
            </w:pPr>
            <w:r w:rsidRPr="00834D23">
              <w:rPr>
                <w:rFonts w:cstheme="minorHAnsi"/>
                <w:color w:val="000000"/>
                <w:sz w:val="16"/>
                <w:szCs w:val="22"/>
              </w:rPr>
              <w:t>0.36</w:t>
            </w:r>
          </w:p>
        </w:tc>
        <w:tc>
          <w:tcPr>
            <w:tcW w:w="1134" w:type="dxa"/>
            <w:tcBorders>
              <w:top w:val="nil"/>
              <w:left w:val="nil"/>
              <w:bottom w:val="single" w:sz="4" w:space="0" w:color="auto"/>
              <w:right w:val="single" w:sz="4" w:space="0" w:color="auto"/>
            </w:tcBorders>
            <w:shd w:val="clear" w:color="auto" w:fill="auto"/>
            <w:noWrap/>
            <w:vAlign w:val="center"/>
            <w:hideMark/>
          </w:tcPr>
          <w:p w14:paraId="6E82BA07" w14:textId="09A6F8D1" w:rsidR="001A1F5B" w:rsidRPr="00834D23" w:rsidRDefault="001A1F5B" w:rsidP="00A95C83">
            <w:pPr>
              <w:jc w:val="center"/>
              <w:rPr>
                <w:rFonts w:cstheme="minorHAnsi"/>
                <w:color w:val="000000"/>
                <w:sz w:val="16"/>
                <w:szCs w:val="22"/>
              </w:rPr>
            </w:pPr>
            <w:r w:rsidRPr="00834D23">
              <w:rPr>
                <w:rFonts w:cstheme="minorHAnsi"/>
                <w:color w:val="000000"/>
                <w:sz w:val="16"/>
                <w:szCs w:val="22"/>
              </w:rPr>
              <w:t>1.16</w:t>
            </w:r>
          </w:p>
        </w:tc>
        <w:tc>
          <w:tcPr>
            <w:tcW w:w="1134" w:type="dxa"/>
            <w:tcBorders>
              <w:top w:val="nil"/>
              <w:left w:val="nil"/>
              <w:bottom w:val="single" w:sz="4" w:space="0" w:color="auto"/>
              <w:right w:val="single" w:sz="4" w:space="0" w:color="auto"/>
            </w:tcBorders>
            <w:shd w:val="clear" w:color="auto" w:fill="auto"/>
            <w:noWrap/>
            <w:vAlign w:val="center"/>
            <w:hideMark/>
          </w:tcPr>
          <w:p w14:paraId="28279FF2" w14:textId="61B5C4DC" w:rsidR="001A1F5B" w:rsidRPr="00834D23" w:rsidRDefault="001A1F5B" w:rsidP="00A95C83">
            <w:pPr>
              <w:jc w:val="center"/>
              <w:rPr>
                <w:rFonts w:cstheme="minorHAnsi"/>
                <w:color w:val="000000"/>
                <w:sz w:val="16"/>
                <w:szCs w:val="22"/>
              </w:rPr>
            </w:pPr>
            <w:r w:rsidRPr="00834D23">
              <w:rPr>
                <w:rFonts w:cstheme="minorHAnsi"/>
                <w:color w:val="000000"/>
                <w:sz w:val="16"/>
                <w:szCs w:val="22"/>
              </w:rPr>
              <w:t>1.98</w:t>
            </w:r>
          </w:p>
        </w:tc>
        <w:tc>
          <w:tcPr>
            <w:tcW w:w="1276" w:type="dxa"/>
            <w:tcBorders>
              <w:top w:val="nil"/>
              <w:left w:val="nil"/>
              <w:bottom w:val="single" w:sz="4" w:space="0" w:color="auto"/>
              <w:right w:val="single" w:sz="4" w:space="0" w:color="auto"/>
            </w:tcBorders>
            <w:shd w:val="clear" w:color="auto" w:fill="auto"/>
            <w:noWrap/>
            <w:vAlign w:val="center"/>
            <w:hideMark/>
          </w:tcPr>
          <w:p w14:paraId="132FD511" w14:textId="6E8A6CA3" w:rsidR="001A1F5B" w:rsidRPr="00834D23" w:rsidRDefault="001A1F5B" w:rsidP="00A95C83">
            <w:pPr>
              <w:jc w:val="center"/>
              <w:rPr>
                <w:rFonts w:cstheme="minorHAnsi"/>
                <w:color w:val="000000"/>
                <w:sz w:val="16"/>
                <w:szCs w:val="22"/>
              </w:rPr>
            </w:pPr>
            <w:r w:rsidRPr="00834D23">
              <w:rPr>
                <w:rFonts w:cstheme="minorHAnsi"/>
                <w:color w:val="000000"/>
                <w:sz w:val="16"/>
                <w:szCs w:val="22"/>
              </w:rPr>
              <w:t>-</w:t>
            </w:r>
          </w:p>
        </w:tc>
        <w:tc>
          <w:tcPr>
            <w:tcW w:w="1276" w:type="dxa"/>
            <w:tcBorders>
              <w:top w:val="nil"/>
              <w:left w:val="nil"/>
              <w:bottom w:val="single" w:sz="4" w:space="0" w:color="auto"/>
              <w:right w:val="single" w:sz="4" w:space="0" w:color="auto"/>
            </w:tcBorders>
            <w:vAlign w:val="center"/>
          </w:tcPr>
          <w:p w14:paraId="0B16CD06" w14:textId="77777777" w:rsidR="001A1F5B" w:rsidRPr="00834D23" w:rsidRDefault="001A1F5B" w:rsidP="00A95C83">
            <w:pPr>
              <w:jc w:val="center"/>
              <w:rPr>
                <w:rFonts w:cstheme="minorHAnsi"/>
                <w:color w:val="000000"/>
                <w:sz w:val="16"/>
                <w:szCs w:val="22"/>
              </w:rPr>
            </w:pPr>
          </w:p>
        </w:tc>
      </w:tr>
      <w:tr w:rsidR="001A1F5B" w:rsidRPr="00834D23" w14:paraId="274115A8" w14:textId="04C41176" w:rsidTr="00A95C83">
        <w:trPr>
          <w:trHeight w:val="227"/>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0170FA78" w14:textId="4DEE3B5E" w:rsidR="001A1F5B" w:rsidRPr="00834D23" w:rsidRDefault="001A1F5B" w:rsidP="00A95C83">
            <w:pPr>
              <w:rPr>
                <w:rFonts w:cstheme="minorHAnsi"/>
                <w:color w:val="000000"/>
                <w:sz w:val="16"/>
                <w:szCs w:val="22"/>
              </w:rPr>
            </w:pPr>
            <w:r w:rsidRPr="00834D23">
              <w:rPr>
                <w:rFonts w:cstheme="minorHAnsi"/>
                <w:color w:val="000000"/>
                <w:sz w:val="16"/>
                <w:szCs w:val="22"/>
              </w:rPr>
              <w:t>Requested re-profile</w:t>
            </w:r>
          </w:p>
        </w:tc>
        <w:tc>
          <w:tcPr>
            <w:tcW w:w="1277" w:type="dxa"/>
            <w:tcBorders>
              <w:top w:val="nil"/>
              <w:left w:val="nil"/>
              <w:bottom w:val="single" w:sz="4" w:space="0" w:color="auto"/>
              <w:right w:val="single" w:sz="4" w:space="0" w:color="auto"/>
            </w:tcBorders>
            <w:shd w:val="clear" w:color="auto" w:fill="auto"/>
            <w:noWrap/>
            <w:vAlign w:val="center"/>
            <w:hideMark/>
          </w:tcPr>
          <w:p w14:paraId="664587BC" w14:textId="77777777" w:rsidR="001A1F5B" w:rsidRPr="00834D23" w:rsidRDefault="001A1F5B" w:rsidP="00A95C83">
            <w:pPr>
              <w:jc w:val="center"/>
              <w:rPr>
                <w:rFonts w:cstheme="minorHAnsi"/>
                <w:color w:val="000000"/>
                <w:sz w:val="16"/>
                <w:szCs w:val="22"/>
              </w:rPr>
            </w:pPr>
            <w:r w:rsidRPr="00834D23">
              <w:rPr>
                <w:rFonts w:cstheme="minorHAnsi"/>
                <w:color w:val="000000"/>
                <w:sz w:val="16"/>
                <w:szCs w:val="22"/>
              </w:rPr>
              <w:t>0.36</w:t>
            </w:r>
          </w:p>
        </w:tc>
        <w:tc>
          <w:tcPr>
            <w:tcW w:w="1134" w:type="dxa"/>
            <w:tcBorders>
              <w:top w:val="nil"/>
              <w:left w:val="nil"/>
              <w:bottom w:val="single" w:sz="4" w:space="0" w:color="auto"/>
              <w:right w:val="single" w:sz="4" w:space="0" w:color="auto"/>
            </w:tcBorders>
            <w:shd w:val="clear" w:color="auto" w:fill="auto"/>
            <w:noWrap/>
            <w:vAlign w:val="center"/>
            <w:hideMark/>
          </w:tcPr>
          <w:p w14:paraId="147535B4" w14:textId="77777777" w:rsidR="001A1F5B" w:rsidRPr="00834D23" w:rsidRDefault="001A1F5B" w:rsidP="00A95C83">
            <w:pPr>
              <w:jc w:val="center"/>
              <w:rPr>
                <w:rFonts w:cstheme="minorHAnsi"/>
                <w:color w:val="000000"/>
                <w:sz w:val="16"/>
                <w:szCs w:val="22"/>
              </w:rPr>
            </w:pPr>
            <w:r w:rsidRPr="00834D23">
              <w:rPr>
                <w:rFonts w:cstheme="minorHAnsi"/>
                <w:color w:val="000000"/>
                <w:sz w:val="16"/>
                <w:szCs w:val="22"/>
              </w:rPr>
              <w:t>1.16</w:t>
            </w:r>
          </w:p>
        </w:tc>
        <w:tc>
          <w:tcPr>
            <w:tcW w:w="1134" w:type="dxa"/>
            <w:tcBorders>
              <w:top w:val="nil"/>
              <w:left w:val="nil"/>
              <w:bottom w:val="single" w:sz="4" w:space="0" w:color="auto"/>
              <w:right w:val="single" w:sz="4" w:space="0" w:color="auto"/>
            </w:tcBorders>
            <w:shd w:val="clear" w:color="auto" w:fill="auto"/>
            <w:noWrap/>
            <w:vAlign w:val="center"/>
            <w:hideMark/>
          </w:tcPr>
          <w:p w14:paraId="6F9A09BD" w14:textId="77777777" w:rsidR="001A1F5B" w:rsidRPr="00834D23" w:rsidRDefault="001A1F5B" w:rsidP="00A95C83">
            <w:pPr>
              <w:jc w:val="center"/>
              <w:rPr>
                <w:rFonts w:cstheme="minorHAnsi"/>
                <w:color w:val="000000"/>
                <w:sz w:val="16"/>
                <w:szCs w:val="22"/>
              </w:rPr>
            </w:pPr>
            <w:r w:rsidRPr="00834D23">
              <w:rPr>
                <w:rFonts w:cstheme="minorHAnsi"/>
                <w:color w:val="000000"/>
                <w:sz w:val="16"/>
                <w:szCs w:val="22"/>
              </w:rPr>
              <w:t>1.98</w:t>
            </w:r>
          </w:p>
        </w:tc>
        <w:tc>
          <w:tcPr>
            <w:tcW w:w="1276" w:type="dxa"/>
            <w:tcBorders>
              <w:top w:val="nil"/>
              <w:left w:val="nil"/>
              <w:bottom w:val="single" w:sz="4" w:space="0" w:color="auto"/>
              <w:right w:val="single" w:sz="4" w:space="0" w:color="auto"/>
            </w:tcBorders>
            <w:shd w:val="clear" w:color="auto" w:fill="auto"/>
            <w:noWrap/>
            <w:vAlign w:val="center"/>
            <w:hideMark/>
          </w:tcPr>
          <w:p w14:paraId="03747F37" w14:textId="0574EB7C" w:rsidR="001A1F5B" w:rsidRPr="00834D23" w:rsidRDefault="00A95C83" w:rsidP="00A95C83">
            <w:pPr>
              <w:jc w:val="center"/>
              <w:rPr>
                <w:rFonts w:cstheme="minorHAnsi"/>
                <w:color w:val="000000"/>
                <w:sz w:val="16"/>
                <w:szCs w:val="22"/>
              </w:rPr>
            </w:pPr>
            <w:r w:rsidRPr="00834D23">
              <w:rPr>
                <w:rFonts w:cstheme="minorHAnsi"/>
                <w:color w:val="000000"/>
                <w:sz w:val="16"/>
                <w:szCs w:val="22"/>
              </w:rPr>
              <w:t>4.00</w:t>
            </w:r>
          </w:p>
        </w:tc>
        <w:tc>
          <w:tcPr>
            <w:tcW w:w="1276" w:type="dxa"/>
            <w:tcBorders>
              <w:top w:val="nil"/>
              <w:left w:val="nil"/>
              <w:bottom w:val="single" w:sz="4" w:space="0" w:color="auto"/>
              <w:right w:val="single" w:sz="4" w:space="0" w:color="auto"/>
            </w:tcBorders>
            <w:vAlign w:val="center"/>
          </w:tcPr>
          <w:p w14:paraId="70DE8AC5" w14:textId="6983EF01" w:rsidR="001A1F5B" w:rsidRPr="00834D23" w:rsidRDefault="00A95C83" w:rsidP="00A95C83">
            <w:pPr>
              <w:jc w:val="center"/>
              <w:rPr>
                <w:rFonts w:cstheme="minorHAnsi"/>
                <w:color w:val="000000"/>
                <w:sz w:val="16"/>
                <w:szCs w:val="22"/>
              </w:rPr>
            </w:pPr>
            <w:r w:rsidRPr="00834D23">
              <w:rPr>
                <w:rFonts w:cstheme="minorHAnsi"/>
                <w:color w:val="000000"/>
                <w:sz w:val="16"/>
                <w:szCs w:val="22"/>
              </w:rPr>
              <w:t>6.10</w:t>
            </w:r>
          </w:p>
        </w:tc>
      </w:tr>
    </w:tbl>
    <w:p w14:paraId="41DFA2FC" w14:textId="77777777" w:rsidR="001A1F5B" w:rsidRPr="00834D23" w:rsidRDefault="001A1F5B" w:rsidP="00D0383C">
      <w:pPr>
        <w:rPr>
          <w:sz w:val="14"/>
        </w:rPr>
      </w:pPr>
    </w:p>
    <w:p w14:paraId="6E208077" w14:textId="08481CCA" w:rsidR="00834D23" w:rsidRDefault="00834D23" w:rsidP="00D0383C">
      <w:pPr>
        <w:rPr>
          <w:sz w:val="22"/>
        </w:rPr>
      </w:pPr>
      <w:r>
        <w:rPr>
          <w:sz w:val="22"/>
        </w:rPr>
        <w:t>Subject to approval, the revised financial profile including match funding would be as follows:</w:t>
      </w:r>
    </w:p>
    <w:p w14:paraId="6408DB80" w14:textId="42D9B250" w:rsidR="00834D23" w:rsidRPr="00834D23" w:rsidRDefault="00834D23" w:rsidP="00D0383C">
      <w:pPr>
        <w:rPr>
          <w:sz w:val="14"/>
        </w:rPr>
      </w:pPr>
    </w:p>
    <w:tbl>
      <w:tblPr>
        <w:tblW w:w="8503" w:type="dxa"/>
        <w:jc w:val="center"/>
        <w:tblLook w:val="04A0" w:firstRow="1" w:lastRow="0" w:firstColumn="1" w:lastColumn="0" w:noHBand="0" w:noVBand="1"/>
      </w:tblPr>
      <w:tblGrid>
        <w:gridCol w:w="2405"/>
        <w:gridCol w:w="1277"/>
        <w:gridCol w:w="1277"/>
        <w:gridCol w:w="1134"/>
        <w:gridCol w:w="1134"/>
        <w:gridCol w:w="1276"/>
      </w:tblGrid>
      <w:tr w:rsidR="00834D23" w:rsidRPr="00834D23" w14:paraId="42A3230A" w14:textId="77777777" w:rsidTr="00834D23">
        <w:trPr>
          <w:trHeight w:val="227"/>
          <w:jc w:val="center"/>
        </w:trPr>
        <w:tc>
          <w:tcPr>
            <w:tcW w:w="2405"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08D47253" w14:textId="28B4538C" w:rsidR="00834D23" w:rsidRPr="00834D23" w:rsidRDefault="00834D23" w:rsidP="00B11524">
            <w:pPr>
              <w:rPr>
                <w:rFonts w:cstheme="minorHAnsi"/>
                <w:b/>
                <w:bCs/>
                <w:color w:val="000000"/>
                <w:sz w:val="16"/>
                <w:szCs w:val="22"/>
              </w:rPr>
            </w:pPr>
            <w:r>
              <w:rPr>
                <w:rFonts w:cstheme="minorHAnsi"/>
                <w:b/>
                <w:bCs/>
                <w:color w:val="000000"/>
                <w:sz w:val="16"/>
                <w:szCs w:val="22"/>
              </w:rPr>
              <w:t>Element</w:t>
            </w:r>
          </w:p>
        </w:tc>
        <w:tc>
          <w:tcPr>
            <w:tcW w:w="1277" w:type="dxa"/>
            <w:tcBorders>
              <w:top w:val="single" w:sz="4" w:space="0" w:color="auto"/>
              <w:left w:val="nil"/>
              <w:bottom w:val="single" w:sz="4" w:space="0" w:color="auto"/>
              <w:right w:val="single" w:sz="4" w:space="0" w:color="auto"/>
            </w:tcBorders>
            <w:shd w:val="clear" w:color="000000" w:fill="C6E0B4"/>
          </w:tcPr>
          <w:p w14:paraId="4AB712D1" w14:textId="3DADCC21" w:rsidR="00834D23" w:rsidRDefault="00834D23" w:rsidP="00B11524">
            <w:pPr>
              <w:jc w:val="center"/>
              <w:rPr>
                <w:rFonts w:cstheme="minorHAnsi"/>
                <w:b/>
                <w:bCs/>
                <w:color w:val="000000"/>
                <w:sz w:val="16"/>
                <w:szCs w:val="22"/>
              </w:rPr>
            </w:pPr>
            <w:r>
              <w:rPr>
                <w:rFonts w:cstheme="minorHAnsi"/>
                <w:b/>
                <w:bCs/>
                <w:color w:val="000000"/>
                <w:sz w:val="16"/>
                <w:szCs w:val="22"/>
              </w:rPr>
              <w:t>2020-21</w:t>
            </w:r>
          </w:p>
        </w:tc>
        <w:tc>
          <w:tcPr>
            <w:tcW w:w="1277"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59327DBE" w14:textId="1D651A85" w:rsidR="00834D23" w:rsidRPr="00834D23" w:rsidRDefault="00834D23" w:rsidP="00B11524">
            <w:pPr>
              <w:jc w:val="center"/>
              <w:rPr>
                <w:rFonts w:cstheme="minorHAnsi"/>
                <w:b/>
                <w:bCs/>
                <w:color w:val="000000"/>
                <w:sz w:val="16"/>
                <w:szCs w:val="22"/>
              </w:rPr>
            </w:pPr>
            <w:r>
              <w:rPr>
                <w:rFonts w:cstheme="minorHAnsi"/>
                <w:b/>
                <w:bCs/>
                <w:color w:val="000000"/>
                <w:sz w:val="16"/>
                <w:szCs w:val="22"/>
              </w:rPr>
              <w:t>2021-22</w:t>
            </w:r>
          </w:p>
        </w:tc>
        <w:tc>
          <w:tcPr>
            <w:tcW w:w="1134" w:type="dxa"/>
            <w:tcBorders>
              <w:top w:val="single" w:sz="4" w:space="0" w:color="auto"/>
              <w:left w:val="nil"/>
              <w:bottom w:val="single" w:sz="4" w:space="0" w:color="auto"/>
              <w:right w:val="single" w:sz="4" w:space="0" w:color="auto"/>
            </w:tcBorders>
            <w:shd w:val="clear" w:color="000000" w:fill="C6E0B4"/>
            <w:noWrap/>
            <w:vAlign w:val="center"/>
            <w:hideMark/>
          </w:tcPr>
          <w:p w14:paraId="010EC695" w14:textId="5BD15F13" w:rsidR="00834D23" w:rsidRPr="00834D23" w:rsidRDefault="00834D23" w:rsidP="00B11524">
            <w:pPr>
              <w:jc w:val="center"/>
              <w:rPr>
                <w:rFonts w:cstheme="minorHAnsi"/>
                <w:b/>
                <w:bCs/>
                <w:color w:val="000000"/>
                <w:sz w:val="16"/>
                <w:szCs w:val="22"/>
              </w:rPr>
            </w:pPr>
            <w:r>
              <w:rPr>
                <w:rFonts w:cstheme="minorHAnsi"/>
                <w:b/>
                <w:bCs/>
                <w:color w:val="000000"/>
                <w:sz w:val="16"/>
                <w:szCs w:val="22"/>
              </w:rPr>
              <w:t>2022-23</w:t>
            </w:r>
          </w:p>
        </w:tc>
        <w:tc>
          <w:tcPr>
            <w:tcW w:w="1134" w:type="dxa"/>
            <w:tcBorders>
              <w:top w:val="single" w:sz="4" w:space="0" w:color="auto"/>
              <w:left w:val="nil"/>
              <w:bottom w:val="single" w:sz="4" w:space="0" w:color="auto"/>
              <w:right w:val="single" w:sz="4" w:space="0" w:color="auto"/>
            </w:tcBorders>
            <w:shd w:val="clear" w:color="000000" w:fill="C6E0B4"/>
            <w:noWrap/>
            <w:vAlign w:val="center"/>
            <w:hideMark/>
          </w:tcPr>
          <w:p w14:paraId="2EE4EC77" w14:textId="0FF99904" w:rsidR="00834D23" w:rsidRPr="00834D23" w:rsidRDefault="00834D23" w:rsidP="00B11524">
            <w:pPr>
              <w:jc w:val="center"/>
              <w:rPr>
                <w:rFonts w:cstheme="minorHAnsi"/>
                <w:b/>
                <w:bCs/>
                <w:color w:val="000000"/>
                <w:sz w:val="16"/>
                <w:szCs w:val="22"/>
              </w:rPr>
            </w:pPr>
            <w:r>
              <w:rPr>
                <w:rFonts w:cstheme="minorHAnsi"/>
                <w:b/>
                <w:bCs/>
                <w:color w:val="000000"/>
                <w:sz w:val="16"/>
                <w:szCs w:val="22"/>
              </w:rPr>
              <w:t>2023-24</w:t>
            </w:r>
          </w:p>
        </w:tc>
        <w:tc>
          <w:tcPr>
            <w:tcW w:w="1276" w:type="dxa"/>
            <w:tcBorders>
              <w:top w:val="single" w:sz="4" w:space="0" w:color="auto"/>
              <w:left w:val="nil"/>
              <w:bottom w:val="single" w:sz="4" w:space="0" w:color="auto"/>
              <w:right w:val="single" w:sz="4" w:space="0" w:color="auto"/>
            </w:tcBorders>
            <w:shd w:val="clear" w:color="000000" w:fill="C6E0B4"/>
            <w:noWrap/>
            <w:vAlign w:val="center"/>
            <w:hideMark/>
          </w:tcPr>
          <w:p w14:paraId="1F505CC3" w14:textId="77B6B345" w:rsidR="00834D23" w:rsidRPr="00834D23" w:rsidRDefault="00834D23" w:rsidP="00B11524">
            <w:pPr>
              <w:jc w:val="center"/>
              <w:rPr>
                <w:rFonts w:cstheme="minorHAnsi"/>
                <w:b/>
                <w:bCs/>
                <w:color w:val="000000"/>
                <w:sz w:val="16"/>
                <w:szCs w:val="22"/>
              </w:rPr>
            </w:pPr>
            <w:r>
              <w:rPr>
                <w:rFonts w:cstheme="minorHAnsi"/>
                <w:b/>
                <w:bCs/>
                <w:color w:val="000000"/>
                <w:sz w:val="16"/>
                <w:szCs w:val="22"/>
              </w:rPr>
              <w:t>Total</w:t>
            </w:r>
          </w:p>
        </w:tc>
      </w:tr>
      <w:tr w:rsidR="00834D23" w:rsidRPr="00834D23" w14:paraId="2CAD9198" w14:textId="77777777" w:rsidTr="00834D23">
        <w:trPr>
          <w:trHeight w:val="227"/>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07840A68" w14:textId="458CD30A" w:rsidR="00834D23" w:rsidRPr="00834D23" w:rsidRDefault="00834D23" w:rsidP="00B11524">
            <w:pPr>
              <w:rPr>
                <w:rFonts w:cstheme="minorHAnsi"/>
                <w:color w:val="000000"/>
                <w:sz w:val="16"/>
                <w:szCs w:val="22"/>
              </w:rPr>
            </w:pPr>
            <w:r>
              <w:rPr>
                <w:rFonts w:cstheme="minorHAnsi"/>
                <w:color w:val="000000"/>
                <w:sz w:val="16"/>
                <w:szCs w:val="22"/>
              </w:rPr>
              <w:t xml:space="preserve">GBF </w:t>
            </w:r>
          </w:p>
        </w:tc>
        <w:tc>
          <w:tcPr>
            <w:tcW w:w="1277" w:type="dxa"/>
            <w:tcBorders>
              <w:top w:val="single" w:sz="4" w:space="0" w:color="auto"/>
              <w:left w:val="nil"/>
              <w:bottom w:val="single" w:sz="4" w:space="0" w:color="auto"/>
              <w:right w:val="single" w:sz="4" w:space="0" w:color="auto"/>
            </w:tcBorders>
          </w:tcPr>
          <w:p w14:paraId="4B1195AE" w14:textId="4F7CED12" w:rsidR="00834D23" w:rsidRDefault="00834D23" w:rsidP="00B11524">
            <w:pPr>
              <w:jc w:val="center"/>
              <w:rPr>
                <w:rFonts w:cstheme="minorHAnsi"/>
                <w:color w:val="000000"/>
                <w:sz w:val="16"/>
                <w:szCs w:val="22"/>
              </w:rPr>
            </w:pPr>
            <w:r>
              <w:rPr>
                <w:rFonts w:cstheme="minorHAnsi"/>
                <w:color w:val="000000"/>
                <w:sz w:val="16"/>
                <w:szCs w:val="22"/>
              </w:rPr>
              <w:t>-</w:t>
            </w:r>
          </w:p>
        </w:tc>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6F8FEE1A" w14:textId="6C59C619" w:rsidR="00834D23" w:rsidRPr="00834D23" w:rsidRDefault="00834D23" w:rsidP="00B11524">
            <w:pPr>
              <w:jc w:val="center"/>
              <w:rPr>
                <w:rFonts w:cstheme="minorHAnsi"/>
                <w:color w:val="000000"/>
                <w:sz w:val="16"/>
                <w:szCs w:val="22"/>
              </w:rPr>
            </w:pPr>
            <w:r>
              <w:rPr>
                <w:rFonts w:cstheme="minorHAnsi"/>
                <w:color w:val="000000"/>
                <w:sz w:val="16"/>
                <w:szCs w:val="22"/>
              </w:rPr>
              <w:t>4.0</w:t>
            </w:r>
          </w:p>
        </w:tc>
        <w:tc>
          <w:tcPr>
            <w:tcW w:w="1134" w:type="dxa"/>
            <w:tcBorders>
              <w:top w:val="nil"/>
              <w:left w:val="nil"/>
              <w:bottom w:val="single" w:sz="4" w:space="0" w:color="auto"/>
              <w:right w:val="single" w:sz="4" w:space="0" w:color="auto"/>
            </w:tcBorders>
            <w:shd w:val="clear" w:color="auto" w:fill="auto"/>
            <w:noWrap/>
            <w:vAlign w:val="center"/>
            <w:hideMark/>
          </w:tcPr>
          <w:p w14:paraId="7FAE4FBB" w14:textId="52CDA8CC" w:rsidR="00834D23" w:rsidRPr="00834D23" w:rsidRDefault="00834D23" w:rsidP="00B11524">
            <w:pPr>
              <w:jc w:val="center"/>
              <w:rPr>
                <w:rFonts w:cstheme="minorHAnsi"/>
                <w:color w:val="000000"/>
                <w:sz w:val="16"/>
                <w:szCs w:val="22"/>
              </w:rPr>
            </w:pPr>
            <w:r>
              <w:rPr>
                <w:rFonts w:cstheme="minorHAnsi"/>
                <w:color w:val="000000"/>
                <w:sz w:val="16"/>
                <w:szCs w:val="22"/>
              </w:rPr>
              <w:t>2.1</w:t>
            </w:r>
          </w:p>
        </w:tc>
        <w:tc>
          <w:tcPr>
            <w:tcW w:w="1134" w:type="dxa"/>
            <w:tcBorders>
              <w:top w:val="nil"/>
              <w:left w:val="nil"/>
              <w:bottom w:val="single" w:sz="4" w:space="0" w:color="auto"/>
              <w:right w:val="single" w:sz="4" w:space="0" w:color="auto"/>
            </w:tcBorders>
            <w:shd w:val="clear" w:color="auto" w:fill="auto"/>
            <w:noWrap/>
            <w:vAlign w:val="center"/>
            <w:hideMark/>
          </w:tcPr>
          <w:p w14:paraId="5D35B58A" w14:textId="1D319941" w:rsidR="00834D23" w:rsidRPr="00834D23" w:rsidRDefault="00834D23" w:rsidP="00B11524">
            <w:pPr>
              <w:jc w:val="center"/>
              <w:rPr>
                <w:rFonts w:cstheme="minorHAnsi"/>
                <w:color w:val="000000"/>
                <w:sz w:val="16"/>
                <w:szCs w:val="22"/>
              </w:rPr>
            </w:pPr>
            <w:r>
              <w:rPr>
                <w:rFonts w:cstheme="minorHAnsi"/>
                <w:color w:val="000000"/>
                <w:sz w:val="16"/>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14:paraId="70824BAB" w14:textId="77777777" w:rsidR="00834D23" w:rsidRPr="00834D23" w:rsidRDefault="00834D23" w:rsidP="00B11524">
            <w:pPr>
              <w:jc w:val="center"/>
              <w:rPr>
                <w:rFonts w:cstheme="minorHAnsi"/>
                <w:b/>
                <w:color w:val="000000"/>
                <w:sz w:val="16"/>
                <w:szCs w:val="22"/>
              </w:rPr>
            </w:pPr>
            <w:r w:rsidRPr="00834D23">
              <w:rPr>
                <w:rFonts w:cstheme="minorHAnsi"/>
                <w:b/>
                <w:color w:val="000000"/>
                <w:sz w:val="16"/>
                <w:szCs w:val="22"/>
              </w:rPr>
              <w:t>6.10</w:t>
            </w:r>
          </w:p>
        </w:tc>
      </w:tr>
      <w:tr w:rsidR="00834D23" w:rsidRPr="00834D23" w14:paraId="688AE937" w14:textId="77777777" w:rsidTr="00834D23">
        <w:trPr>
          <w:trHeight w:val="227"/>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19B73782" w14:textId="2B78A91B" w:rsidR="00834D23" w:rsidRPr="00834D23" w:rsidRDefault="00834D23" w:rsidP="00B11524">
            <w:pPr>
              <w:rPr>
                <w:rFonts w:cstheme="minorHAnsi"/>
                <w:color w:val="000000"/>
                <w:sz w:val="16"/>
                <w:szCs w:val="22"/>
              </w:rPr>
            </w:pPr>
            <w:r>
              <w:rPr>
                <w:rFonts w:cstheme="minorHAnsi"/>
                <w:color w:val="000000"/>
                <w:sz w:val="16"/>
                <w:szCs w:val="22"/>
              </w:rPr>
              <w:t>Keele, ERDF &amp; Research England</w:t>
            </w:r>
          </w:p>
        </w:tc>
        <w:tc>
          <w:tcPr>
            <w:tcW w:w="1277" w:type="dxa"/>
            <w:tcBorders>
              <w:top w:val="single" w:sz="4" w:space="0" w:color="auto"/>
              <w:left w:val="nil"/>
              <w:bottom w:val="single" w:sz="4" w:space="0" w:color="auto"/>
              <w:right w:val="single" w:sz="4" w:space="0" w:color="auto"/>
            </w:tcBorders>
          </w:tcPr>
          <w:p w14:paraId="597734A1" w14:textId="35C3EF25" w:rsidR="00834D23" w:rsidRPr="00834D23" w:rsidRDefault="00834D23" w:rsidP="00B11524">
            <w:pPr>
              <w:jc w:val="center"/>
              <w:rPr>
                <w:rFonts w:cstheme="minorHAnsi"/>
                <w:color w:val="000000"/>
                <w:sz w:val="16"/>
                <w:szCs w:val="22"/>
              </w:rPr>
            </w:pPr>
            <w:r>
              <w:rPr>
                <w:rFonts w:cstheme="minorHAnsi"/>
                <w:color w:val="000000"/>
                <w:sz w:val="16"/>
                <w:szCs w:val="22"/>
              </w:rPr>
              <w:t>1.5</w:t>
            </w:r>
          </w:p>
        </w:tc>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24D92E0D" w14:textId="20EEE378" w:rsidR="00834D23" w:rsidRPr="00834D23" w:rsidRDefault="00834D23" w:rsidP="00B11524">
            <w:pPr>
              <w:jc w:val="center"/>
              <w:rPr>
                <w:rFonts w:cstheme="minorHAnsi"/>
                <w:color w:val="000000"/>
                <w:sz w:val="16"/>
                <w:szCs w:val="22"/>
              </w:rPr>
            </w:pPr>
            <w:r>
              <w:rPr>
                <w:rFonts w:cstheme="minorHAnsi"/>
                <w:color w:val="000000"/>
                <w:sz w:val="16"/>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14:paraId="3AC86890" w14:textId="42313892" w:rsidR="00834D23" w:rsidRPr="00834D23" w:rsidRDefault="00834D23" w:rsidP="00B11524">
            <w:pPr>
              <w:jc w:val="center"/>
              <w:rPr>
                <w:rFonts w:cstheme="minorHAnsi"/>
                <w:color w:val="000000"/>
                <w:sz w:val="16"/>
                <w:szCs w:val="22"/>
              </w:rPr>
            </w:pPr>
            <w:r>
              <w:rPr>
                <w:rFonts w:cstheme="minorHAnsi"/>
                <w:color w:val="000000"/>
                <w:sz w:val="16"/>
                <w:szCs w:val="22"/>
              </w:rPr>
              <w:t>5.1</w:t>
            </w:r>
          </w:p>
        </w:tc>
        <w:tc>
          <w:tcPr>
            <w:tcW w:w="1134" w:type="dxa"/>
            <w:tcBorders>
              <w:top w:val="nil"/>
              <w:left w:val="nil"/>
              <w:bottom w:val="single" w:sz="4" w:space="0" w:color="auto"/>
              <w:right w:val="single" w:sz="4" w:space="0" w:color="auto"/>
            </w:tcBorders>
            <w:shd w:val="clear" w:color="auto" w:fill="auto"/>
            <w:noWrap/>
            <w:vAlign w:val="center"/>
            <w:hideMark/>
          </w:tcPr>
          <w:p w14:paraId="35602CDD" w14:textId="600F5B77" w:rsidR="00834D23" w:rsidRPr="00834D23" w:rsidRDefault="00834D23" w:rsidP="00B11524">
            <w:pPr>
              <w:jc w:val="center"/>
              <w:rPr>
                <w:rFonts w:cstheme="minorHAnsi"/>
                <w:color w:val="000000"/>
                <w:sz w:val="16"/>
                <w:szCs w:val="22"/>
              </w:rPr>
            </w:pPr>
            <w:r>
              <w:rPr>
                <w:rFonts w:cstheme="minorHAnsi"/>
                <w:color w:val="000000"/>
                <w:sz w:val="16"/>
                <w:szCs w:val="22"/>
              </w:rPr>
              <w:t>0.6</w:t>
            </w:r>
          </w:p>
        </w:tc>
        <w:tc>
          <w:tcPr>
            <w:tcW w:w="1276" w:type="dxa"/>
            <w:tcBorders>
              <w:top w:val="nil"/>
              <w:left w:val="nil"/>
              <w:bottom w:val="single" w:sz="4" w:space="0" w:color="auto"/>
              <w:right w:val="single" w:sz="4" w:space="0" w:color="auto"/>
            </w:tcBorders>
            <w:shd w:val="clear" w:color="auto" w:fill="auto"/>
            <w:noWrap/>
            <w:vAlign w:val="center"/>
            <w:hideMark/>
          </w:tcPr>
          <w:p w14:paraId="45A5D7E0" w14:textId="4A824C43" w:rsidR="00834D23" w:rsidRPr="00834D23" w:rsidRDefault="00834D23" w:rsidP="00B11524">
            <w:pPr>
              <w:jc w:val="center"/>
              <w:rPr>
                <w:rFonts w:cstheme="minorHAnsi"/>
                <w:b/>
                <w:color w:val="000000"/>
                <w:sz w:val="16"/>
                <w:szCs w:val="22"/>
              </w:rPr>
            </w:pPr>
            <w:r>
              <w:rPr>
                <w:rFonts w:cstheme="minorHAnsi"/>
                <w:b/>
                <w:color w:val="000000"/>
                <w:sz w:val="16"/>
                <w:szCs w:val="22"/>
              </w:rPr>
              <w:fldChar w:fldCharType="begin"/>
            </w:r>
            <w:r>
              <w:rPr>
                <w:rFonts w:cstheme="minorHAnsi"/>
                <w:b/>
                <w:color w:val="000000"/>
                <w:sz w:val="16"/>
                <w:szCs w:val="22"/>
              </w:rPr>
              <w:instrText xml:space="preserve"> =SUM(LEFT) </w:instrText>
            </w:r>
            <w:r>
              <w:rPr>
                <w:rFonts w:cstheme="minorHAnsi"/>
                <w:b/>
                <w:color w:val="000000"/>
                <w:sz w:val="16"/>
                <w:szCs w:val="22"/>
              </w:rPr>
              <w:fldChar w:fldCharType="separate"/>
            </w:r>
            <w:r>
              <w:rPr>
                <w:rFonts w:cstheme="minorHAnsi"/>
                <w:b/>
                <w:noProof/>
                <w:color w:val="000000"/>
                <w:sz w:val="16"/>
                <w:szCs w:val="22"/>
              </w:rPr>
              <w:t>8.3</w:t>
            </w:r>
            <w:r>
              <w:rPr>
                <w:rFonts w:cstheme="minorHAnsi"/>
                <w:b/>
                <w:color w:val="000000"/>
                <w:sz w:val="16"/>
                <w:szCs w:val="22"/>
              </w:rPr>
              <w:fldChar w:fldCharType="end"/>
            </w:r>
            <w:r>
              <w:rPr>
                <w:rFonts w:cstheme="minorHAnsi"/>
                <w:b/>
                <w:color w:val="000000"/>
                <w:sz w:val="16"/>
                <w:szCs w:val="22"/>
              </w:rPr>
              <w:t>0</w:t>
            </w:r>
          </w:p>
        </w:tc>
      </w:tr>
      <w:tr w:rsidR="00834D23" w:rsidRPr="00834D23" w14:paraId="1FC96939" w14:textId="77777777" w:rsidTr="00834D23">
        <w:trPr>
          <w:trHeight w:val="227"/>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3421E3C9" w14:textId="347C8937" w:rsidR="00834D23" w:rsidRPr="00834D23" w:rsidRDefault="00834D23" w:rsidP="00B11524">
            <w:pPr>
              <w:rPr>
                <w:rFonts w:cstheme="minorHAnsi"/>
                <w:b/>
                <w:color w:val="000000"/>
                <w:sz w:val="16"/>
                <w:szCs w:val="22"/>
              </w:rPr>
            </w:pPr>
            <w:r w:rsidRPr="00834D23">
              <w:rPr>
                <w:rFonts w:cstheme="minorHAnsi"/>
                <w:b/>
                <w:color w:val="000000"/>
                <w:sz w:val="16"/>
                <w:szCs w:val="22"/>
              </w:rPr>
              <w:t>Total</w:t>
            </w:r>
          </w:p>
        </w:tc>
        <w:tc>
          <w:tcPr>
            <w:tcW w:w="1277" w:type="dxa"/>
            <w:tcBorders>
              <w:top w:val="single" w:sz="4" w:space="0" w:color="auto"/>
              <w:left w:val="nil"/>
              <w:bottom w:val="single" w:sz="4" w:space="0" w:color="auto"/>
              <w:right w:val="single" w:sz="4" w:space="0" w:color="auto"/>
            </w:tcBorders>
          </w:tcPr>
          <w:p w14:paraId="0437E4CF" w14:textId="57DD988E" w:rsidR="00834D23" w:rsidRPr="00834D23" w:rsidRDefault="00834D23" w:rsidP="00B11524">
            <w:pPr>
              <w:jc w:val="center"/>
              <w:rPr>
                <w:rFonts w:cstheme="minorHAnsi"/>
                <w:b/>
                <w:color w:val="000000"/>
                <w:sz w:val="16"/>
                <w:szCs w:val="22"/>
              </w:rPr>
            </w:pPr>
            <w:r>
              <w:rPr>
                <w:rFonts w:cstheme="minorHAnsi"/>
                <w:b/>
                <w:color w:val="000000"/>
                <w:sz w:val="16"/>
                <w:szCs w:val="22"/>
              </w:rPr>
              <w:t>1.5</w:t>
            </w:r>
          </w:p>
        </w:tc>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132C52B7" w14:textId="6F617165" w:rsidR="00834D23" w:rsidRPr="00834D23" w:rsidRDefault="00834D23" w:rsidP="00B11524">
            <w:pPr>
              <w:jc w:val="center"/>
              <w:rPr>
                <w:rFonts w:cstheme="minorHAnsi"/>
                <w:b/>
                <w:color w:val="000000"/>
                <w:sz w:val="16"/>
                <w:szCs w:val="22"/>
              </w:rPr>
            </w:pPr>
            <w:r>
              <w:rPr>
                <w:rFonts w:cstheme="minorHAnsi"/>
                <w:b/>
                <w:color w:val="000000"/>
                <w:sz w:val="16"/>
                <w:szCs w:val="22"/>
              </w:rPr>
              <w:t>5.1</w:t>
            </w:r>
          </w:p>
        </w:tc>
        <w:tc>
          <w:tcPr>
            <w:tcW w:w="1134" w:type="dxa"/>
            <w:tcBorders>
              <w:top w:val="nil"/>
              <w:left w:val="nil"/>
              <w:bottom w:val="single" w:sz="4" w:space="0" w:color="auto"/>
              <w:right w:val="single" w:sz="4" w:space="0" w:color="auto"/>
            </w:tcBorders>
            <w:shd w:val="clear" w:color="auto" w:fill="auto"/>
            <w:noWrap/>
            <w:vAlign w:val="center"/>
            <w:hideMark/>
          </w:tcPr>
          <w:p w14:paraId="266DEEE7" w14:textId="161FDB90" w:rsidR="00834D23" w:rsidRPr="00834D23" w:rsidRDefault="00834D23" w:rsidP="00B11524">
            <w:pPr>
              <w:jc w:val="center"/>
              <w:rPr>
                <w:rFonts w:cstheme="minorHAnsi"/>
                <w:b/>
                <w:color w:val="000000"/>
                <w:sz w:val="16"/>
                <w:szCs w:val="22"/>
              </w:rPr>
            </w:pPr>
            <w:r>
              <w:rPr>
                <w:rFonts w:cstheme="minorHAnsi"/>
                <w:b/>
                <w:color w:val="000000"/>
                <w:sz w:val="16"/>
                <w:szCs w:val="22"/>
              </w:rPr>
              <w:t>7.2</w:t>
            </w:r>
          </w:p>
        </w:tc>
        <w:tc>
          <w:tcPr>
            <w:tcW w:w="1134" w:type="dxa"/>
            <w:tcBorders>
              <w:top w:val="nil"/>
              <w:left w:val="nil"/>
              <w:bottom w:val="single" w:sz="4" w:space="0" w:color="auto"/>
              <w:right w:val="single" w:sz="4" w:space="0" w:color="auto"/>
            </w:tcBorders>
            <w:shd w:val="clear" w:color="auto" w:fill="auto"/>
            <w:noWrap/>
            <w:vAlign w:val="center"/>
            <w:hideMark/>
          </w:tcPr>
          <w:p w14:paraId="6272E523" w14:textId="1CFE501A" w:rsidR="00834D23" w:rsidRPr="00834D23" w:rsidRDefault="00834D23" w:rsidP="00834D23">
            <w:pPr>
              <w:jc w:val="center"/>
              <w:rPr>
                <w:rFonts w:cstheme="minorHAnsi"/>
                <w:b/>
                <w:color w:val="000000"/>
                <w:sz w:val="16"/>
                <w:szCs w:val="22"/>
              </w:rPr>
            </w:pPr>
            <w:r>
              <w:rPr>
                <w:rFonts w:cstheme="minorHAnsi"/>
                <w:b/>
                <w:color w:val="000000"/>
                <w:sz w:val="16"/>
                <w:szCs w:val="22"/>
              </w:rPr>
              <w:t>0.6</w:t>
            </w:r>
          </w:p>
        </w:tc>
        <w:tc>
          <w:tcPr>
            <w:tcW w:w="1276" w:type="dxa"/>
            <w:tcBorders>
              <w:top w:val="nil"/>
              <w:left w:val="nil"/>
              <w:bottom w:val="single" w:sz="4" w:space="0" w:color="auto"/>
              <w:right w:val="single" w:sz="4" w:space="0" w:color="auto"/>
            </w:tcBorders>
            <w:shd w:val="clear" w:color="auto" w:fill="auto"/>
            <w:noWrap/>
            <w:vAlign w:val="center"/>
            <w:hideMark/>
          </w:tcPr>
          <w:p w14:paraId="6CCD6C05" w14:textId="084CCF40" w:rsidR="00834D23" w:rsidRPr="00834D23" w:rsidRDefault="00834D23" w:rsidP="00834D23">
            <w:pPr>
              <w:jc w:val="center"/>
              <w:rPr>
                <w:rFonts w:cstheme="minorHAnsi"/>
                <w:b/>
                <w:color w:val="000000"/>
                <w:sz w:val="16"/>
                <w:szCs w:val="22"/>
              </w:rPr>
            </w:pPr>
            <w:r>
              <w:rPr>
                <w:rFonts w:cstheme="minorHAnsi"/>
                <w:b/>
                <w:color w:val="000000"/>
                <w:sz w:val="16"/>
                <w:szCs w:val="22"/>
              </w:rPr>
              <w:t>14.40</w:t>
            </w:r>
          </w:p>
        </w:tc>
      </w:tr>
    </w:tbl>
    <w:p w14:paraId="0FB42366" w14:textId="5A505938" w:rsidR="00834D23" w:rsidRPr="00834D23" w:rsidRDefault="00834D23" w:rsidP="00D0383C">
      <w:pPr>
        <w:rPr>
          <w:sz w:val="12"/>
        </w:rPr>
      </w:pPr>
    </w:p>
    <w:p w14:paraId="319527BB" w14:textId="58FA26EC" w:rsidR="00D0383C" w:rsidRPr="00834D23" w:rsidRDefault="001A1F5B" w:rsidP="00D0383C">
      <w:pPr>
        <w:rPr>
          <w:sz w:val="22"/>
        </w:rPr>
      </w:pPr>
      <w:r w:rsidRPr="00834D23">
        <w:rPr>
          <w:sz w:val="22"/>
        </w:rPr>
        <w:t>The University has prepared the aforementioned re-profile following extensive dialogue with the main works contractor and QS and on a under promise over deliver basis.  The University is also content to oblige with any additional monitoring requests from the LEP.</w:t>
      </w:r>
    </w:p>
    <w:p w14:paraId="1A30D333" w14:textId="5E22FABB" w:rsidR="003065DE" w:rsidRDefault="003065DE" w:rsidP="00D0383C"/>
    <w:p w14:paraId="50A6BEAE" w14:textId="5D797F46" w:rsidR="00834D23" w:rsidRDefault="00834D23" w:rsidP="00D0383C">
      <w:bookmarkStart w:id="0" w:name="_GoBack"/>
      <w:bookmarkEnd w:id="0"/>
    </w:p>
    <w:p w14:paraId="72E16DE4" w14:textId="2AF64FB7" w:rsidR="003065DE" w:rsidRDefault="003065DE" w:rsidP="00D0383C">
      <w:r w:rsidRPr="003065DE">
        <w:rPr>
          <w:b/>
        </w:rPr>
        <w:t>Image 1.</w:t>
      </w:r>
      <w:r>
        <w:t xml:space="preserve"> IC7 Construction status as at 8am 13</w:t>
      </w:r>
      <w:r w:rsidRPr="003065DE">
        <w:rPr>
          <w:vertAlign w:val="superscript"/>
        </w:rPr>
        <w:t>th</w:t>
      </w:r>
      <w:r>
        <w:t xml:space="preserve"> December 2021</w:t>
      </w:r>
    </w:p>
    <w:p w14:paraId="465CEE28" w14:textId="77777777" w:rsidR="003065DE" w:rsidRDefault="003065DE" w:rsidP="00D0383C"/>
    <w:p w14:paraId="01EA2311" w14:textId="6133B207" w:rsidR="003065DE" w:rsidRPr="001A1F5B" w:rsidRDefault="003065DE" w:rsidP="00D0383C">
      <w:r>
        <w:rPr>
          <w:noProof/>
        </w:rPr>
        <w:drawing>
          <wp:inline distT="0" distB="0" distL="0" distR="0" wp14:anchorId="1741A045" wp14:editId="573A0880">
            <wp:extent cx="6480175" cy="4860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IMG_1881.jpg"/>
                    <pic:cNvPicPr/>
                  </pic:nvPicPr>
                  <pic:blipFill>
                    <a:blip r:embed="rId7">
                      <a:extLst>
                        <a:ext uri="{28A0092B-C50C-407E-A947-70E740481C1C}">
                          <a14:useLocalDpi xmlns:a14="http://schemas.microsoft.com/office/drawing/2010/main" val="0"/>
                        </a:ext>
                      </a:extLst>
                    </a:blip>
                    <a:stretch>
                      <a:fillRect/>
                    </a:stretch>
                  </pic:blipFill>
                  <pic:spPr>
                    <a:xfrm>
                      <a:off x="0" y="0"/>
                      <a:ext cx="6480175" cy="4860290"/>
                    </a:xfrm>
                    <a:prstGeom prst="rect">
                      <a:avLst/>
                    </a:prstGeom>
                  </pic:spPr>
                </pic:pic>
              </a:graphicData>
            </a:graphic>
          </wp:inline>
        </w:drawing>
      </w:r>
    </w:p>
    <w:sectPr w:rsidR="003065DE" w:rsidRPr="001A1F5B" w:rsidSect="001A1F5B">
      <w:headerReference w:type="default" r:id="rId8"/>
      <w:footerReference w:type="default" r:id="rId9"/>
      <w:headerReference w:type="first" r:id="rId10"/>
      <w:footerReference w:type="first" r:id="rId11"/>
      <w:pgSz w:w="11906" w:h="16838"/>
      <w:pgMar w:top="1701" w:right="709" w:bottom="284" w:left="992" w:header="284" w:footer="3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1D9B1" w14:textId="77777777" w:rsidR="001C548B" w:rsidRDefault="001C548B" w:rsidP="007C303C">
      <w:r>
        <w:separator/>
      </w:r>
    </w:p>
  </w:endnote>
  <w:endnote w:type="continuationSeparator" w:id="0">
    <w:p w14:paraId="2D536A4D" w14:textId="77777777" w:rsidR="001C548B" w:rsidRDefault="001C548B" w:rsidP="007C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BC59B" w14:textId="77777777" w:rsidR="001C548B" w:rsidRDefault="001C548B">
    <w:pPr>
      <w:pStyle w:val="Footer"/>
    </w:pPr>
    <w:r>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1B8B1" w14:textId="77777777" w:rsidR="001C548B" w:rsidRDefault="001C548B">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35069" w14:textId="77777777" w:rsidR="001C548B" w:rsidRDefault="001C548B" w:rsidP="007C303C">
      <w:r>
        <w:separator/>
      </w:r>
    </w:p>
  </w:footnote>
  <w:footnote w:type="continuationSeparator" w:id="0">
    <w:p w14:paraId="330C1968" w14:textId="77777777" w:rsidR="001C548B" w:rsidRDefault="001C548B" w:rsidP="007C3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BFA64" w14:textId="203B70B3" w:rsidR="001C548B" w:rsidRPr="007C303C" w:rsidRDefault="00CE3542" w:rsidP="00CE2C46">
    <w:pPr>
      <w:pStyle w:val="Header"/>
      <w:rPr>
        <w:sz w:val="32"/>
      </w:rPr>
    </w:pPr>
    <w:r>
      <w:rPr>
        <w:noProof/>
      </w:rPr>
      <w:t xml:space="preserve">      </w:t>
    </w:r>
    <w:r>
      <w:rPr>
        <w:noProof/>
        <w:sz w:val="32"/>
      </w:rPr>
      <w:drawing>
        <wp:anchor distT="0" distB="0" distL="114300" distR="114300" simplePos="0" relativeHeight="251661312" behindDoc="0" locked="0" layoutInCell="1" allowOverlap="1" wp14:anchorId="287FF461" wp14:editId="4FCEFE4F">
          <wp:simplePos x="0" y="0"/>
          <wp:positionH relativeFrom="column">
            <wp:posOffset>0</wp:posOffset>
          </wp:positionH>
          <wp:positionV relativeFrom="paragraph">
            <wp:posOffset>-635</wp:posOffset>
          </wp:positionV>
          <wp:extent cx="880166" cy="868704"/>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166" cy="868704"/>
                  </a:xfrm>
                  <a:prstGeom prst="rect">
                    <a:avLst/>
                  </a:prstGeom>
                  <a:noFill/>
                </pic:spPr>
              </pic:pic>
            </a:graphicData>
          </a:graphic>
          <wp14:sizeRelH relativeFrom="page">
            <wp14:pctWidth>0</wp14:pctWidth>
          </wp14:sizeRelH>
          <wp14:sizeRelV relativeFrom="page">
            <wp14:pctHeight>0</wp14:pctHeight>
          </wp14:sizeRelV>
        </wp:anchor>
      </w:drawing>
    </w:r>
    <w:r>
      <w:rPr>
        <w:noProof/>
      </w:rPr>
      <w:t xml:space="preserve">                              </w:t>
    </w:r>
    <w:r w:rsidR="00CE2C46">
      <w:rPr>
        <w:noProof/>
      </w:rPr>
      <w:drawing>
        <wp:inline distT="0" distB="0" distL="0" distR="0" wp14:anchorId="6C11DA86" wp14:editId="03F93BA6">
          <wp:extent cx="1713600" cy="727200"/>
          <wp:effectExtent l="0" t="0" r="1270" b="0"/>
          <wp:docPr id="27" name="Picture 27" descr="C:\Users\rdb10\AppData\Local\Microsoft\Windows\INetCache\Content.MSO\F615D9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b10\AppData\Local\Microsoft\Windows\INetCache\Content.MSO\F615D93F.tmp"/>
                  <pic:cNvPicPr>
                    <a:picLocks noChangeAspect="1" noChangeArrowheads="1"/>
                  </pic:cNvPicPr>
                </pic:nvPicPr>
                <pic:blipFill rotWithShape="1">
                  <a:blip r:embed="rId2">
                    <a:extLst>
                      <a:ext uri="{28A0092B-C50C-407E-A947-70E740481C1C}">
                        <a14:useLocalDpi xmlns:a14="http://schemas.microsoft.com/office/drawing/2010/main" val="0"/>
                      </a:ext>
                    </a:extLst>
                  </a:blip>
                  <a:srcRect l="10197" t="19879" r="7609" b="16265"/>
                  <a:stretch/>
                </pic:blipFill>
                <pic:spPr bwMode="auto">
                  <a:xfrm>
                    <a:off x="0" y="0"/>
                    <a:ext cx="1713600" cy="72720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sidR="001C548B">
      <w:rPr>
        <w:noProof/>
      </w:rPr>
      <w:t xml:space="preserve"> </w:t>
    </w:r>
    <w:r w:rsidR="00CE2C46">
      <w:rPr>
        <w:noProof/>
      </w:rPr>
      <w:t xml:space="preserve">   </w:t>
    </w:r>
    <w:r w:rsidR="00CE2C46">
      <w:rPr>
        <w:noProof/>
      </w:rPr>
      <w:drawing>
        <wp:inline distT="0" distB="0" distL="0" distR="0" wp14:anchorId="0B71F140" wp14:editId="2D40E298">
          <wp:extent cx="1512000" cy="774000"/>
          <wp:effectExtent l="0" t="0" r="0" b="0"/>
          <wp:docPr id="28" name="Picture 28" descr="Image result for keel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eele university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2000" cy="774000"/>
                  </a:xfrm>
                  <a:prstGeom prst="rect">
                    <a:avLst/>
                  </a:prstGeom>
                  <a:noFill/>
                  <a:ln>
                    <a:noFill/>
                  </a:ln>
                </pic:spPr>
              </pic:pic>
            </a:graphicData>
          </a:graphic>
        </wp:inline>
      </w:drawing>
    </w:r>
    <w:r>
      <w:rPr>
        <w:noProof/>
      </w:rPr>
      <w:t xml:space="preserve">          </w:t>
    </w:r>
    <w:r>
      <w:rPr>
        <w:noProof/>
      </w:rPr>
      <w:drawing>
        <wp:inline distT="0" distB="0" distL="0" distR="0" wp14:anchorId="2D89F711" wp14:editId="20D80299">
          <wp:extent cx="1365885" cy="511810"/>
          <wp:effectExtent l="0" t="0" r="5715"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5885" cy="51181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5E55D" w14:textId="6BE97A23" w:rsidR="001C548B" w:rsidRDefault="001C548B" w:rsidP="008C6049">
    <w:pPr>
      <w:pStyle w:val="Header"/>
    </w:pPr>
    <w:r>
      <w:t xml:space="preserve">     </w:t>
    </w:r>
    <w:r w:rsidR="00AA4629">
      <w:rPr>
        <w:noProof/>
        <w:sz w:val="32"/>
      </w:rPr>
      <w:drawing>
        <wp:anchor distT="0" distB="0" distL="114300" distR="114300" simplePos="0" relativeHeight="251659264" behindDoc="0" locked="0" layoutInCell="1" allowOverlap="1" wp14:anchorId="2D41997E" wp14:editId="48AA3A0F">
          <wp:simplePos x="0" y="0"/>
          <wp:positionH relativeFrom="column">
            <wp:posOffset>170180</wp:posOffset>
          </wp:positionH>
          <wp:positionV relativeFrom="paragraph">
            <wp:posOffset>45085</wp:posOffset>
          </wp:positionV>
          <wp:extent cx="880166" cy="868704"/>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166" cy="868704"/>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00AA4629">
      <w:rPr>
        <w:noProof/>
      </w:rPr>
      <w:t xml:space="preserve">                       </w:t>
    </w:r>
    <w:r w:rsidR="00AA4629">
      <w:rPr>
        <w:noProof/>
      </w:rPr>
      <w:drawing>
        <wp:inline distT="0" distB="0" distL="0" distR="0" wp14:anchorId="45822FA2" wp14:editId="2E6A400E">
          <wp:extent cx="1713600" cy="727200"/>
          <wp:effectExtent l="0" t="0" r="1270" b="0"/>
          <wp:docPr id="31" name="Picture 31" descr="C:\Users\rdb10\AppData\Local\Microsoft\Windows\INetCache\Content.MSO\F615D9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b10\AppData\Local\Microsoft\Windows\INetCache\Content.MSO\F615D93F.tmp"/>
                  <pic:cNvPicPr>
                    <a:picLocks noChangeAspect="1" noChangeArrowheads="1"/>
                  </pic:cNvPicPr>
                </pic:nvPicPr>
                <pic:blipFill rotWithShape="1">
                  <a:blip r:embed="rId2">
                    <a:extLst>
                      <a:ext uri="{28A0092B-C50C-407E-A947-70E740481C1C}">
                        <a14:useLocalDpi xmlns:a14="http://schemas.microsoft.com/office/drawing/2010/main" val="0"/>
                      </a:ext>
                    </a:extLst>
                  </a:blip>
                  <a:srcRect l="10197" t="19879" r="7609" b="16265"/>
                  <a:stretch/>
                </pic:blipFill>
                <pic:spPr bwMode="auto">
                  <a:xfrm>
                    <a:off x="0" y="0"/>
                    <a:ext cx="1713600" cy="7272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AA4629">
      <w:t xml:space="preserve">   </w:t>
    </w:r>
    <w:r w:rsidR="00191B0A">
      <w:rPr>
        <w:noProof/>
      </w:rPr>
      <w:drawing>
        <wp:inline distT="0" distB="0" distL="0" distR="0" wp14:anchorId="2E31A32A" wp14:editId="363E3EED">
          <wp:extent cx="1511935" cy="77406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1935" cy="774065"/>
                  </a:xfrm>
                  <a:prstGeom prst="rect">
                    <a:avLst/>
                  </a:prstGeom>
                  <a:noFill/>
                </pic:spPr>
              </pic:pic>
            </a:graphicData>
          </a:graphic>
        </wp:inline>
      </w:drawing>
    </w:r>
    <w:r w:rsidR="00AA4629">
      <w:t xml:space="preserve"> </w:t>
    </w:r>
    <w:r w:rsidR="00191B0A">
      <w:t xml:space="preserve">     </w:t>
    </w:r>
    <w:r w:rsidR="00AA4629">
      <w:rPr>
        <w:noProof/>
      </w:rPr>
      <w:drawing>
        <wp:inline distT="0" distB="0" distL="0" distR="0" wp14:anchorId="3DB53784" wp14:editId="6C1F8915">
          <wp:extent cx="1365885" cy="511810"/>
          <wp:effectExtent l="0" t="0" r="5715" b="254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5885" cy="511810"/>
                  </a:xfrm>
                  <a:prstGeom prst="rect">
                    <a:avLst/>
                  </a:prstGeom>
                  <a:noFill/>
                </pic:spPr>
              </pic:pic>
            </a:graphicData>
          </a:graphic>
        </wp:inline>
      </w:drawing>
    </w:r>
    <w:r w:rsidR="00AA4629">
      <w:t xml:space="preserve">               </w:t>
    </w:r>
    <w:r>
      <w:t xml:space="preserve">        </w:t>
    </w:r>
    <w:r>
      <w:rPr>
        <w:noProof/>
      </w:rPr>
      <w:t xml:space="preserve">                        </w:t>
    </w:r>
    <w:r w:rsidR="00CE2C46">
      <w:rPr>
        <w:noProof/>
      </w:rPr>
      <w:t xml:space="preserve">                     </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6AF7"/>
    <w:multiLevelType w:val="multilevel"/>
    <w:tmpl w:val="8ED2741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7E4A4B"/>
    <w:multiLevelType w:val="hybridMultilevel"/>
    <w:tmpl w:val="26BAF9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F444A1"/>
    <w:multiLevelType w:val="hybridMultilevel"/>
    <w:tmpl w:val="38021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CE077E"/>
    <w:multiLevelType w:val="hybridMultilevel"/>
    <w:tmpl w:val="60A63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5C50B3"/>
    <w:multiLevelType w:val="hybridMultilevel"/>
    <w:tmpl w:val="3EB65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752102"/>
    <w:multiLevelType w:val="hybridMultilevel"/>
    <w:tmpl w:val="8F80CD88"/>
    <w:lvl w:ilvl="0" w:tplc="A7FE5AA8">
      <w:start w:val="1"/>
      <w:numFmt w:val="decimal"/>
      <w:lvlText w:val="%1."/>
      <w:lvlJc w:val="left"/>
      <w:pPr>
        <w:ind w:left="420" w:hanging="4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523969"/>
    <w:multiLevelType w:val="hybridMultilevel"/>
    <w:tmpl w:val="A4FA9644"/>
    <w:lvl w:ilvl="0" w:tplc="A7FE5AA8">
      <w:start w:val="1"/>
      <w:numFmt w:val="decimal"/>
      <w:lvlText w:val="%1."/>
      <w:lvlJc w:val="left"/>
      <w:pPr>
        <w:ind w:left="387" w:hanging="420"/>
      </w:pPr>
      <w:rPr>
        <w:rFonts w:hint="default"/>
      </w:rPr>
    </w:lvl>
    <w:lvl w:ilvl="1" w:tplc="08090019">
      <w:start w:val="1"/>
      <w:numFmt w:val="lowerLetter"/>
      <w:lvlText w:val="%2."/>
      <w:lvlJc w:val="left"/>
      <w:pPr>
        <w:ind w:left="1047" w:hanging="360"/>
      </w:pPr>
    </w:lvl>
    <w:lvl w:ilvl="2" w:tplc="0809001B" w:tentative="1">
      <w:start w:val="1"/>
      <w:numFmt w:val="lowerRoman"/>
      <w:lvlText w:val="%3."/>
      <w:lvlJc w:val="right"/>
      <w:pPr>
        <w:ind w:left="1767" w:hanging="180"/>
      </w:pPr>
    </w:lvl>
    <w:lvl w:ilvl="3" w:tplc="0809000F" w:tentative="1">
      <w:start w:val="1"/>
      <w:numFmt w:val="decimal"/>
      <w:lvlText w:val="%4."/>
      <w:lvlJc w:val="left"/>
      <w:pPr>
        <w:ind w:left="2487" w:hanging="360"/>
      </w:pPr>
    </w:lvl>
    <w:lvl w:ilvl="4" w:tplc="08090019" w:tentative="1">
      <w:start w:val="1"/>
      <w:numFmt w:val="lowerLetter"/>
      <w:lvlText w:val="%5."/>
      <w:lvlJc w:val="left"/>
      <w:pPr>
        <w:ind w:left="3207" w:hanging="360"/>
      </w:pPr>
    </w:lvl>
    <w:lvl w:ilvl="5" w:tplc="0809001B" w:tentative="1">
      <w:start w:val="1"/>
      <w:numFmt w:val="lowerRoman"/>
      <w:lvlText w:val="%6."/>
      <w:lvlJc w:val="right"/>
      <w:pPr>
        <w:ind w:left="3927" w:hanging="180"/>
      </w:pPr>
    </w:lvl>
    <w:lvl w:ilvl="6" w:tplc="0809000F" w:tentative="1">
      <w:start w:val="1"/>
      <w:numFmt w:val="decimal"/>
      <w:lvlText w:val="%7."/>
      <w:lvlJc w:val="left"/>
      <w:pPr>
        <w:ind w:left="4647" w:hanging="360"/>
      </w:pPr>
    </w:lvl>
    <w:lvl w:ilvl="7" w:tplc="08090019" w:tentative="1">
      <w:start w:val="1"/>
      <w:numFmt w:val="lowerLetter"/>
      <w:lvlText w:val="%8."/>
      <w:lvlJc w:val="left"/>
      <w:pPr>
        <w:ind w:left="5367" w:hanging="360"/>
      </w:pPr>
    </w:lvl>
    <w:lvl w:ilvl="8" w:tplc="0809001B" w:tentative="1">
      <w:start w:val="1"/>
      <w:numFmt w:val="lowerRoman"/>
      <w:lvlText w:val="%9."/>
      <w:lvlJc w:val="right"/>
      <w:pPr>
        <w:ind w:left="6087" w:hanging="180"/>
      </w:pPr>
    </w:lvl>
  </w:abstractNum>
  <w:abstractNum w:abstractNumId="7" w15:restartNumberingAfterBreak="0">
    <w:nsid w:val="165610FE"/>
    <w:multiLevelType w:val="hybridMultilevel"/>
    <w:tmpl w:val="0D724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8B28C6"/>
    <w:multiLevelType w:val="hybridMultilevel"/>
    <w:tmpl w:val="F53C8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957A20"/>
    <w:multiLevelType w:val="hybridMultilevel"/>
    <w:tmpl w:val="E40AE80E"/>
    <w:lvl w:ilvl="0" w:tplc="3CE6B0E6">
      <w:numFmt w:val="bullet"/>
      <w:lvlText w:val="•"/>
      <w:lvlJc w:val="left"/>
      <w:pPr>
        <w:ind w:left="1080" w:hanging="360"/>
      </w:pPr>
      <w:rPr>
        <w:rFonts w:ascii="Arial" w:eastAsia="Times New Roman" w:hAnsi="Arial" w:cs="Arial" w:hint="default"/>
      </w:rPr>
    </w:lvl>
    <w:lvl w:ilvl="1" w:tplc="08090001">
      <w:start w:val="1"/>
      <w:numFmt w:val="bullet"/>
      <w:lvlText w:val=""/>
      <w:lvlJc w:val="left"/>
      <w:pPr>
        <w:ind w:left="1375" w:hanging="360"/>
      </w:pPr>
      <w:rPr>
        <w:rFonts w:ascii="Symbol" w:hAnsi="Symbol" w:hint="default"/>
      </w:rPr>
    </w:lvl>
    <w:lvl w:ilvl="2" w:tplc="08090005" w:tentative="1">
      <w:start w:val="1"/>
      <w:numFmt w:val="bullet"/>
      <w:lvlText w:val=""/>
      <w:lvlJc w:val="left"/>
      <w:pPr>
        <w:ind w:left="2095" w:hanging="360"/>
      </w:pPr>
      <w:rPr>
        <w:rFonts w:ascii="Wingdings" w:hAnsi="Wingdings" w:hint="default"/>
      </w:rPr>
    </w:lvl>
    <w:lvl w:ilvl="3" w:tplc="08090001" w:tentative="1">
      <w:start w:val="1"/>
      <w:numFmt w:val="bullet"/>
      <w:lvlText w:val=""/>
      <w:lvlJc w:val="left"/>
      <w:pPr>
        <w:ind w:left="2815" w:hanging="360"/>
      </w:pPr>
      <w:rPr>
        <w:rFonts w:ascii="Symbol" w:hAnsi="Symbol" w:hint="default"/>
      </w:rPr>
    </w:lvl>
    <w:lvl w:ilvl="4" w:tplc="08090003" w:tentative="1">
      <w:start w:val="1"/>
      <w:numFmt w:val="bullet"/>
      <w:lvlText w:val="o"/>
      <w:lvlJc w:val="left"/>
      <w:pPr>
        <w:ind w:left="3535" w:hanging="360"/>
      </w:pPr>
      <w:rPr>
        <w:rFonts w:ascii="Courier New" w:hAnsi="Courier New" w:cs="Courier New" w:hint="default"/>
      </w:rPr>
    </w:lvl>
    <w:lvl w:ilvl="5" w:tplc="08090005" w:tentative="1">
      <w:start w:val="1"/>
      <w:numFmt w:val="bullet"/>
      <w:lvlText w:val=""/>
      <w:lvlJc w:val="left"/>
      <w:pPr>
        <w:ind w:left="4255" w:hanging="360"/>
      </w:pPr>
      <w:rPr>
        <w:rFonts w:ascii="Wingdings" w:hAnsi="Wingdings" w:hint="default"/>
      </w:rPr>
    </w:lvl>
    <w:lvl w:ilvl="6" w:tplc="08090001" w:tentative="1">
      <w:start w:val="1"/>
      <w:numFmt w:val="bullet"/>
      <w:lvlText w:val=""/>
      <w:lvlJc w:val="left"/>
      <w:pPr>
        <w:ind w:left="4975" w:hanging="360"/>
      </w:pPr>
      <w:rPr>
        <w:rFonts w:ascii="Symbol" w:hAnsi="Symbol" w:hint="default"/>
      </w:rPr>
    </w:lvl>
    <w:lvl w:ilvl="7" w:tplc="08090003" w:tentative="1">
      <w:start w:val="1"/>
      <w:numFmt w:val="bullet"/>
      <w:lvlText w:val="o"/>
      <w:lvlJc w:val="left"/>
      <w:pPr>
        <w:ind w:left="5695" w:hanging="360"/>
      </w:pPr>
      <w:rPr>
        <w:rFonts w:ascii="Courier New" w:hAnsi="Courier New" w:cs="Courier New" w:hint="default"/>
      </w:rPr>
    </w:lvl>
    <w:lvl w:ilvl="8" w:tplc="08090005" w:tentative="1">
      <w:start w:val="1"/>
      <w:numFmt w:val="bullet"/>
      <w:lvlText w:val=""/>
      <w:lvlJc w:val="left"/>
      <w:pPr>
        <w:ind w:left="6415" w:hanging="360"/>
      </w:pPr>
      <w:rPr>
        <w:rFonts w:ascii="Wingdings" w:hAnsi="Wingdings" w:hint="default"/>
      </w:rPr>
    </w:lvl>
  </w:abstractNum>
  <w:abstractNum w:abstractNumId="10" w15:restartNumberingAfterBreak="0">
    <w:nsid w:val="22DB5753"/>
    <w:multiLevelType w:val="hybridMultilevel"/>
    <w:tmpl w:val="7A8A5D9C"/>
    <w:lvl w:ilvl="0" w:tplc="C092572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1B03DE"/>
    <w:multiLevelType w:val="hybridMultilevel"/>
    <w:tmpl w:val="81925B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67331F7"/>
    <w:multiLevelType w:val="hybridMultilevel"/>
    <w:tmpl w:val="100E37B8"/>
    <w:lvl w:ilvl="0" w:tplc="08090001">
      <w:start w:val="1"/>
      <w:numFmt w:val="bullet"/>
      <w:lvlText w:val=""/>
      <w:lvlJc w:val="left"/>
      <w:pPr>
        <w:ind w:left="1080" w:hanging="360"/>
      </w:pPr>
      <w:rPr>
        <w:rFonts w:ascii="Symbol" w:hAnsi="Symbol" w:hint="default"/>
      </w:rPr>
    </w:lvl>
    <w:lvl w:ilvl="1" w:tplc="3CE6B0E6">
      <w:numFmt w:val="bullet"/>
      <w:lvlText w:val="•"/>
      <w:lvlJc w:val="left"/>
      <w:pPr>
        <w:ind w:left="1375" w:hanging="360"/>
      </w:pPr>
      <w:rPr>
        <w:rFonts w:ascii="Arial" w:eastAsia="Times New Roman" w:hAnsi="Arial" w:cs="Arial" w:hint="default"/>
      </w:rPr>
    </w:lvl>
    <w:lvl w:ilvl="2" w:tplc="08090005" w:tentative="1">
      <w:start w:val="1"/>
      <w:numFmt w:val="bullet"/>
      <w:lvlText w:val=""/>
      <w:lvlJc w:val="left"/>
      <w:pPr>
        <w:ind w:left="2095" w:hanging="360"/>
      </w:pPr>
      <w:rPr>
        <w:rFonts w:ascii="Wingdings" w:hAnsi="Wingdings" w:hint="default"/>
      </w:rPr>
    </w:lvl>
    <w:lvl w:ilvl="3" w:tplc="08090001" w:tentative="1">
      <w:start w:val="1"/>
      <w:numFmt w:val="bullet"/>
      <w:lvlText w:val=""/>
      <w:lvlJc w:val="left"/>
      <w:pPr>
        <w:ind w:left="2815" w:hanging="360"/>
      </w:pPr>
      <w:rPr>
        <w:rFonts w:ascii="Symbol" w:hAnsi="Symbol" w:hint="default"/>
      </w:rPr>
    </w:lvl>
    <w:lvl w:ilvl="4" w:tplc="08090003" w:tentative="1">
      <w:start w:val="1"/>
      <w:numFmt w:val="bullet"/>
      <w:lvlText w:val="o"/>
      <w:lvlJc w:val="left"/>
      <w:pPr>
        <w:ind w:left="3535" w:hanging="360"/>
      </w:pPr>
      <w:rPr>
        <w:rFonts w:ascii="Courier New" w:hAnsi="Courier New" w:cs="Courier New" w:hint="default"/>
      </w:rPr>
    </w:lvl>
    <w:lvl w:ilvl="5" w:tplc="08090005" w:tentative="1">
      <w:start w:val="1"/>
      <w:numFmt w:val="bullet"/>
      <w:lvlText w:val=""/>
      <w:lvlJc w:val="left"/>
      <w:pPr>
        <w:ind w:left="4255" w:hanging="360"/>
      </w:pPr>
      <w:rPr>
        <w:rFonts w:ascii="Wingdings" w:hAnsi="Wingdings" w:hint="default"/>
      </w:rPr>
    </w:lvl>
    <w:lvl w:ilvl="6" w:tplc="08090001" w:tentative="1">
      <w:start w:val="1"/>
      <w:numFmt w:val="bullet"/>
      <w:lvlText w:val=""/>
      <w:lvlJc w:val="left"/>
      <w:pPr>
        <w:ind w:left="4975" w:hanging="360"/>
      </w:pPr>
      <w:rPr>
        <w:rFonts w:ascii="Symbol" w:hAnsi="Symbol" w:hint="default"/>
      </w:rPr>
    </w:lvl>
    <w:lvl w:ilvl="7" w:tplc="08090003" w:tentative="1">
      <w:start w:val="1"/>
      <w:numFmt w:val="bullet"/>
      <w:lvlText w:val="o"/>
      <w:lvlJc w:val="left"/>
      <w:pPr>
        <w:ind w:left="5695" w:hanging="360"/>
      </w:pPr>
      <w:rPr>
        <w:rFonts w:ascii="Courier New" w:hAnsi="Courier New" w:cs="Courier New" w:hint="default"/>
      </w:rPr>
    </w:lvl>
    <w:lvl w:ilvl="8" w:tplc="08090005" w:tentative="1">
      <w:start w:val="1"/>
      <w:numFmt w:val="bullet"/>
      <w:lvlText w:val=""/>
      <w:lvlJc w:val="left"/>
      <w:pPr>
        <w:ind w:left="6415" w:hanging="360"/>
      </w:pPr>
      <w:rPr>
        <w:rFonts w:ascii="Wingdings" w:hAnsi="Wingdings" w:hint="default"/>
      </w:rPr>
    </w:lvl>
  </w:abstractNum>
  <w:abstractNum w:abstractNumId="13" w15:restartNumberingAfterBreak="0">
    <w:nsid w:val="2F074E1C"/>
    <w:multiLevelType w:val="hybridMultilevel"/>
    <w:tmpl w:val="8592B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73443C"/>
    <w:multiLevelType w:val="hybridMultilevel"/>
    <w:tmpl w:val="7EBC55BE"/>
    <w:lvl w:ilvl="0" w:tplc="5FF2349A">
      <w:start w:val="9"/>
      <w:numFmt w:val="bullet"/>
      <w:lvlText w:val="-"/>
      <w:lvlJc w:val="left"/>
      <w:pPr>
        <w:ind w:left="785" w:hanging="360"/>
      </w:pPr>
      <w:rPr>
        <w:rFonts w:ascii="Calibri" w:eastAsia="Times New Roman" w:hAnsi="Calibri"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5" w15:restartNumberingAfterBreak="0">
    <w:nsid w:val="37365AB6"/>
    <w:multiLevelType w:val="hybridMultilevel"/>
    <w:tmpl w:val="6D90B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A9D661B"/>
    <w:multiLevelType w:val="hybridMultilevel"/>
    <w:tmpl w:val="103E5D46"/>
    <w:lvl w:ilvl="0" w:tplc="1388A0F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2942A1"/>
    <w:multiLevelType w:val="hybridMultilevel"/>
    <w:tmpl w:val="B94C3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F14334"/>
    <w:multiLevelType w:val="multilevel"/>
    <w:tmpl w:val="71F2F07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4730DA"/>
    <w:multiLevelType w:val="hybridMultilevel"/>
    <w:tmpl w:val="D674BBAC"/>
    <w:lvl w:ilvl="0" w:tplc="3CE6B0E6">
      <w:numFmt w:val="bullet"/>
      <w:lvlText w:val="•"/>
      <w:lvlJc w:val="left"/>
      <w:pPr>
        <w:ind w:left="1734" w:hanging="360"/>
      </w:pPr>
      <w:rPr>
        <w:rFonts w:ascii="Arial" w:eastAsia="Times New Roman" w:hAnsi="Arial" w:cs="Arial" w:hint="default"/>
      </w:rPr>
    </w:lvl>
    <w:lvl w:ilvl="1" w:tplc="08090003" w:tentative="1">
      <w:start w:val="1"/>
      <w:numFmt w:val="bullet"/>
      <w:lvlText w:val="o"/>
      <w:lvlJc w:val="left"/>
      <w:pPr>
        <w:ind w:left="2454" w:hanging="360"/>
      </w:pPr>
      <w:rPr>
        <w:rFonts w:ascii="Courier New" w:hAnsi="Courier New" w:cs="Courier New" w:hint="default"/>
      </w:rPr>
    </w:lvl>
    <w:lvl w:ilvl="2" w:tplc="08090005" w:tentative="1">
      <w:start w:val="1"/>
      <w:numFmt w:val="bullet"/>
      <w:lvlText w:val=""/>
      <w:lvlJc w:val="left"/>
      <w:pPr>
        <w:ind w:left="3174" w:hanging="360"/>
      </w:pPr>
      <w:rPr>
        <w:rFonts w:ascii="Wingdings" w:hAnsi="Wingdings" w:hint="default"/>
      </w:rPr>
    </w:lvl>
    <w:lvl w:ilvl="3" w:tplc="08090001" w:tentative="1">
      <w:start w:val="1"/>
      <w:numFmt w:val="bullet"/>
      <w:lvlText w:val=""/>
      <w:lvlJc w:val="left"/>
      <w:pPr>
        <w:ind w:left="3894" w:hanging="360"/>
      </w:pPr>
      <w:rPr>
        <w:rFonts w:ascii="Symbol" w:hAnsi="Symbol" w:hint="default"/>
      </w:rPr>
    </w:lvl>
    <w:lvl w:ilvl="4" w:tplc="08090003" w:tentative="1">
      <w:start w:val="1"/>
      <w:numFmt w:val="bullet"/>
      <w:lvlText w:val="o"/>
      <w:lvlJc w:val="left"/>
      <w:pPr>
        <w:ind w:left="4614" w:hanging="360"/>
      </w:pPr>
      <w:rPr>
        <w:rFonts w:ascii="Courier New" w:hAnsi="Courier New" w:cs="Courier New" w:hint="default"/>
      </w:rPr>
    </w:lvl>
    <w:lvl w:ilvl="5" w:tplc="08090005" w:tentative="1">
      <w:start w:val="1"/>
      <w:numFmt w:val="bullet"/>
      <w:lvlText w:val=""/>
      <w:lvlJc w:val="left"/>
      <w:pPr>
        <w:ind w:left="5334" w:hanging="360"/>
      </w:pPr>
      <w:rPr>
        <w:rFonts w:ascii="Wingdings" w:hAnsi="Wingdings" w:hint="default"/>
      </w:rPr>
    </w:lvl>
    <w:lvl w:ilvl="6" w:tplc="08090001" w:tentative="1">
      <w:start w:val="1"/>
      <w:numFmt w:val="bullet"/>
      <w:lvlText w:val=""/>
      <w:lvlJc w:val="left"/>
      <w:pPr>
        <w:ind w:left="6054" w:hanging="360"/>
      </w:pPr>
      <w:rPr>
        <w:rFonts w:ascii="Symbol" w:hAnsi="Symbol" w:hint="default"/>
      </w:rPr>
    </w:lvl>
    <w:lvl w:ilvl="7" w:tplc="08090003" w:tentative="1">
      <w:start w:val="1"/>
      <w:numFmt w:val="bullet"/>
      <w:lvlText w:val="o"/>
      <w:lvlJc w:val="left"/>
      <w:pPr>
        <w:ind w:left="6774" w:hanging="360"/>
      </w:pPr>
      <w:rPr>
        <w:rFonts w:ascii="Courier New" w:hAnsi="Courier New" w:cs="Courier New" w:hint="default"/>
      </w:rPr>
    </w:lvl>
    <w:lvl w:ilvl="8" w:tplc="08090005" w:tentative="1">
      <w:start w:val="1"/>
      <w:numFmt w:val="bullet"/>
      <w:lvlText w:val=""/>
      <w:lvlJc w:val="left"/>
      <w:pPr>
        <w:ind w:left="7494" w:hanging="360"/>
      </w:pPr>
      <w:rPr>
        <w:rFonts w:ascii="Wingdings" w:hAnsi="Wingdings" w:hint="default"/>
      </w:rPr>
    </w:lvl>
  </w:abstractNum>
  <w:abstractNum w:abstractNumId="20" w15:restartNumberingAfterBreak="0">
    <w:nsid w:val="40425D5B"/>
    <w:multiLevelType w:val="hybridMultilevel"/>
    <w:tmpl w:val="D7FEB8B8"/>
    <w:lvl w:ilvl="0" w:tplc="1388A0F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C76D19"/>
    <w:multiLevelType w:val="hybridMultilevel"/>
    <w:tmpl w:val="6D889CF4"/>
    <w:lvl w:ilvl="0" w:tplc="1388A0F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DF563A"/>
    <w:multiLevelType w:val="hybridMultilevel"/>
    <w:tmpl w:val="275690F8"/>
    <w:lvl w:ilvl="0" w:tplc="08090001">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D15F84"/>
    <w:multiLevelType w:val="hybridMultilevel"/>
    <w:tmpl w:val="7BA4C698"/>
    <w:lvl w:ilvl="0" w:tplc="3CE6B0E6">
      <w:numFmt w:val="bullet"/>
      <w:lvlText w:val="•"/>
      <w:lvlJc w:val="left"/>
      <w:pPr>
        <w:ind w:left="1080" w:hanging="360"/>
      </w:pPr>
      <w:rPr>
        <w:rFonts w:ascii="Arial" w:eastAsia="Times New Roman" w:hAnsi="Arial" w:cs="Arial" w:hint="default"/>
      </w:rPr>
    </w:lvl>
    <w:lvl w:ilvl="1" w:tplc="08090001">
      <w:start w:val="1"/>
      <w:numFmt w:val="bullet"/>
      <w:lvlText w:val=""/>
      <w:lvlJc w:val="left"/>
      <w:pPr>
        <w:ind w:left="1375" w:hanging="360"/>
      </w:pPr>
      <w:rPr>
        <w:rFonts w:ascii="Symbol" w:hAnsi="Symbol" w:hint="default"/>
      </w:rPr>
    </w:lvl>
    <w:lvl w:ilvl="2" w:tplc="08090005" w:tentative="1">
      <w:start w:val="1"/>
      <w:numFmt w:val="bullet"/>
      <w:lvlText w:val=""/>
      <w:lvlJc w:val="left"/>
      <w:pPr>
        <w:ind w:left="2095" w:hanging="360"/>
      </w:pPr>
      <w:rPr>
        <w:rFonts w:ascii="Wingdings" w:hAnsi="Wingdings" w:hint="default"/>
      </w:rPr>
    </w:lvl>
    <w:lvl w:ilvl="3" w:tplc="08090001" w:tentative="1">
      <w:start w:val="1"/>
      <w:numFmt w:val="bullet"/>
      <w:lvlText w:val=""/>
      <w:lvlJc w:val="left"/>
      <w:pPr>
        <w:ind w:left="2815" w:hanging="360"/>
      </w:pPr>
      <w:rPr>
        <w:rFonts w:ascii="Symbol" w:hAnsi="Symbol" w:hint="default"/>
      </w:rPr>
    </w:lvl>
    <w:lvl w:ilvl="4" w:tplc="08090003" w:tentative="1">
      <w:start w:val="1"/>
      <w:numFmt w:val="bullet"/>
      <w:lvlText w:val="o"/>
      <w:lvlJc w:val="left"/>
      <w:pPr>
        <w:ind w:left="3535" w:hanging="360"/>
      </w:pPr>
      <w:rPr>
        <w:rFonts w:ascii="Courier New" w:hAnsi="Courier New" w:cs="Courier New" w:hint="default"/>
      </w:rPr>
    </w:lvl>
    <w:lvl w:ilvl="5" w:tplc="08090005" w:tentative="1">
      <w:start w:val="1"/>
      <w:numFmt w:val="bullet"/>
      <w:lvlText w:val=""/>
      <w:lvlJc w:val="left"/>
      <w:pPr>
        <w:ind w:left="4255" w:hanging="360"/>
      </w:pPr>
      <w:rPr>
        <w:rFonts w:ascii="Wingdings" w:hAnsi="Wingdings" w:hint="default"/>
      </w:rPr>
    </w:lvl>
    <w:lvl w:ilvl="6" w:tplc="08090001" w:tentative="1">
      <w:start w:val="1"/>
      <w:numFmt w:val="bullet"/>
      <w:lvlText w:val=""/>
      <w:lvlJc w:val="left"/>
      <w:pPr>
        <w:ind w:left="4975" w:hanging="360"/>
      </w:pPr>
      <w:rPr>
        <w:rFonts w:ascii="Symbol" w:hAnsi="Symbol" w:hint="default"/>
      </w:rPr>
    </w:lvl>
    <w:lvl w:ilvl="7" w:tplc="08090003" w:tentative="1">
      <w:start w:val="1"/>
      <w:numFmt w:val="bullet"/>
      <w:lvlText w:val="o"/>
      <w:lvlJc w:val="left"/>
      <w:pPr>
        <w:ind w:left="5695" w:hanging="360"/>
      </w:pPr>
      <w:rPr>
        <w:rFonts w:ascii="Courier New" w:hAnsi="Courier New" w:cs="Courier New" w:hint="default"/>
      </w:rPr>
    </w:lvl>
    <w:lvl w:ilvl="8" w:tplc="08090005" w:tentative="1">
      <w:start w:val="1"/>
      <w:numFmt w:val="bullet"/>
      <w:lvlText w:val=""/>
      <w:lvlJc w:val="left"/>
      <w:pPr>
        <w:ind w:left="6415" w:hanging="360"/>
      </w:pPr>
      <w:rPr>
        <w:rFonts w:ascii="Wingdings" w:hAnsi="Wingdings" w:hint="default"/>
      </w:rPr>
    </w:lvl>
  </w:abstractNum>
  <w:abstractNum w:abstractNumId="24" w15:restartNumberingAfterBreak="0">
    <w:nsid w:val="50AA4840"/>
    <w:multiLevelType w:val="multilevel"/>
    <w:tmpl w:val="123CFB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813ACB"/>
    <w:multiLevelType w:val="hybridMultilevel"/>
    <w:tmpl w:val="74FEA3DE"/>
    <w:lvl w:ilvl="0" w:tplc="A7FE5AA8">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346E1E"/>
    <w:multiLevelType w:val="hybridMultilevel"/>
    <w:tmpl w:val="917855A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599E4A6E"/>
    <w:multiLevelType w:val="hybridMultilevel"/>
    <w:tmpl w:val="10EED82E"/>
    <w:lvl w:ilvl="0" w:tplc="3CE6B0E6">
      <w:numFmt w:val="bullet"/>
      <w:lvlText w:val="•"/>
      <w:lvlJc w:val="left"/>
      <w:pPr>
        <w:ind w:left="1080" w:hanging="360"/>
      </w:pPr>
      <w:rPr>
        <w:rFonts w:ascii="Arial" w:eastAsia="Times New Roman" w:hAnsi="Arial" w:cs="Arial" w:hint="default"/>
      </w:rPr>
    </w:lvl>
    <w:lvl w:ilvl="1" w:tplc="3CE6B0E6">
      <w:numFmt w:val="bullet"/>
      <w:lvlText w:val="•"/>
      <w:lvlJc w:val="left"/>
      <w:pPr>
        <w:ind w:left="1375" w:hanging="360"/>
      </w:pPr>
      <w:rPr>
        <w:rFonts w:ascii="Arial" w:eastAsia="Times New Roman" w:hAnsi="Arial" w:cs="Arial" w:hint="default"/>
      </w:rPr>
    </w:lvl>
    <w:lvl w:ilvl="2" w:tplc="08090005" w:tentative="1">
      <w:start w:val="1"/>
      <w:numFmt w:val="bullet"/>
      <w:lvlText w:val=""/>
      <w:lvlJc w:val="left"/>
      <w:pPr>
        <w:ind w:left="2095" w:hanging="360"/>
      </w:pPr>
      <w:rPr>
        <w:rFonts w:ascii="Wingdings" w:hAnsi="Wingdings" w:hint="default"/>
      </w:rPr>
    </w:lvl>
    <w:lvl w:ilvl="3" w:tplc="08090001" w:tentative="1">
      <w:start w:val="1"/>
      <w:numFmt w:val="bullet"/>
      <w:lvlText w:val=""/>
      <w:lvlJc w:val="left"/>
      <w:pPr>
        <w:ind w:left="2815" w:hanging="360"/>
      </w:pPr>
      <w:rPr>
        <w:rFonts w:ascii="Symbol" w:hAnsi="Symbol" w:hint="default"/>
      </w:rPr>
    </w:lvl>
    <w:lvl w:ilvl="4" w:tplc="08090003" w:tentative="1">
      <w:start w:val="1"/>
      <w:numFmt w:val="bullet"/>
      <w:lvlText w:val="o"/>
      <w:lvlJc w:val="left"/>
      <w:pPr>
        <w:ind w:left="3535" w:hanging="360"/>
      </w:pPr>
      <w:rPr>
        <w:rFonts w:ascii="Courier New" w:hAnsi="Courier New" w:cs="Courier New" w:hint="default"/>
      </w:rPr>
    </w:lvl>
    <w:lvl w:ilvl="5" w:tplc="08090005" w:tentative="1">
      <w:start w:val="1"/>
      <w:numFmt w:val="bullet"/>
      <w:lvlText w:val=""/>
      <w:lvlJc w:val="left"/>
      <w:pPr>
        <w:ind w:left="4255" w:hanging="360"/>
      </w:pPr>
      <w:rPr>
        <w:rFonts w:ascii="Wingdings" w:hAnsi="Wingdings" w:hint="default"/>
      </w:rPr>
    </w:lvl>
    <w:lvl w:ilvl="6" w:tplc="08090001" w:tentative="1">
      <w:start w:val="1"/>
      <w:numFmt w:val="bullet"/>
      <w:lvlText w:val=""/>
      <w:lvlJc w:val="left"/>
      <w:pPr>
        <w:ind w:left="4975" w:hanging="360"/>
      </w:pPr>
      <w:rPr>
        <w:rFonts w:ascii="Symbol" w:hAnsi="Symbol" w:hint="default"/>
      </w:rPr>
    </w:lvl>
    <w:lvl w:ilvl="7" w:tplc="08090003" w:tentative="1">
      <w:start w:val="1"/>
      <w:numFmt w:val="bullet"/>
      <w:lvlText w:val="o"/>
      <w:lvlJc w:val="left"/>
      <w:pPr>
        <w:ind w:left="5695" w:hanging="360"/>
      </w:pPr>
      <w:rPr>
        <w:rFonts w:ascii="Courier New" w:hAnsi="Courier New" w:cs="Courier New" w:hint="default"/>
      </w:rPr>
    </w:lvl>
    <w:lvl w:ilvl="8" w:tplc="08090005" w:tentative="1">
      <w:start w:val="1"/>
      <w:numFmt w:val="bullet"/>
      <w:lvlText w:val=""/>
      <w:lvlJc w:val="left"/>
      <w:pPr>
        <w:ind w:left="6415" w:hanging="360"/>
      </w:pPr>
      <w:rPr>
        <w:rFonts w:ascii="Wingdings" w:hAnsi="Wingdings" w:hint="default"/>
      </w:rPr>
    </w:lvl>
  </w:abstractNum>
  <w:abstractNum w:abstractNumId="28" w15:restartNumberingAfterBreak="0">
    <w:nsid w:val="5A331C88"/>
    <w:multiLevelType w:val="hybridMultilevel"/>
    <w:tmpl w:val="6CA68B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1C46E9"/>
    <w:multiLevelType w:val="hybridMultilevel"/>
    <w:tmpl w:val="E6668244"/>
    <w:lvl w:ilvl="0" w:tplc="E8467C60">
      <w:start w:val="1"/>
      <w:numFmt w:val="lowerRoman"/>
      <w:lvlText w:val="(%1)"/>
      <w:lvlJc w:val="left"/>
      <w:pPr>
        <w:ind w:left="1146" w:hanging="72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30" w15:restartNumberingAfterBreak="0">
    <w:nsid w:val="5FE92A57"/>
    <w:multiLevelType w:val="hybridMultilevel"/>
    <w:tmpl w:val="043CD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0486D27"/>
    <w:multiLevelType w:val="hybridMultilevel"/>
    <w:tmpl w:val="A7866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2EC3C25"/>
    <w:multiLevelType w:val="hybridMultilevel"/>
    <w:tmpl w:val="2BBE9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E62B51"/>
    <w:multiLevelType w:val="hybridMultilevel"/>
    <w:tmpl w:val="E358576E"/>
    <w:lvl w:ilvl="0" w:tplc="04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65233C90"/>
    <w:multiLevelType w:val="multilevel"/>
    <w:tmpl w:val="71F2F07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84906B7"/>
    <w:multiLevelType w:val="hybridMultilevel"/>
    <w:tmpl w:val="31421170"/>
    <w:lvl w:ilvl="0" w:tplc="B15A3A5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F9378F"/>
    <w:multiLevelType w:val="hybridMultilevel"/>
    <w:tmpl w:val="532E8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7024DF"/>
    <w:multiLevelType w:val="hybridMultilevel"/>
    <w:tmpl w:val="4B5A14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30A13B0"/>
    <w:multiLevelType w:val="multilevel"/>
    <w:tmpl w:val="3990D0C0"/>
    <w:lvl w:ilvl="0">
      <w:start w:val="2"/>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42D2D71"/>
    <w:multiLevelType w:val="hybridMultilevel"/>
    <w:tmpl w:val="F1DABA3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0" w15:restartNumberingAfterBreak="0">
    <w:nsid w:val="7771082F"/>
    <w:multiLevelType w:val="hybridMultilevel"/>
    <w:tmpl w:val="3D6A5C6C"/>
    <w:lvl w:ilvl="0" w:tplc="A7FE5AA8">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186095"/>
    <w:multiLevelType w:val="hybridMultilevel"/>
    <w:tmpl w:val="E300F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C301982"/>
    <w:multiLevelType w:val="hybridMultilevel"/>
    <w:tmpl w:val="A9E2BFE0"/>
    <w:lvl w:ilvl="0" w:tplc="0809000F">
      <w:start w:val="1"/>
      <w:numFmt w:val="decimal"/>
      <w:lvlText w:val="%1."/>
      <w:lvlJc w:val="left"/>
      <w:pPr>
        <w:ind w:left="726" w:hanging="360"/>
      </w:pPr>
    </w:lvl>
    <w:lvl w:ilvl="1" w:tplc="08090019" w:tentative="1">
      <w:start w:val="1"/>
      <w:numFmt w:val="lowerLetter"/>
      <w:lvlText w:val="%2."/>
      <w:lvlJc w:val="left"/>
      <w:pPr>
        <w:ind w:left="1446" w:hanging="360"/>
      </w:pPr>
    </w:lvl>
    <w:lvl w:ilvl="2" w:tplc="0809001B" w:tentative="1">
      <w:start w:val="1"/>
      <w:numFmt w:val="lowerRoman"/>
      <w:lvlText w:val="%3."/>
      <w:lvlJc w:val="right"/>
      <w:pPr>
        <w:ind w:left="2166" w:hanging="180"/>
      </w:pPr>
    </w:lvl>
    <w:lvl w:ilvl="3" w:tplc="0809000F" w:tentative="1">
      <w:start w:val="1"/>
      <w:numFmt w:val="decimal"/>
      <w:lvlText w:val="%4."/>
      <w:lvlJc w:val="left"/>
      <w:pPr>
        <w:ind w:left="2886" w:hanging="360"/>
      </w:pPr>
    </w:lvl>
    <w:lvl w:ilvl="4" w:tplc="08090019" w:tentative="1">
      <w:start w:val="1"/>
      <w:numFmt w:val="lowerLetter"/>
      <w:lvlText w:val="%5."/>
      <w:lvlJc w:val="left"/>
      <w:pPr>
        <w:ind w:left="3606" w:hanging="360"/>
      </w:pPr>
    </w:lvl>
    <w:lvl w:ilvl="5" w:tplc="0809001B" w:tentative="1">
      <w:start w:val="1"/>
      <w:numFmt w:val="lowerRoman"/>
      <w:lvlText w:val="%6."/>
      <w:lvlJc w:val="right"/>
      <w:pPr>
        <w:ind w:left="4326" w:hanging="180"/>
      </w:pPr>
    </w:lvl>
    <w:lvl w:ilvl="6" w:tplc="0809000F" w:tentative="1">
      <w:start w:val="1"/>
      <w:numFmt w:val="decimal"/>
      <w:lvlText w:val="%7."/>
      <w:lvlJc w:val="left"/>
      <w:pPr>
        <w:ind w:left="5046" w:hanging="360"/>
      </w:pPr>
    </w:lvl>
    <w:lvl w:ilvl="7" w:tplc="08090019" w:tentative="1">
      <w:start w:val="1"/>
      <w:numFmt w:val="lowerLetter"/>
      <w:lvlText w:val="%8."/>
      <w:lvlJc w:val="left"/>
      <w:pPr>
        <w:ind w:left="5766" w:hanging="360"/>
      </w:pPr>
    </w:lvl>
    <w:lvl w:ilvl="8" w:tplc="0809001B" w:tentative="1">
      <w:start w:val="1"/>
      <w:numFmt w:val="lowerRoman"/>
      <w:lvlText w:val="%9."/>
      <w:lvlJc w:val="right"/>
      <w:pPr>
        <w:ind w:left="6486" w:hanging="180"/>
      </w:pPr>
    </w:lvl>
  </w:abstractNum>
  <w:abstractNum w:abstractNumId="43" w15:restartNumberingAfterBreak="0">
    <w:nsid w:val="7F6B00E3"/>
    <w:multiLevelType w:val="hybridMultilevel"/>
    <w:tmpl w:val="97B47F3A"/>
    <w:lvl w:ilvl="0" w:tplc="CB3E8626">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5"/>
  </w:num>
  <w:num w:numId="2">
    <w:abstractNumId w:val="20"/>
  </w:num>
  <w:num w:numId="3">
    <w:abstractNumId w:val="21"/>
  </w:num>
  <w:num w:numId="4">
    <w:abstractNumId w:val="16"/>
  </w:num>
  <w:num w:numId="5">
    <w:abstractNumId w:val="1"/>
  </w:num>
  <w:num w:numId="6">
    <w:abstractNumId w:val="28"/>
  </w:num>
  <w:num w:numId="7">
    <w:abstractNumId w:val="6"/>
  </w:num>
  <w:num w:numId="8">
    <w:abstractNumId w:val="40"/>
  </w:num>
  <w:num w:numId="9">
    <w:abstractNumId w:val="25"/>
  </w:num>
  <w:num w:numId="10">
    <w:abstractNumId w:val="43"/>
  </w:num>
  <w:num w:numId="11">
    <w:abstractNumId w:val="37"/>
  </w:num>
  <w:num w:numId="12">
    <w:abstractNumId w:val="14"/>
  </w:num>
  <w:num w:numId="13">
    <w:abstractNumId w:val="5"/>
  </w:num>
  <w:num w:numId="14">
    <w:abstractNumId w:val="17"/>
  </w:num>
  <w:num w:numId="15">
    <w:abstractNumId w:val="32"/>
  </w:num>
  <w:num w:numId="16">
    <w:abstractNumId w:val="42"/>
  </w:num>
  <w:num w:numId="17">
    <w:abstractNumId w:val="39"/>
  </w:num>
  <w:num w:numId="18">
    <w:abstractNumId w:val="1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27"/>
  </w:num>
  <w:num w:numId="22">
    <w:abstractNumId w:val="34"/>
  </w:num>
  <w:num w:numId="23">
    <w:abstractNumId w:val="12"/>
  </w:num>
  <w:num w:numId="24">
    <w:abstractNumId w:val="23"/>
  </w:num>
  <w:num w:numId="25">
    <w:abstractNumId w:val="9"/>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0"/>
  </w:num>
  <w:num w:numId="29">
    <w:abstractNumId w:val="15"/>
  </w:num>
  <w:num w:numId="30">
    <w:abstractNumId w:val="24"/>
  </w:num>
  <w:num w:numId="31">
    <w:abstractNumId w:val="26"/>
  </w:num>
  <w:num w:numId="32">
    <w:abstractNumId w:val="2"/>
  </w:num>
  <w:num w:numId="33">
    <w:abstractNumId w:val="33"/>
  </w:num>
  <w:num w:numId="34">
    <w:abstractNumId w:val="4"/>
  </w:num>
  <w:num w:numId="35">
    <w:abstractNumId w:val="36"/>
  </w:num>
  <w:num w:numId="36">
    <w:abstractNumId w:val="8"/>
  </w:num>
  <w:num w:numId="37">
    <w:abstractNumId w:val="3"/>
  </w:num>
  <w:num w:numId="38">
    <w:abstractNumId w:val="41"/>
  </w:num>
  <w:num w:numId="39">
    <w:abstractNumId w:val="10"/>
  </w:num>
  <w:num w:numId="40">
    <w:abstractNumId w:val="22"/>
  </w:num>
  <w:num w:numId="41">
    <w:abstractNumId w:val="31"/>
  </w:num>
  <w:num w:numId="42">
    <w:abstractNumId w:val="30"/>
  </w:num>
  <w:num w:numId="43">
    <w:abstractNumId w:val="13"/>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06A"/>
    <w:rsid w:val="00000856"/>
    <w:rsid w:val="000010FF"/>
    <w:rsid w:val="000059DF"/>
    <w:rsid w:val="000238CF"/>
    <w:rsid w:val="00023C27"/>
    <w:rsid w:val="00026EE6"/>
    <w:rsid w:val="000353D1"/>
    <w:rsid w:val="00053071"/>
    <w:rsid w:val="0005504E"/>
    <w:rsid w:val="00055AA1"/>
    <w:rsid w:val="00071B24"/>
    <w:rsid w:val="0007290B"/>
    <w:rsid w:val="00085C58"/>
    <w:rsid w:val="000A135D"/>
    <w:rsid w:val="000A4907"/>
    <w:rsid w:val="000C51E1"/>
    <w:rsid w:val="000C6F3B"/>
    <w:rsid w:val="000C7E39"/>
    <w:rsid w:val="000D5B0C"/>
    <w:rsid w:val="000D6B32"/>
    <w:rsid w:val="000E7BD3"/>
    <w:rsid w:val="00101186"/>
    <w:rsid w:val="001124D3"/>
    <w:rsid w:val="001174FD"/>
    <w:rsid w:val="00120DE8"/>
    <w:rsid w:val="001315CF"/>
    <w:rsid w:val="00131F6C"/>
    <w:rsid w:val="001410AF"/>
    <w:rsid w:val="00143CF3"/>
    <w:rsid w:val="0014494A"/>
    <w:rsid w:val="00146B8B"/>
    <w:rsid w:val="001527F0"/>
    <w:rsid w:val="0016217C"/>
    <w:rsid w:val="0016338A"/>
    <w:rsid w:val="001716F7"/>
    <w:rsid w:val="00172C72"/>
    <w:rsid w:val="00181FE6"/>
    <w:rsid w:val="001841EB"/>
    <w:rsid w:val="00191B0A"/>
    <w:rsid w:val="001A091B"/>
    <w:rsid w:val="001A1F5B"/>
    <w:rsid w:val="001B25D2"/>
    <w:rsid w:val="001C031E"/>
    <w:rsid w:val="001C548B"/>
    <w:rsid w:val="001F24E7"/>
    <w:rsid w:val="002008EB"/>
    <w:rsid w:val="00202647"/>
    <w:rsid w:val="002069E8"/>
    <w:rsid w:val="0021277A"/>
    <w:rsid w:val="002162F7"/>
    <w:rsid w:val="00237588"/>
    <w:rsid w:val="00242CB4"/>
    <w:rsid w:val="00242FCC"/>
    <w:rsid w:val="00253B4A"/>
    <w:rsid w:val="00261555"/>
    <w:rsid w:val="00273B2F"/>
    <w:rsid w:val="00277199"/>
    <w:rsid w:val="0028088D"/>
    <w:rsid w:val="00282BAD"/>
    <w:rsid w:val="002A2529"/>
    <w:rsid w:val="002A3F64"/>
    <w:rsid w:val="002B4403"/>
    <w:rsid w:val="002B56E5"/>
    <w:rsid w:val="002C7DF4"/>
    <w:rsid w:val="002D06F4"/>
    <w:rsid w:val="002E3F86"/>
    <w:rsid w:val="002E737D"/>
    <w:rsid w:val="002F058F"/>
    <w:rsid w:val="002F5B29"/>
    <w:rsid w:val="003065DE"/>
    <w:rsid w:val="003216B9"/>
    <w:rsid w:val="00360142"/>
    <w:rsid w:val="00374823"/>
    <w:rsid w:val="003770B7"/>
    <w:rsid w:val="003771EF"/>
    <w:rsid w:val="0038645E"/>
    <w:rsid w:val="003915EC"/>
    <w:rsid w:val="00393CA7"/>
    <w:rsid w:val="003A3126"/>
    <w:rsid w:val="003A5004"/>
    <w:rsid w:val="003B3952"/>
    <w:rsid w:val="003B76B2"/>
    <w:rsid w:val="003B7854"/>
    <w:rsid w:val="003C0311"/>
    <w:rsid w:val="003C6B5A"/>
    <w:rsid w:val="003D0FDE"/>
    <w:rsid w:val="003D6E33"/>
    <w:rsid w:val="003D77FC"/>
    <w:rsid w:val="003E589D"/>
    <w:rsid w:val="003F4DE5"/>
    <w:rsid w:val="003F6050"/>
    <w:rsid w:val="003F706A"/>
    <w:rsid w:val="004029DC"/>
    <w:rsid w:val="00407D23"/>
    <w:rsid w:val="00416479"/>
    <w:rsid w:val="00421620"/>
    <w:rsid w:val="00441C17"/>
    <w:rsid w:val="0044561F"/>
    <w:rsid w:val="00451C0A"/>
    <w:rsid w:val="004554BD"/>
    <w:rsid w:val="00455C79"/>
    <w:rsid w:val="004602AD"/>
    <w:rsid w:val="00475E4D"/>
    <w:rsid w:val="00485694"/>
    <w:rsid w:val="004866D7"/>
    <w:rsid w:val="004914B0"/>
    <w:rsid w:val="004B3BC8"/>
    <w:rsid w:val="004C7CBF"/>
    <w:rsid w:val="004D08D7"/>
    <w:rsid w:val="004F0E63"/>
    <w:rsid w:val="004F6642"/>
    <w:rsid w:val="00517623"/>
    <w:rsid w:val="00523AAE"/>
    <w:rsid w:val="005244FD"/>
    <w:rsid w:val="00557717"/>
    <w:rsid w:val="00561728"/>
    <w:rsid w:val="00567B55"/>
    <w:rsid w:val="00572230"/>
    <w:rsid w:val="00577B0F"/>
    <w:rsid w:val="0058570A"/>
    <w:rsid w:val="00595BCD"/>
    <w:rsid w:val="005A783D"/>
    <w:rsid w:val="005A7C88"/>
    <w:rsid w:val="005B1553"/>
    <w:rsid w:val="005B7F86"/>
    <w:rsid w:val="005D278E"/>
    <w:rsid w:val="005E0913"/>
    <w:rsid w:val="005E12CC"/>
    <w:rsid w:val="005E3C9E"/>
    <w:rsid w:val="00610954"/>
    <w:rsid w:val="00621975"/>
    <w:rsid w:val="006346BA"/>
    <w:rsid w:val="00640C4B"/>
    <w:rsid w:val="006506DC"/>
    <w:rsid w:val="006553B7"/>
    <w:rsid w:val="00675A2B"/>
    <w:rsid w:val="0068002F"/>
    <w:rsid w:val="00681598"/>
    <w:rsid w:val="0068296B"/>
    <w:rsid w:val="00682F2F"/>
    <w:rsid w:val="006A3954"/>
    <w:rsid w:val="006A4AD6"/>
    <w:rsid w:val="006B079C"/>
    <w:rsid w:val="006B439E"/>
    <w:rsid w:val="006C7373"/>
    <w:rsid w:val="006D6518"/>
    <w:rsid w:val="006E30D2"/>
    <w:rsid w:val="006F03F5"/>
    <w:rsid w:val="006F52A8"/>
    <w:rsid w:val="0073086C"/>
    <w:rsid w:val="007330ED"/>
    <w:rsid w:val="00745199"/>
    <w:rsid w:val="007472EF"/>
    <w:rsid w:val="0075036C"/>
    <w:rsid w:val="00760479"/>
    <w:rsid w:val="007723A2"/>
    <w:rsid w:val="00784859"/>
    <w:rsid w:val="00794F0E"/>
    <w:rsid w:val="007C303C"/>
    <w:rsid w:val="007E20F6"/>
    <w:rsid w:val="007E420B"/>
    <w:rsid w:val="007E6629"/>
    <w:rsid w:val="007E7AD0"/>
    <w:rsid w:val="007F78B2"/>
    <w:rsid w:val="00800FCB"/>
    <w:rsid w:val="00811073"/>
    <w:rsid w:val="008162B1"/>
    <w:rsid w:val="0082212C"/>
    <w:rsid w:val="00825105"/>
    <w:rsid w:val="00834D23"/>
    <w:rsid w:val="00851D72"/>
    <w:rsid w:val="00874B80"/>
    <w:rsid w:val="00874DA8"/>
    <w:rsid w:val="008753CE"/>
    <w:rsid w:val="0088342F"/>
    <w:rsid w:val="00883ACB"/>
    <w:rsid w:val="008947FE"/>
    <w:rsid w:val="00895092"/>
    <w:rsid w:val="008969BA"/>
    <w:rsid w:val="0089707B"/>
    <w:rsid w:val="008970C0"/>
    <w:rsid w:val="008B1E7A"/>
    <w:rsid w:val="008B2DE0"/>
    <w:rsid w:val="008C104F"/>
    <w:rsid w:val="008C6049"/>
    <w:rsid w:val="008D26BD"/>
    <w:rsid w:val="008D488A"/>
    <w:rsid w:val="008E064A"/>
    <w:rsid w:val="008E36D0"/>
    <w:rsid w:val="008F18DB"/>
    <w:rsid w:val="008F3CF5"/>
    <w:rsid w:val="008F4C40"/>
    <w:rsid w:val="009021BB"/>
    <w:rsid w:val="009204B7"/>
    <w:rsid w:val="00932403"/>
    <w:rsid w:val="00941BEA"/>
    <w:rsid w:val="0094258F"/>
    <w:rsid w:val="009472FA"/>
    <w:rsid w:val="00953C8E"/>
    <w:rsid w:val="00977CE4"/>
    <w:rsid w:val="00980521"/>
    <w:rsid w:val="009825CC"/>
    <w:rsid w:val="00986168"/>
    <w:rsid w:val="00994C17"/>
    <w:rsid w:val="00995B52"/>
    <w:rsid w:val="00995D63"/>
    <w:rsid w:val="00996350"/>
    <w:rsid w:val="009B0E04"/>
    <w:rsid w:val="009B1794"/>
    <w:rsid w:val="009F4546"/>
    <w:rsid w:val="00A017EE"/>
    <w:rsid w:val="00A02F07"/>
    <w:rsid w:val="00A109F9"/>
    <w:rsid w:val="00A11EDD"/>
    <w:rsid w:val="00A122DD"/>
    <w:rsid w:val="00A17B5F"/>
    <w:rsid w:val="00A24F41"/>
    <w:rsid w:val="00A2786F"/>
    <w:rsid w:val="00A45A64"/>
    <w:rsid w:val="00A51714"/>
    <w:rsid w:val="00A62AAF"/>
    <w:rsid w:val="00A634AB"/>
    <w:rsid w:val="00A65898"/>
    <w:rsid w:val="00A67435"/>
    <w:rsid w:val="00A80264"/>
    <w:rsid w:val="00A81C04"/>
    <w:rsid w:val="00A8201C"/>
    <w:rsid w:val="00A83813"/>
    <w:rsid w:val="00A95C83"/>
    <w:rsid w:val="00AA4629"/>
    <w:rsid w:val="00AA4BCA"/>
    <w:rsid w:val="00AA586B"/>
    <w:rsid w:val="00AB6F66"/>
    <w:rsid w:val="00AB7302"/>
    <w:rsid w:val="00AC210E"/>
    <w:rsid w:val="00AC573F"/>
    <w:rsid w:val="00AD149F"/>
    <w:rsid w:val="00AE3CE8"/>
    <w:rsid w:val="00AF41C0"/>
    <w:rsid w:val="00B01861"/>
    <w:rsid w:val="00B0508A"/>
    <w:rsid w:val="00B13B1D"/>
    <w:rsid w:val="00B15492"/>
    <w:rsid w:val="00B31E46"/>
    <w:rsid w:val="00B522DC"/>
    <w:rsid w:val="00B57713"/>
    <w:rsid w:val="00B62687"/>
    <w:rsid w:val="00B73873"/>
    <w:rsid w:val="00BB4EDD"/>
    <w:rsid w:val="00BB5FD0"/>
    <w:rsid w:val="00BB7086"/>
    <w:rsid w:val="00BB7C7C"/>
    <w:rsid w:val="00BC3B01"/>
    <w:rsid w:val="00BE1872"/>
    <w:rsid w:val="00BE23B6"/>
    <w:rsid w:val="00BE6606"/>
    <w:rsid w:val="00BF0561"/>
    <w:rsid w:val="00BF0753"/>
    <w:rsid w:val="00C03FB2"/>
    <w:rsid w:val="00C04FC3"/>
    <w:rsid w:val="00C33639"/>
    <w:rsid w:val="00C34A44"/>
    <w:rsid w:val="00C35511"/>
    <w:rsid w:val="00C46400"/>
    <w:rsid w:val="00C474A2"/>
    <w:rsid w:val="00C509BF"/>
    <w:rsid w:val="00C5420E"/>
    <w:rsid w:val="00C55D93"/>
    <w:rsid w:val="00C645C7"/>
    <w:rsid w:val="00C65F8E"/>
    <w:rsid w:val="00C664DD"/>
    <w:rsid w:val="00C706B9"/>
    <w:rsid w:val="00C8205E"/>
    <w:rsid w:val="00C84104"/>
    <w:rsid w:val="00C93F11"/>
    <w:rsid w:val="00CA0F51"/>
    <w:rsid w:val="00CA34E6"/>
    <w:rsid w:val="00CA7A85"/>
    <w:rsid w:val="00CD03CC"/>
    <w:rsid w:val="00CD6C41"/>
    <w:rsid w:val="00CE2C46"/>
    <w:rsid w:val="00CE3542"/>
    <w:rsid w:val="00D00A5D"/>
    <w:rsid w:val="00D03306"/>
    <w:rsid w:val="00D0383C"/>
    <w:rsid w:val="00D07BDB"/>
    <w:rsid w:val="00D17C07"/>
    <w:rsid w:val="00D33238"/>
    <w:rsid w:val="00D37C4C"/>
    <w:rsid w:val="00D42BD8"/>
    <w:rsid w:val="00D45F8E"/>
    <w:rsid w:val="00D51A1B"/>
    <w:rsid w:val="00D56C37"/>
    <w:rsid w:val="00D63E4C"/>
    <w:rsid w:val="00D83492"/>
    <w:rsid w:val="00D9385E"/>
    <w:rsid w:val="00DA06BB"/>
    <w:rsid w:val="00DA224C"/>
    <w:rsid w:val="00DC1F43"/>
    <w:rsid w:val="00DC4EA5"/>
    <w:rsid w:val="00DC6AFE"/>
    <w:rsid w:val="00DC6E8C"/>
    <w:rsid w:val="00DC7A17"/>
    <w:rsid w:val="00DC7C6C"/>
    <w:rsid w:val="00DD1CC1"/>
    <w:rsid w:val="00DD22A5"/>
    <w:rsid w:val="00DD2779"/>
    <w:rsid w:val="00DD688B"/>
    <w:rsid w:val="00DE22DD"/>
    <w:rsid w:val="00E028AB"/>
    <w:rsid w:val="00E14C92"/>
    <w:rsid w:val="00E213A5"/>
    <w:rsid w:val="00E32193"/>
    <w:rsid w:val="00E35DE9"/>
    <w:rsid w:val="00E36BB7"/>
    <w:rsid w:val="00E410F6"/>
    <w:rsid w:val="00E45D4D"/>
    <w:rsid w:val="00E525D3"/>
    <w:rsid w:val="00E6119B"/>
    <w:rsid w:val="00E62040"/>
    <w:rsid w:val="00E639AB"/>
    <w:rsid w:val="00E67ED2"/>
    <w:rsid w:val="00E72418"/>
    <w:rsid w:val="00E8486E"/>
    <w:rsid w:val="00E86E26"/>
    <w:rsid w:val="00E90E4A"/>
    <w:rsid w:val="00EB0307"/>
    <w:rsid w:val="00EE0D2D"/>
    <w:rsid w:val="00EE5C77"/>
    <w:rsid w:val="00EF18AB"/>
    <w:rsid w:val="00EF23D0"/>
    <w:rsid w:val="00EF26E7"/>
    <w:rsid w:val="00EF68C3"/>
    <w:rsid w:val="00EF7775"/>
    <w:rsid w:val="00F023B8"/>
    <w:rsid w:val="00F110E2"/>
    <w:rsid w:val="00F114FC"/>
    <w:rsid w:val="00F12322"/>
    <w:rsid w:val="00F20193"/>
    <w:rsid w:val="00F221E1"/>
    <w:rsid w:val="00F33DCB"/>
    <w:rsid w:val="00F34362"/>
    <w:rsid w:val="00F4433C"/>
    <w:rsid w:val="00F52A1A"/>
    <w:rsid w:val="00F56847"/>
    <w:rsid w:val="00F63EF3"/>
    <w:rsid w:val="00F7109D"/>
    <w:rsid w:val="00F74834"/>
    <w:rsid w:val="00F8284D"/>
    <w:rsid w:val="00F82B9F"/>
    <w:rsid w:val="00F84BBE"/>
    <w:rsid w:val="00F93E7E"/>
    <w:rsid w:val="00F97B32"/>
    <w:rsid w:val="00FA331F"/>
    <w:rsid w:val="00FB6235"/>
    <w:rsid w:val="00FB7A7F"/>
    <w:rsid w:val="00FE5FEB"/>
    <w:rsid w:val="00FF5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3986BE17"/>
  <w15:docId w15:val="{B2A15352-1848-4D7B-8B31-22065D4D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813"/>
    <w:pPr>
      <w:spacing w:after="0" w:line="240" w:lineRule="auto"/>
    </w:pPr>
    <w:rPr>
      <w:rFont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779"/>
    <w:rPr>
      <w:rFonts w:ascii="Tahoma" w:hAnsi="Tahoma" w:cs="Tahoma"/>
      <w:sz w:val="16"/>
      <w:szCs w:val="16"/>
    </w:rPr>
  </w:style>
  <w:style w:type="character" w:customStyle="1" w:styleId="BalloonTextChar">
    <w:name w:val="Balloon Text Char"/>
    <w:basedOn w:val="DefaultParagraphFont"/>
    <w:link w:val="BalloonText"/>
    <w:uiPriority w:val="99"/>
    <w:semiHidden/>
    <w:rsid w:val="00DD2779"/>
    <w:rPr>
      <w:rFonts w:ascii="Tahoma" w:hAnsi="Tahoma" w:cs="Tahoma"/>
      <w:sz w:val="16"/>
      <w:szCs w:val="16"/>
      <w:lang w:eastAsia="en-GB"/>
    </w:rPr>
  </w:style>
  <w:style w:type="character" w:styleId="Hyperlink">
    <w:name w:val="Hyperlink"/>
    <w:basedOn w:val="DefaultParagraphFont"/>
    <w:uiPriority w:val="99"/>
    <w:unhideWhenUsed/>
    <w:rsid w:val="001A091B"/>
    <w:rPr>
      <w:color w:val="0000FF" w:themeColor="hyperlink"/>
      <w:u w:val="single"/>
    </w:rPr>
  </w:style>
  <w:style w:type="paragraph" w:styleId="Header">
    <w:name w:val="header"/>
    <w:basedOn w:val="Normal"/>
    <w:link w:val="HeaderChar"/>
    <w:uiPriority w:val="99"/>
    <w:unhideWhenUsed/>
    <w:rsid w:val="007C303C"/>
    <w:pPr>
      <w:tabs>
        <w:tab w:val="center" w:pos="4513"/>
        <w:tab w:val="right" w:pos="9026"/>
      </w:tabs>
    </w:pPr>
  </w:style>
  <w:style w:type="character" w:customStyle="1" w:styleId="HeaderChar">
    <w:name w:val="Header Char"/>
    <w:basedOn w:val="DefaultParagraphFont"/>
    <w:link w:val="Header"/>
    <w:uiPriority w:val="99"/>
    <w:rsid w:val="007C303C"/>
    <w:rPr>
      <w:rFonts w:cs="Times New Roman"/>
      <w:sz w:val="24"/>
      <w:szCs w:val="20"/>
      <w:lang w:eastAsia="en-GB"/>
    </w:rPr>
  </w:style>
  <w:style w:type="paragraph" w:styleId="Footer">
    <w:name w:val="footer"/>
    <w:basedOn w:val="Normal"/>
    <w:link w:val="FooterChar"/>
    <w:uiPriority w:val="99"/>
    <w:unhideWhenUsed/>
    <w:rsid w:val="007C303C"/>
    <w:pPr>
      <w:tabs>
        <w:tab w:val="center" w:pos="4513"/>
        <w:tab w:val="right" w:pos="9026"/>
      </w:tabs>
    </w:pPr>
  </w:style>
  <w:style w:type="character" w:customStyle="1" w:styleId="FooterChar">
    <w:name w:val="Footer Char"/>
    <w:basedOn w:val="DefaultParagraphFont"/>
    <w:link w:val="Footer"/>
    <w:uiPriority w:val="99"/>
    <w:rsid w:val="007C303C"/>
    <w:rPr>
      <w:rFonts w:cs="Times New Roman"/>
      <w:sz w:val="24"/>
      <w:szCs w:val="20"/>
      <w:lang w:eastAsia="en-GB"/>
    </w:rPr>
  </w:style>
  <w:style w:type="paragraph" w:styleId="ListParagraph">
    <w:name w:val="List Paragraph"/>
    <w:basedOn w:val="Normal"/>
    <w:uiPriority w:val="34"/>
    <w:qFormat/>
    <w:rsid w:val="00C04FC3"/>
    <w:pPr>
      <w:ind w:left="720"/>
      <w:contextualSpacing/>
    </w:pPr>
  </w:style>
  <w:style w:type="character" w:styleId="IntenseReference">
    <w:name w:val="Intense Reference"/>
    <w:basedOn w:val="DefaultParagraphFont"/>
    <w:uiPriority w:val="32"/>
    <w:qFormat/>
    <w:rsid w:val="00567B55"/>
    <w:rPr>
      <w:b/>
      <w:bCs/>
      <w:smallCaps/>
      <w:color w:val="C0504D" w:themeColor="accent2"/>
      <w:spacing w:val="5"/>
      <w:u w:val="single"/>
    </w:rPr>
  </w:style>
  <w:style w:type="table" w:styleId="TableGrid">
    <w:name w:val="Table Grid"/>
    <w:basedOn w:val="TableNormal"/>
    <w:uiPriority w:val="39"/>
    <w:rsid w:val="00AC573F"/>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A4AD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753CE"/>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8240">
      <w:bodyDiv w:val="1"/>
      <w:marLeft w:val="0"/>
      <w:marRight w:val="0"/>
      <w:marTop w:val="0"/>
      <w:marBottom w:val="0"/>
      <w:divBdr>
        <w:top w:val="none" w:sz="0" w:space="0" w:color="auto"/>
        <w:left w:val="none" w:sz="0" w:space="0" w:color="auto"/>
        <w:bottom w:val="none" w:sz="0" w:space="0" w:color="auto"/>
        <w:right w:val="none" w:sz="0" w:space="0" w:color="auto"/>
      </w:divBdr>
    </w:div>
    <w:div w:id="52316095">
      <w:bodyDiv w:val="1"/>
      <w:marLeft w:val="0"/>
      <w:marRight w:val="0"/>
      <w:marTop w:val="0"/>
      <w:marBottom w:val="0"/>
      <w:divBdr>
        <w:top w:val="none" w:sz="0" w:space="0" w:color="auto"/>
        <w:left w:val="none" w:sz="0" w:space="0" w:color="auto"/>
        <w:bottom w:val="none" w:sz="0" w:space="0" w:color="auto"/>
        <w:right w:val="none" w:sz="0" w:space="0" w:color="auto"/>
      </w:divBdr>
    </w:div>
    <w:div w:id="208763331">
      <w:bodyDiv w:val="1"/>
      <w:marLeft w:val="0"/>
      <w:marRight w:val="0"/>
      <w:marTop w:val="0"/>
      <w:marBottom w:val="0"/>
      <w:divBdr>
        <w:top w:val="none" w:sz="0" w:space="0" w:color="auto"/>
        <w:left w:val="none" w:sz="0" w:space="0" w:color="auto"/>
        <w:bottom w:val="none" w:sz="0" w:space="0" w:color="auto"/>
        <w:right w:val="none" w:sz="0" w:space="0" w:color="auto"/>
      </w:divBdr>
    </w:div>
    <w:div w:id="477263548">
      <w:bodyDiv w:val="1"/>
      <w:marLeft w:val="0"/>
      <w:marRight w:val="0"/>
      <w:marTop w:val="0"/>
      <w:marBottom w:val="0"/>
      <w:divBdr>
        <w:top w:val="none" w:sz="0" w:space="0" w:color="auto"/>
        <w:left w:val="none" w:sz="0" w:space="0" w:color="auto"/>
        <w:bottom w:val="none" w:sz="0" w:space="0" w:color="auto"/>
        <w:right w:val="none" w:sz="0" w:space="0" w:color="auto"/>
      </w:divBdr>
    </w:div>
    <w:div w:id="666327628">
      <w:bodyDiv w:val="1"/>
      <w:marLeft w:val="0"/>
      <w:marRight w:val="0"/>
      <w:marTop w:val="0"/>
      <w:marBottom w:val="0"/>
      <w:divBdr>
        <w:top w:val="none" w:sz="0" w:space="0" w:color="auto"/>
        <w:left w:val="none" w:sz="0" w:space="0" w:color="auto"/>
        <w:bottom w:val="none" w:sz="0" w:space="0" w:color="auto"/>
        <w:right w:val="none" w:sz="0" w:space="0" w:color="auto"/>
      </w:divBdr>
    </w:div>
    <w:div w:id="901329205">
      <w:bodyDiv w:val="1"/>
      <w:marLeft w:val="0"/>
      <w:marRight w:val="0"/>
      <w:marTop w:val="0"/>
      <w:marBottom w:val="0"/>
      <w:divBdr>
        <w:top w:val="none" w:sz="0" w:space="0" w:color="auto"/>
        <w:left w:val="none" w:sz="0" w:space="0" w:color="auto"/>
        <w:bottom w:val="none" w:sz="0" w:space="0" w:color="auto"/>
        <w:right w:val="none" w:sz="0" w:space="0" w:color="auto"/>
      </w:divBdr>
    </w:div>
    <w:div w:id="961038809">
      <w:bodyDiv w:val="1"/>
      <w:marLeft w:val="0"/>
      <w:marRight w:val="0"/>
      <w:marTop w:val="0"/>
      <w:marBottom w:val="0"/>
      <w:divBdr>
        <w:top w:val="none" w:sz="0" w:space="0" w:color="auto"/>
        <w:left w:val="none" w:sz="0" w:space="0" w:color="auto"/>
        <w:bottom w:val="none" w:sz="0" w:space="0" w:color="auto"/>
        <w:right w:val="none" w:sz="0" w:space="0" w:color="auto"/>
      </w:divBdr>
    </w:div>
    <w:div w:id="987054278">
      <w:bodyDiv w:val="1"/>
      <w:marLeft w:val="0"/>
      <w:marRight w:val="0"/>
      <w:marTop w:val="0"/>
      <w:marBottom w:val="0"/>
      <w:divBdr>
        <w:top w:val="none" w:sz="0" w:space="0" w:color="auto"/>
        <w:left w:val="none" w:sz="0" w:space="0" w:color="auto"/>
        <w:bottom w:val="none" w:sz="0" w:space="0" w:color="auto"/>
        <w:right w:val="none" w:sz="0" w:space="0" w:color="auto"/>
      </w:divBdr>
    </w:div>
    <w:div w:id="995231004">
      <w:bodyDiv w:val="1"/>
      <w:marLeft w:val="0"/>
      <w:marRight w:val="0"/>
      <w:marTop w:val="0"/>
      <w:marBottom w:val="0"/>
      <w:divBdr>
        <w:top w:val="none" w:sz="0" w:space="0" w:color="auto"/>
        <w:left w:val="none" w:sz="0" w:space="0" w:color="auto"/>
        <w:bottom w:val="none" w:sz="0" w:space="0" w:color="auto"/>
        <w:right w:val="none" w:sz="0" w:space="0" w:color="auto"/>
      </w:divBdr>
    </w:div>
    <w:div w:id="1352025510">
      <w:bodyDiv w:val="1"/>
      <w:marLeft w:val="0"/>
      <w:marRight w:val="0"/>
      <w:marTop w:val="0"/>
      <w:marBottom w:val="0"/>
      <w:divBdr>
        <w:top w:val="none" w:sz="0" w:space="0" w:color="auto"/>
        <w:left w:val="none" w:sz="0" w:space="0" w:color="auto"/>
        <w:bottom w:val="none" w:sz="0" w:space="0" w:color="auto"/>
        <w:right w:val="none" w:sz="0" w:space="0" w:color="auto"/>
      </w:divBdr>
    </w:div>
    <w:div w:id="1476799857">
      <w:bodyDiv w:val="1"/>
      <w:marLeft w:val="0"/>
      <w:marRight w:val="0"/>
      <w:marTop w:val="0"/>
      <w:marBottom w:val="0"/>
      <w:divBdr>
        <w:top w:val="none" w:sz="0" w:space="0" w:color="auto"/>
        <w:left w:val="none" w:sz="0" w:space="0" w:color="auto"/>
        <w:bottom w:val="none" w:sz="0" w:space="0" w:color="auto"/>
        <w:right w:val="none" w:sz="0" w:space="0" w:color="auto"/>
      </w:divBdr>
    </w:div>
    <w:div w:id="1515725505">
      <w:bodyDiv w:val="1"/>
      <w:marLeft w:val="0"/>
      <w:marRight w:val="0"/>
      <w:marTop w:val="0"/>
      <w:marBottom w:val="0"/>
      <w:divBdr>
        <w:top w:val="none" w:sz="0" w:space="0" w:color="auto"/>
        <w:left w:val="none" w:sz="0" w:space="0" w:color="auto"/>
        <w:bottom w:val="none" w:sz="0" w:space="0" w:color="auto"/>
        <w:right w:val="none" w:sz="0" w:space="0" w:color="auto"/>
      </w:divBdr>
    </w:div>
    <w:div w:id="208734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Paul Hodgkinson</cp:lastModifiedBy>
  <cp:revision>40</cp:revision>
  <cp:lastPrinted>2021-12-01T15:14:00Z</cp:lastPrinted>
  <dcterms:created xsi:type="dcterms:W3CDTF">2020-10-22T08:54:00Z</dcterms:created>
  <dcterms:modified xsi:type="dcterms:W3CDTF">2021-12-15T09:02:00Z</dcterms:modified>
</cp:coreProperties>
</file>