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129A" w14:textId="77777777" w:rsidR="009527FA" w:rsidRPr="00704465" w:rsidRDefault="007040BC" w:rsidP="00983C88">
      <w:pPr>
        <w:jc w:val="center"/>
        <w:rPr>
          <w:rFonts w:ascii="Arial" w:hAnsi="Arial" w:cs="Arial"/>
          <w:b/>
          <w:bCs/>
          <w:sz w:val="24"/>
          <w:szCs w:val="24"/>
          <w:u w:val="single"/>
        </w:rPr>
      </w:pPr>
      <w:r w:rsidRPr="00704465">
        <w:rPr>
          <w:rFonts w:ascii="Arial" w:hAnsi="Arial" w:cs="Arial"/>
          <w:b/>
          <w:bCs/>
          <w:sz w:val="24"/>
          <w:szCs w:val="24"/>
          <w:u w:val="single"/>
        </w:rPr>
        <w:t>R</w:t>
      </w:r>
      <w:r w:rsidR="00757EBB" w:rsidRPr="00704465">
        <w:rPr>
          <w:rFonts w:ascii="Arial" w:hAnsi="Arial" w:cs="Arial"/>
          <w:b/>
          <w:bCs/>
          <w:sz w:val="24"/>
          <w:szCs w:val="24"/>
          <w:u w:val="single"/>
        </w:rPr>
        <w:t xml:space="preserve">eport to </w:t>
      </w:r>
      <w:r w:rsidR="009527FA" w:rsidRPr="00704465">
        <w:rPr>
          <w:rFonts w:ascii="Arial" w:hAnsi="Arial" w:cs="Arial"/>
          <w:b/>
          <w:bCs/>
          <w:sz w:val="24"/>
          <w:szCs w:val="24"/>
          <w:u w:val="single"/>
        </w:rPr>
        <w:t xml:space="preserve">SPMG </w:t>
      </w:r>
      <w:r w:rsidR="00757EBB" w:rsidRPr="00704465">
        <w:rPr>
          <w:rFonts w:ascii="Arial" w:hAnsi="Arial" w:cs="Arial"/>
          <w:b/>
          <w:bCs/>
          <w:sz w:val="24"/>
          <w:szCs w:val="24"/>
          <w:u w:val="single"/>
        </w:rPr>
        <w:t>21.12</w:t>
      </w:r>
      <w:r w:rsidR="009527FA" w:rsidRPr="00704465">
        <w:rPr>
          <w:rFonts w:ascii="Arial" w:hAnsi="Arial" w:cs="Arial"/>
          <w:b/>
          <w:bCs/>
          <w:sz w:val="24"/>
          <w:szCs w:val="24"/>
          <w:u w:val="single"/>
        </w:rPr>
        <w:t>.2021</w:t>
      </w:r>
    </w:p>
    <w:p w14:paraId="6EDE129B" w14:textId="77777777" w:rsidR="009527FA" w:rsidRPr="00983C88" w:rsidRDefault="00757EBB" w:rsidP="00983C88">
      <w:pPr>
        <w:jc w:val="center"/>
        <w:rPr>
          <w:rFonts w:ascii="Arial" w:hAnsi="Arial" w:cs="Arial"/>
          <w:b/>
          <w:bCs/>
          <w:sz w:val="24"/>
          <w:szCs w:val="24"/>
          <w:u w:val="single"/>
        </w:rPr>
      </w:pPr>
      <w:r w:rsidRPr="007040BC">
        <w:rPr>
          <w:rFonts w:ascii="Arial" w:hAnsi="Arial" w:cs="Arial"/>
          <w:b/>
          <w:bCs/>
          <w:sz w:val="24"/>
          <w:szCs w:val="24"/>
          <w:u w:val="single"/>
        </w:rPr>
        <w:t>Powering Up Enterprise</w:t>
      </w:r>
      <w:r w:rsidR="003A5425" w:rsidRPr="007040BC">
        <w:rPr>
          <w:rFonts w:ascii="Arial" w:hAnsi="Arial" w:cs="Arial"/>
          <w:b/>
          <w:bCs/>
          <w:sz w:val="24"/>
          <w:szCs w:val="24"/>
          <w:u w:val="single"/>
        </w:rPr>
        <w:t xml:space="preserve"> </w:t>
      </w:r>
    </w:p>
    <w:p w14:paraId="6EDE129C" w14:textId="77777777" w:rsidR="00EE6CD0" w:rsidRPr="00983C88" w:rsidRDefault="00BD5171" w:rsidP="00983C88">
      <w:pPr>
        <w:jc w:val="center"/>
        <w:rPr>
          <w:rFonts w:ascii="Arial" w:hAnsi="Arial" w:cs="Arial"/>
          <w:b/>
          <w:bCs/>
          <w:sz w:val="24"/>
          <w:szCs w:val="24"/>
        </w:rPr>
      </w:pPr>
      <w:r>
        <w:rPr>
          <w:rFonts w:ascii="Arial" w:hAnsi="Arial" w:cs="Arial"/>
          <w:b/>
          <w:bCs/>
          <w:sz w:val="24"/>
          <w:szCs w:val="24"/>
        </w:rPr>
        <w:t xml:space="preserve">Proposal:  </w:t>
      </w:r>
      <w:r w:rsidR="00757EBB">
        <w:rPr>
          <w:rFonts w:ascii="Arial" w:hAnsi="Arial" w:cs="Arial"/>
          <w:b/>
          <w:bCs/>
          <w:sz w:val="24"/>
          <w:szCs w:val="24"/>
        </w:rPr>
        <w:t xml:space="preserve">To update SMPG on the progress of the Powering Up Enterprise </w:t>
      </w:r>
      <w:r w:rsidR="007040BC">
        <w:rPr>
          <w:rFonts w:ascii="Arial" w:hAnsi="Arial" w:cs="Arial"/>
          <w:b/>
          <w:bCs/>
          <w:sz w:val="24"/>
          <w:szCs w:val="24"/>
        </w:rPr>
        <w:t>Programme and seek agreement on</w:t>
      </w:r>
      <w:r w:rsidR="00757EBB">
        <w:rPr>
          <w:rFonts w:ascii="Arial" w:hAnsi="Arial" w:cs="Arial"/>
          <w:b/>
          <w:bCs/>
          <w:sz w:val="24"/>
          <w:szCs w:val="24"/>
        </w:rPr>
        <w:t xml:space="preserve"> </w:t>
      </w:r>
      <w:r w:rsidR="00911C86">
        <w:rPr>
          <w:rFonts w:ascii="Arial" w:hAnsi="Arial" w:cs="Arial"/>
          <w:b/>
          <w:bCs/>
          <w:sz w:val="24"/>
          <w:szCs w:val="24"/>
        </w:rPr>
        <w:t>the deliver</w:t>
      </w:r>
      <w:r w:rsidR="00757EBB">
        <w:rPr>
          <w:rFonts w:ascii="Arial" w:hAnsi="Arial" w:cs="Arial"/>
          <w:b/>
          <w:bCs/>
          <w:sz w:val="24"/>
          <w:szCs w:val="24"/>
        </w:rPr>
        <w:t xml:space="preserve"> programme</w:t>
      </w:r>
      <w:r w:rsidR="00911C86">
        <w:rPr>
          <w:rFonts w:ascii="Arial" w:hAnsi="Arial" w:cs="Arial"/>
          <w:b/>
          <w:bCs/>
          <w:sz w:val="24"/>
          <w:szCs w:val="24"/>
        </w:rPr>
        <w:t xml:space="preserve"> and spend.</w:t>
      </w:r>
    </w:p>
    <w:p w14:paraId="6EDE129D" w14:textId="77777777" w:rsidR="00EE6CD0" w:rsidRPr="00AE031E" w:rsidRDefault="00E412EA" w:rsidP="00E412EA">
      <w:pPr>
        <w:rPr>
          <w:rFonts w:ascii="Arial" w:hAnsi="Arial" w:cs="Arial"/>
          <w:b/>
          <w:bCs/>
        </w:rPr>
      </w:pPr>
      <w:r w:rsidRPr="00AE031E">
        <w:rPr>
          <w:rFonts w:ascii="Arial" w:hAnsi="Arial" w:cs="Arial"/>
          <w:b/>
          <w:bCs/>
        </w:rPr>
        <w:t>Background</w:t>
      </w:r>
    </w:p>
    <w:p w14:paraId="6EDE129E" w14:textId="77777777" w:rsidR="00EE6CD0" w:rsidRPr="00AE031E" w:rsidRDefault="00757EBB" w:rsidP="00E412EA">
      <w:pPr>
        <w:rPr>
          <w:rFonts w:ascii="Arial" w:hAnsi="Arial" w:cs="Arial"/>
          <w:bCs/>
        </w:rPr>
      </w:pPr>
      <w:r w:rsidRPr="00AE031E">
        <w:rPr>
          <w:rFonts w:ascii="Arial" w:hAnsi="Arial" w:cs="Arial"/>
          <w:bCs/>
        </w:rPr>
        <w:t xml:space="preserve">Powering Up Enterprise is a significant project within the LEP’s Getting Building Fund Programme.  The Getting Building Fund had a challenging delivery programme from the outset with funds having to be defrayed by March 2022, add to this </w:t>
      </w:r>
      <w:r w:rsidR="00911C86" w:rsidRPr="00AE031E">
        <w:rPr>
          <w:rFonts w:ascii="Arial" w:hAnsi="Arial" w:cs="Arial"/>
          <w:bCs/>
        </w:rPr>
        <w:t>resource challenges within the construction sector as a result of the pandemic</w:t>
      </w:r>
      <w:r w:rsidR="0060613B" w:rsidRPr="00AE031E">
        <w:rPr>
          <w:rFonts w:ascii="Arial" w:hAnsi="Arial" w:cs="Arial"/>
          <w:bCs/>
        </w:rPr>
        <w:t>,</w:t>
      </w:r>
      <w:r w:rsidR="00911C86" w:rsidRPr="00AE031E">
        <w:rPr>
          <w:rFonts w:ascii="Arial" w:hAnsi="Arial" w:cs="Arial"/>
          <w:bCs/>
        </w:rPr>
        <w:t xml:space="preserve"> significant</w:t>
      </w:r>
      <w:r w:rsidRPr="00AE031E">
        <w:rPr>
          <w:rFonts w:ascii="Arial" w:hAnsi="Arial" w:cs="Arial"/>
          <w:bCs/>
        </w:rPr>
        <w:t xml:space="preserve"> inflation</w:t>
      </w:r>
      <w:r w:rsidR="00911C86" w:rsidRPr="00AE031E">
        <w:rPr>
          <w:rFonts w:ascii="Arial" w:hAnsi="Arial" w:cs="Arial"/>
          <w:bCs/>
        </w:rPr>
        <w:t xml:space="preserve"> in some material costs</w:t>
      </w:r>
      <w:r w:rsidR="0060613B" w:rsidRPr="00AE031E">
        <w:rPr>
          <w:rFonts w:ascii="Arial" w:hAnsi="Arial" w:cs="Arial"/>
          <w:bCs/>
        </w:rPr>
        <w:t xml:space="preserve"> and</w:t>
      </w:r>
      <w:r w:rsidRPr="00AE031E">
        <w:rPr>
          <w:rFonts w:ascii="Arial" w:hAnsi="Arial" w:cs="Arial"/>
          <w:bCs/>
        </w:rPr>
        <w:t xml:space="preserve"> lag</w:t>
      </w:r>
      <w:r w:rsidR="0060613B" w:rsidRPr="00AE031E">
        <w:rPr>
          <w:rFonts w:ascii="Arial" w:hAnsi="Arial" w:cs="Arial"/>
          <w:bCs/>
        </w:rPr>
        <w:t xml:space="preserve"> times</w:t>
      </w:r>
      <w:r w:rsidRPr="00AE031E">
        <w:rPr>
          <w:rFonts w:ascii="Arial" w:hAnsi="Arial" w:cs="Arial"/>
          <w:bCs/>
        </w:rPr>
        <w:t xml:space="preserve"> in </w:t>
      </w:r>
      <w:r w:rsidR="0060613B" w:rsidRPr="00AE031E">
        <w:rPr>
          <w:rFonts w:ascii="Arial" w:hAnsi="Arial" w:cs="Arial"/>
          <w:bCs/>
        </w:rPr>
        <w:t xml:space="preserve">materials </w:t>
      </w:r>
      <w:r w:rsidRPr="00AE031E">
        <w:rPr>
          <w:rFonts w:ascii="Arial" w:hAnsi="Arial" w:cs="Arial"/>
          <w:bCs/>
        </w:rPr>
        <w:t xml:space="preserve">delivery </w:t>
      </w:r>
      <w:r w:rsidR="0060613B" w:rsidRPr="00AE031E">
        <w:rPr>
          <w:rFonts w:ascii="Arial" w:hAnsi="Arial" w:cs="Arial"/>
          <w:bCs/>
        </w:rPr>
        <w:t>have collectively places further challenge on this programme</w:t>
      </w:r>
      <w:r w:rsidRPr="00AE031E">
        <w:rPr>
          <w:rFonts w:ascii="Arial" w:hAnsi="Arial" w:cs="Arial"/>
          <w:bCs/>
        </w:rPr>
        <w:t>.</w:t>
      </w:r>
    </w:p>
    <w:p w14:paraId="6EDE129F" w14:textId="77777777" w:rsidR="00E856BF" w:rsidRPr="00AE031E" w:rsidRDefault="00757EBB" w:rsidP="00E412EA">
      <w:pPr>
        <w:rPr>
          <w:rFonts w:ascii="Arial" w:hAnsi="Arial" w:cs="Arial"/>
          <w:bCs/>
        </w:rPr>
      </w:pPr>
      <w:r w:rsidRPr="00AE031E">
        <w:rPr>
          <w:rFonts w:ascii="Arial" w:hAnsi="Arial" w:cs="Arial"/>
          <w:bCs/>
        </w:rPr>
        <w:t>However</w:t>
      </w:r>
      <w:r w:rsidR="0060613B" w:rsidRPr="00AE031E">
        <w:rPr>
          <w:rFonts w:ascii="Arial" w:hAnsi="Arial" w:cs="Arial"/>
          <w:bCs/>
        </w:rPr>
        <w:t>. despite this context</w:t>
      </w:r>
      <w:r w:rsidRPr="00AE031E">
        <w:rPr>
          <w:rFonts w:ascii="Arial" w:hAnsi="Arial" w:cs="Arial"/>
          <w:bCs/>
        </w:rPr>
        <w:t xml:space="preserve"> the City Council</w:t>
      </w:r>
      <w:r w:rsidR="0060613B" w:rsidRPr="00AE031E">
        <w:rPr>
          <w:rFonts w:ascii="Arial" w:hAnsi="Arial" w:cs="Arial"/>
          <w:bCs/>
        </w:rPr>
        <w:t xml:space="preserve"> has</w:t>
      </w:r>
      <w:r w:rsidRPr="00AE031E">
        <w:rPr>
          <w:rFonts w:ascii="Arial" w:hAnsi="Arial" w:cs="Arial"/>
          <w:bCs/>
        </w:rPr>
        <w:t xml:space="preserve"> worked ‘at </w:t>
      </w:r>
      <w:r w:rsidR="0060613B" w:rsidRPr="00AE031E">
        <w:rPr>
          <w:rFonts w:ascii="Arial" w:hAnsi="Arial" w:cs="Arial"/>
          <w:bCs/>
        </w:rPr>
        <w:t>risk’ on this programme,</w:t>
      </w:r>
      <w:r w:rsidRPr="00AE031E">
        <w:rPr>
          <w:rFonts w:ascii="Arial" w:hAnsi="Arial" w:cs="Arial"/>
          <w:bCs/>
        </w:rPr>
        <w:t xml:space="preserve"> in partnership with Genr8</w:t>
      </w:r>
      <w:r w:rsidR="0060613B" w:rsidRPr="00AE031E">
        <w:rPr>
          <w:rFonts w:ascii="Arial" w:hAnsi="Arial" w:cs="Arial"/>
          <w:bCs/>
        </w:rPr>
        <w:t xml:space="preserve"> its</w:t>
      </w:r>
      <w:r w:rsidRPr="00AE031E">
        <w:rPr>
          <w:rFonts w:ascii="Arial" w:hAnsi="Arial" w:cs="Arial"/>
          <w:bCs/>
        </w:rPr>
        <w:t xml:space="preserve"> private sector partner, to give the programme the very best chance to deliver the spend within the said timeframe</w:t>
      </w:r>
      <w:r w:rsidR="00E856BF" w:rsidRPr="00AE031E">
        <w:rPr>
          <w:rFonts w:ascii="Arial" w:hAnsi="Arial" w:cs="Arial"/>
          <w:bCs/>
        </w:rPr>
        <w:t>.</w:t>
      </w:r>
    </w:p>
    <w:p w14:paraId="6EDE12A0" w14:textId="77777777" w:rsidR="00757EBB" w:rsidRPr="00AE031E" w:rsidRDefault="00E856BF" w:rsidP="00E412EA">
      <w:pPr>
        <w:rPr>
          <w:rFonts w:ascii="Arial" w:hAnsi="Arial" w:cs="Arial"/>
          <w:b/>
          <w:bCs/>
        </w:rPr>
      </w:pPr>
      <w:r w:rsidRPr="00AE031E">
        <w:rPr>
          <w:rFonts w:ascii="Arial" w:hAnsi="Arial" w:cs="Arial"/>
          <w:b/>
          <w:bCs/>
        </w:rPr>
        <w:t>Scheme costs</w:t>
      </w:r>
      <w:r w:rsidR="00757EBB" w:rsidRPr="00AE031E">
        <w:rPr>
          <w:rFonts w:ascii="Arial" w:hAnsi="Arial" w:cs="Arial"/>
          <w:b/>
          <w:bCs/>
        </w:rPr>
        <w:t>.</w:t>
      </w:r>
      <w:r w:rsidRPr="00AE031E">
        <w:rPr>
          <w:rFonts w:ascii="Arial" w:hAnsi="Arial" w:cs="Arial"/>
          <w:b/>
          <w:bCs/>
        </w:rPr>
        <w:t xml:space="preserve">  </w:t>
      </w:r>
    </w:p>
    <w:p w14:paraId="6EDE12A1" w14:textId="77777777" w:rsidR="00E856BF" w:rsidRPr="00AE031E" w:rsidRDefault="00E856BF" w:rsidP="00E412EA">
      <w:pPr>
        <w:rPr>
          <w:rFonts w:ascii="Arial" w:hAnsi="Arial" w:cs="Arial"/>
          <w:bCs/>
        </w:rPr>
      </w:pPr>
      <w:r w:rsidRPr="00AE031E">
        <w:rPr>
          <w:rFonts w:ascii="Arial" w:hAnsi="Arial" w:cs="Arial"/>
          <w:bCs/>
        </w:rPr>
        <w:t xml:space="preserve">At the time that the revised business case was submitted to the LEP, the costs associated with the Genr8 projects </w:t>
      </w:r>
      <w:proofErr w:type="spellStart"/>
      <w:r w:rsidRPr="00AE031E">
        <w:rPr>
          <w:rFonts w:ascii="Arial" w:hAnsi="Arial" w:cs="Arial"/>
          <w:bCs/>
        </w:rPr>
        <w:t>Clayworks</w:t>
      </w:r>
      <w:proofErr w:type="spellEnd"/>
      <w:r w:rsidRPr="00AE031E">
        <w:rPr>
          <w:rFonts w:ascii="Arial" w:hAnsi="Arial" w:cs="Arial"/>
          <w:bCs/>
        </w:rPr>
        <w:t xml:space="preserve"> and Smithfield 2 were known and therefore a firm</w:t>
      </w:r>
      <w:r w:rsidR="004047B3" w:rsidRPr="00AE031E">
        <w:rPr>
          <w:rFonts w:ascii="Arial" w:hAnsi="Arial" w:cs="Arial"/>
          <w:bCs/>
        </w:rPr>
        <w:t xml:space="preserve"> and </w:t>
      </w:r>
      <w:proofErr w:type="spellStart"/>
      <w:r w:rsidR="004047B3" w:rsidRPr="00AE031E">
        <w:rPr>
          <w:rFonts w:ascii="Arial" w:hAnsi="Arial" w:cs="Arial"/>
          <w:bCs/>
        </w:rPr>
        <w:t>all inclusive</w:t>
      </w:r>
      <w:proofErr w:type="spellEnd"/>
      <w:r w:rsidRPr="00AE031E">
        <w:rPr>
          <w:rFonts w:ascii="Arial" w:hAnsi="Arial" w:cs="Arial"/>
          <w:bCs/>
        </w:rPr>
        <w:t xml:space="preserve"> allocation </w:t>
      </w:r>
      <w:r w:rsidR="0001218B" w:rsidRPr="00AE031E">
        <w:rPr>
          <w:rFonts w:ascii="Arial" w:hAnsi="Arial" w:cs="Arial"/>
          <w:bCs/>
        </w:rPr>
        <w:t>of £</w:t>
      </w:r>
      <w:r w:rsidR="004047B3" w:rsidRPr="00AE031E">
        <w:rPr>
          <w:rFonts w:ascii="Arial" w:hAnsi="Arial" w:cs="Arial"/>
          <w:bCs/>
        </w:rPr>
        <w:t xml:space="preserve">1,056,200 </w:t>
      </w:r>
      <w:r w:rsidRPr="00AE031E">
        <w:rPr>
          <w:rFonts w:ascii="Arial" w:hAnsi="Arial" w:cs="Arial"/>
          <w:bCs/>
        </w:rPr>
        <w:t xml:space="preserve">could be identified between the City Council and Genr8 to </w:t>
      </w:r>
      <w:r w:rsidR="004047B3" w:rsidRPr="00AE031E">
        <w:rPr>
          <w:rFonts w:ascii="Arial" w:hAnsi="Arial" w:cs="Arial"/>
          <w:bCs/>
        </w:rPr>
        <w:t xml:space="preserve">deliver these two schemes. </w:t>
      </w:r>
      <w:r w:rsidR="0060613B" w:rsidRPr="00AE031E">
        <w:rPr>
          <w:rFonts w:ascii="Arial" w:hAnsi="Arial" w:cs="Arial"/>
          <w:bCs/>
        </w:rPr>
        <w:t>As a result a back to back agreement was put in place to enable Genr8 progress with their elements of the programme.</w:t>
      </w:r>
      <w:r w:rsidR="004047B3" w:rsidRPr="00AE031E">
        <w:rPr>
          <w:rFonts w:ascii="Arial" w:hAnsi="Arial" w:cs="Arial"/>
          <w:bCs/>
        </w:rPr>
        <w:t xml:space="preserve"> Thes</w:t>
      </w:r>
      <w:r w:rsidRPr="00AE031E">
        <w:rPr>
          <w:rFonts w:ascii="Arial" w:hAnsi="Arial" w:cs="Arial"/>
          <w:bCs/>
        </w:rPr>
        <w:t>e</w:t>
      </w:r>
      <w:r w:rsidR="0060613B" w:rsidRPr="00AE031E">
        <w:rPr>
          <w:rFonts w:ascii="Arial" w:hAnsi="Arial" w:cs="Arial"/>
          <w:bCs/>
        </w:rPr>
        <w:t xml:space="preserve"> two schemes are in their delivery phase and will be completed in the first quarter of 2022</w:t>
      </w:r>
      <w:r w:rsidRPr="00AE031E">
        <w:rPr>
          <w:rFonts w:ascii="Arial" w:hAnsi="Arial" w:cs="Arial"/>
          <w:bCs/>
        </w:rPr>
        <w:t>.</w:t>
      </w:r>
    </w:p>
    <w:p w14:paraId="6EDE12A2" w14:textId="77777777" w:rsidR="003D5AE6" w:rsidRPr="00AE031E" w:rsidRDefault="00E856BF" w:rsidP="00E412EA">
      <w:pPr>
        <w:rPr>
          <w:rFonts w:ascii="Arial" w:hAnsi="Arial" w:cs="Arial"/>
          <w:bCs/>
        </w:rPr>
      </w:pPr>
      <w:r w:rsidRPr="00AE031E">
        <w:rPr>
          <w:rFonts w:ascii="Arial" w:hAnsi="Arial" w:cs="Arial"/>
          <w:bCs/>
        </w:rPr>
        <w:t>The residual</w:t>
      </w:r>
      <w:r w:rsidR="004047B3" w:rsidRPr="00AE031E">
        <w:rPr>
          <w:rFonts w:ascii="Arial" w:hAnsi="Arial" w:cs="Arial"/>
          <w:bCs/>
        </w:rPr>
        <w:t xml:space="preserve"> Getting Building Fund</w:t>
      </w:r>
      <w:r w:rsidRPr="00AE031E">
        <w:rPr>
          <w:rFonts w:ascii="Arial" w:hAnsi="Arial" w:cs="Arial"/>
          <w:bCs/>
        </w:rPr>
        <w:t xml:space="preserve"> amount</w:t>
      </w:r>
      <w:r w:rsidR="0060613B" w:rsidRPr="00AE031E">
        <w:rPr>
          <w:rFonts w:ascii="Arial" w:hAnsi="Arial" w:cs="Arial"/>
          <w:bCs/>
        </w:rPr>
        <w:t xml:space="preserve"> of £1,393,803 was</w:t>
      </w:r>
      <w:r w:rsidR="004047B3" w:rsidRPr="00AE031E">
        <w:rPr>
          <w:rFonts w:ascii="Arial" w:hAnsi="Arial" w:cs="Arial"/>
          <w:bCs/>
        </w:rPr>
        <w:t xml:space="preserve"> aligned to the four City Council schemes of Spode No 5, Swann House, Longton Town Hall and </w:t>
      </w:r>
      <w:proofErr w:type="spellStart"/>
      <w:r w:rsidR="004047B3" w:rsidRPr="00AE031E">
        <w:rPr>
          <w:rFonts w:ascii="Arial" w:hAnsi="Arial" w:cs="Arial"/>
          <w:bCs/>
        </w:rPr>
        <w:t>CoRE</w:t>
      </w:r>
      <w:proofErr w:type="spellEnd"/>
      <w:r w:rsidR="00B60BF2" w:rsidRPr="00AE031E">
        <w:rPr>
          <w:rFonts w:ascii="Arial" w:hAnsi="Arial" w:cs="Arial"/>
          <w:bCs/>
        </w:rPr>
        <w:t>.  The works cost breakdown for the whole programme</w:t>
      </w:r>
      <w:r w:rsidR="0060613B" w:rsidRPr="00AE031E">
        <w:rPr>
          <w:rFonts w:ascii="Arial" w:hAnsi="Arial" w:cs="Arial"/>
          <w:bCs/>
        </w:rPr>
        <w:t xml:space="preserve"> is</w:t>
      </w:r>
      <w:r w:rsidR="004047B3" w:rsidRPr="00AE031E">
        <w:rPr>
          <w:rFonts w:ascii="Arial" w:hAnsi="Arial" w:cs="Arial"/>
          <w:bCs/>
        </w:rPr>
        <w:t xml:space="preserve"> identified in the table below</w:t>
      </w:r>
      <w:r w:rsidR="003D5AE6" w:rsidRPr="00AE031E">
        <w:rPr>
          <w:rFonts w:ascii="Arial" w:hAnsi="Arial" w:cs="Arial"/>
          <w:bCs/>
        </w:rPr>
        <w:t>;</w:t>
      </w:r>
      <w:r w:rsidR="003D5AE6" w:rsidRPr="00AE031E">
        <w:rPr>
          <w:rFonts w:ascii="Arial" w:hAnsi="Arial" w:cs="Arial"/>
        </w:rPr>
        <w:fldChar w:fldCharType="begin"/>
      </w:r>
      <w:r w:rsidR="003D5AE6" w:rsidRPr="00AE031E">
        <w:rPr>
          <w:rFonts w:ascii="Arial" w:hAnsi="Arial" w:cs="Arial"/>
        </w:rPr>
        <w:instrText xml:space="preserve"> LINK Excel.Sheet.12 "Book1" "Sheet1!R4C1:R12C2" \a \f 4 \h </w:instrText>
      </w:r>
      <w:r w:rsidR="00B60BF2" w:rsidRPr="00AE031E">
        <w:rPr>
          <w:rFonts w:ascii="Arial" w:hAnsi="Arial" w:cs="Arial"/>
        </w:rPr>
        <w:instrText xml:space="preserve"> \* MERGEFORMAT </w:instrText>
      </w:r>
      <w:r w:rsidR="003D5AE6" w:rsidRPr="00AE031E">
        <w:rPr>
          <w:rFonts w:ascii="Arial" w:hAnsi="Arial" w:cs="Arial"/>
        </w:rPr>
        <w:fldChar w:fldCharType="separate"/>
      </w:r>
    </w:p>
    <w:tbl>
      <w:tblPr>
        <w:tblW w:w="6960" w:type="dxa"/>
        <w:jc w:val="center"/>
        <w:tblLook w:val="04A0" w:firstRow="1" w:lastRow="0" w:firstColumn="1" w:lastColumn="0" w:noHBand="0" w:noVBand="1"/>
      </w:tblPr>
      <w:tblGrid>
        <w:gridCol w:w="4540"/>
        <w:gridCol w:w="2420"/>
      </w:tblGrid>
      <w:tr w:rsidR="003D5AE6" w:rsidRPr="00AE031E" w14:paraId="6EDE12A5" w14:textId="77777777" w:rsidTr="003D5AE6">
        <w:trPr>
          <w:trHeight w:val="375"/>
          <w:jc w:val="center"/>
        </w:trPr>
        <w:tc>
          <w:tcPr>
            <w:tcW w:w="4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DE12A3" w14:textId="77777777" w:rsidR="003D5AE6" w:rsidRPr="00AE031E" w:rsidRDefault="003D5AE6" w:rsidP="003D5AE6">
            <w:pPr>
              <w:spacing w:after="0" w:line="240" w:lineRule="auto"/>
              <w:rPr>
                <w:rFonts w:ascii="Arial" w:eastAsia="Times New Roman" w:hAnsi="Arial" w:cs="Arial"/>
                <w:b/>
                <w:bCs/>
                <w:color w:val="000000"/>
                <w:lang w:eastAsia="en-GB"/>
              </w:rPr>
            </w:pPr>
            <w:r w:rsidRPr="00AE031E">
              <w:rPr>
                <w:rFonts w:ascii="Arial" w:eastAsia="Times New Roman" w:hAnsi="Arial" w:cs="Arial"/>
                <w:b/>
                <w:bCs/>
                <w:color w:val="000000"/>
                <w:lang w:eastAsia="en-GB"/>
              </w:rPr>
              <w:t>Works Breakdown</w:t>
            </w:r>
          </w:p>
        </w:tc>
        <w:tc>
          <w:tcPr>
            <w:tcW w:w="2420" w:type="dxa"/>
            <w:tcBorders>
              <w:top w:val="single" w:sz="4" w:space="0" w:color="auto"/>
              <w:left w:val="nil"/>
              <w:bottom w:val="single" w:sz="4" w:space="0" w:color="auto"/>
              <w:right w:val="single" w:sz="4" w:space="0" w:color="auto"/>
            </w:tcBorders>
            <w:shd w:val="clear" w:color="000000" w:fill="D9D9D9"/>
            <w:noWrap/>
            <w:vAlign w:val="bottom"/>
            <w:hideMark/>
          </w:tcPr>
          <w:p w14:paraId="6EDE12A4" w14:textId="77777777" w:rsidR="003D5AE6" w:rsidRPr="00AE031E" w:rsidRDefault="003D5AE6" w:rsidP="003D5AE6">
            <w:pPr>
              <w:spacing w:after="0" w:line="240" w:lineRule="auto"/>
              <w:rPr>
                <w:rFonts w:ascii="Arial" w:eastAsia="Times New Roman" w:hAnsi="Arial" w:cs="Arial"/>
                <w:b/>
                <w:bCs/>
                <w:color w:val="000000"/>
                <w:lang w:eastAsia="en-GB"/>
              </w:rPr>
            </w:pPr>
            <w:r w:rsidRPr="00AE031E">
              <w:rPr>
                <w:rFonts w:ascii="Arial" w:eastAsia="Times New Roman" w:hAnsi="Arial" w:cs="Arial"/>
                <w:b/>
                <w:bCs/>
                <w:color w:val="000000"/>
                <w:lang w:eastAsia="en-GB"/>
              </w:rPr>
              <w:t>Costs (£)</w:t>
            </w:r>
          </w:p>
        </w:tc>
      </w:tr>
      <w:tr w:rsidR="003D5AE6" w:rsidRPr="00AE031E" w14:paraId="6EDE12A8" w14:textId="77777777" w:rsidTr="00B60BF2">
        <w:trPr>
          <w:trHeight w:val="201"/>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EDE12A6" w14:textId="77777777" w:rsidR="003D5AE6" w:rsidRPr="00AE031E" w:rsidRDefault="003D5AE6" w:rsidP="003D5AE6">
            <w:pPr>
              <w:spacing w:after="0" w:line="240" w:lineRule="auto"/>
              <w:rPr>
                <w:rFonts w:ascii="Arial" w:eastAsia="Times New Roman" w:hAnsi="Arial" w:cs="Arial"/>
                <w:color w:val="000000"/>
                <w:lang w:eastAsia="en-GB"/>
              </w:rPr>
            </w:pPr>
            <w:r w:rsidRPr="00AE031E">
              <w:rPr>
                <w:rFonts w:ascii="Arial" w:eastAsia="Times New Roman" w:hAnsi="Arial" w:cs="Arial"/>
                <w:color w:val="000000"/>
                <w:lang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EDE12A7" w14:textId="77777777" w:rsidR="003D5AE6" w:rsidRPr="00AE031E" w:rsidRDefault="003D5AE6" w:rsidP="003D5AE6">
            <w:pPr>
              <w:spacing w:after="0" w:line="240" w:lineRule="auto"/>
              <w:rPr>
                <w:rFonts w:ascii="Arial" w:eastAsia="Times New Roman" w:hAnsi="Arial" w:cs="Arial"/>
                <w:color w:val="000000"/>
                <w:lang w:eastAsia="en-GB"/>
              </w:rPr>
            </w:pPr>
            <w:r w:rsidRPr="00AE031E">
              <w:rPr>
                <w:rFonts w:ascii="Arial" w:eastAsia="Times New Roman" w:hAnsi="Arial" w:cs="Arial"/>
                <w:color w:val="000000"/>
                <w:lang w:eastAsia="en-GB"/>
              </w:rPr>
              <w:t> </w:t>
            </w:r>
          </w:p>
        </w:tc>
      </w:tr>
      <w:tr w:rsidR="003D5AE6" w:rsidRPr="00AE031E" w14:paraId="6EDE12AB" w14:textId="77777777" w:rsidTr="003D5AE6">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EDE12A9" w14:textId="77777777" w:rsidR="003D5AE6" w:rsidRPr="00AE031E" w:rsidRDefault="003D5AE6" w:rsidP="003D5AE6">
            <w:pPr>
              <w:spacing w:after="0" w:line="240" w:lineRule="auto"/>
              <w:rPr>
                <w:rFonts w:ascii="Arial" w:eastAsia="Times New Roman" w:hAnsi="Arial" w:cs="Arial"/>
                <w:color w:val="000000"/>
                <w:lang w:eastAsia="en-GB"/>
              </w:rPr>
            </w:pPr>
            <w:r w:rsidRPr="00AE031E">
              <w:rPr>
                <w:rFonts w:ascii="Arial" w:eastAsia="Times New Roman" w:hAnsi="Arial" w:cs="Arial"/>
                <w:color w:val="000000"/>
                <w:lang w:eastAsia="en-GB"/>
              </w:rPr>
              <w:t>CORE Building</w:t>
            </w:r>
          </w:p>
        </w:tc>
        <w:tc>
          <w:tcPr>
            <w:tcW w:w="2420" w:type="dxa"/>
            <w:tcBorders>
              <w:top w:val="nil"/>
              <w:left w:val="nil"/>
              <w:bottom w:val="single" w:sz="4" w:space="0" w:color="auto"/>
              <w:right w:val="single" w:sz="4" w:space="0" w:color="auto"/>
            </w:tcBorders>
            <w:shd w:val="clear" w:color="auto" w:fill="auto"/>
            <w:noWrap/>
            <w:vAlign w:val="bottom"/>
            <w:hideMark/>
          </w:tcPr>
          <w:p w14:paraId="6EDE12AA" w14:textId="77777777" w:rsidR="003D5AE6" w:rsidRPr="00AE031E" w:rsidRDefault="003D5AE6" w:rsidP="003D5AE6">
            <w:pPr>
              <w:spacing w:after="0" w:line="240" w:lineRule="auto"/>
              <w:jc w:val="right"/>
              <w:rPr>
                <w:rFonts w:ascii="Arial" w:eastAsia="Times New Roman" w:hAnsi="Arial" w:cs="Arial"/>
                <w:color w:val="000000"/>
                <w:lang w:eastAsia="en-GB"/>
              </w:rPr>
            </w:pPr>
            <w:r w:rsidRPr="00AE031E">
              <w:rPr>
                <w:rFonts w:ascii="Arial" w:eastAsia="Times New Roman" w:hAnsi="Arial" w:cs="Arial"/>
                <w:color w:val="000000"/>
                <w:lang w:eastAsia="en-GB"/>
              </w:rPr>
              <w:t>£157,127</w:t>
            </w:r>
          </w:p>
        </w:tc>
      </w:tr>
      <w:tr w:rsidR="003D5AE6" w:rsidRPr="00AE031E" w14:paraId="6EDE12AE" w14:textId="77777777" w:rsidTr="003D5AE6">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EDE12AC" w14:textId="77777777" w:rsidR="003D5AE6" w:rsidRPr="00AE031E" w:rsidRDefault="003D5AE6" w:rsidP="003D5AE6">
            <w:pPr>
              <w:spacing w:after="0" w:line="240" w:lineRule="auto"/>
              <w:rPr>
                <w:rFonts w:ascii="Arial" w:eastAsia="Times New Roman" w:hAnsi="Arial" w:cs="Arial"/>
                <w:color w:val="000000"/>
                <w:lang w:eastAsia="en-GB"/>
              </w:rPr>
            </w:pPr>
            <w:r w:rsidRPr="00AE031E">
              <w:rPr>
                <w:rFonts w:ascii="Arial" w:eastAsia="Times New Roman" w:hAnsi="Arial" w:cs="Arial"/>
                <w:color w:val="000000"/>
                <w:lang w:eastAsia="en-GB"/>
              </w:rPr>
              <w:t>Swann House Floor 1 Wing 1</w:t>
            </w:r>
          </w:p>
        </w:tc>
        <w:tc>
          <w:tcPr>
            <w:tcW w:w="2420" w:type="dxa"/>
            <w:tcBorders>
              <w:top w:val="nil"/>
              <w:left w:val="nil"/>
              <w:bottom w:val="single" w:sz="4" w:space="0" w:color="auto"/>
              <w:right w:val="single" w:sz="4" w:space="0" w:color="auto"/>
            </w:tcBorders>
            <w:shd w:val="clear" w:color="auto" w:fill="auto"/>
            <w:noWrap/>
            <w:vAlign w:val="bottom"/>
            <w:hideMark/>
          </w:tcPr>
          <w:p w14:paraId="6EDE12AD" w14:textId="77777777" w:rsidR="003D5AE6" w:rsidRPr="00AE031E" w:rsidRDefault="003D5AE6" w:rsidP="003D5AE6">
            <w:pPr>
              <w:spacing w:after="0" w:line="240" w:lineRule="auto"/>
              <w:jc w:val="right"/>
              <w:rPr>
                <w:rFonts w:ascii="Arial" w:eastAsia="Times New Roman" w:hAnsi="Arial" w:cs="Arial"/>
                <w:color w:val="000000"/>
                <w:lang w:eastAsia="en-GB"/>
              </w:rPr>
            </w:pPr>
            <w:r w:rsidRPr="00AE031E">
              <w:rPr>
                <w:rFonts w:ascii="Arial" w:eastAsia="Times New Roman" w:hAnsi="Arial" w:cs="Arial"/>
                <w:color w:val="000000"/>
                <w:lang w:eastAsia="en-GB"/>
              </w:rPr>
              <w:t>£316,481</w:t>
            </w:r>
          </w:p>
        </w:tc>
      </w:tr>
      <w:tr w:rsidR="003D5AE6" w:rsidRPr="00AE031E" w14:paraId="6EDE12B1" w14:textId="77777777" w:rsidTr="003D5AE6">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EDE12AF" w14:textId="77777777" w:rsidR="003D5AE6" w:rsidRPr="00AE031E" w:rsidRDefault="003D5AE6" w:rsidP="003D5AE6">
            <w:pPr>
              <w:spacing w:after="0" w:line="240" w:lineRule="auto"/>
              <w:rPr>
                <w:rFonts w:ascii="Arial" w:eastAsia="Times New Roman" w:hAnsi="Arial" w:cs="Arial"/>
                <w:color w:val="000000"/>
                <w:lang w:eastAsia="en-GB"/>
              </w:rPr>
            </w:pPr>
            <w:r w:rsidRPr="00AE031E">
              <w:rPr>
                <w:rFonts w:ascii="Arial" w:eastAsia="Times New Roman" w:hAnsi="Arial" w:cs="Arial"/>
                <w:color w:val="000000"/>
                <w:lang w:eastAsia="en-GB"/>
              </w:rPr>
              <w:t>Spode Building 5</w:t>
            </w:r>
          </w:p>
        </w:tc>
        <w:tc>
          <w:tcPr>
            <w:tcW w:w="2420" w:type="dxa"/>
            <w:tcBorders>
              <w:top w:val="nil"/>
              <w:left w:val="nil"/>
              <w:bottom w:val="single" w:sz="4" w:space="0" w:color="auto"/>
              <w:right w:val="single" w:sz="4" w:space="0" w:color="auto"/>
            </w:tcBorders>
            <w:shd w:val="clear" w:color="auto" w:fill="auto"/>
            <w:noWrap/>
            <w:vAlign w:val="bottom"/>
            <w:hideMark/>
          </w:tcPr>
          <w:p w14:paraId="6EDE12B0" w14:textId="77777777" w:rsidR="003D5AE6" w:rsidRPr="00AE031E" w:rsidRDefault="003D5AE6" w:rsidP="003D5AE6">
            <w:pPr>
              <w:spacing w:after="0" w:line="240" w:lineRule="auto"/>
              <w:jc w:val="right"/>
              <w:rPr>
                <w:rFonts w:ascii="Arial" w:eastAsia="Times New Roman" w:hAnsi="Arial" w:cs="Arial"/>
                <w:color w:val="000000"/>
                <w:lang w:eastAsia="en-GB"/>
              </w:rPr>
            </w:pPr>
            <w:r w:rsidRPr="00AE031E">
              <w:rPr>
                <w:rFonts w:ascii="Arial" w:eastAsia="Times New Roman" w:hAnsi="Arial" w:cs="Arial"/>
                <w:color w:val="000000"/>
                <w:lang w:eastAsia="en-GB"/>
              </w:rPr>
              <w:t>£1,110,980</w:t>
            </w:r>
          </w:p>
        </w:tc>
      </w:tr>
      <w:tr w:rsidR="003D5AE6" w:rsidRPr="00AE031E" w14:paraId="6EDE12B4" w14:textId="77777777" w:rsidTr="003D5AE6">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EDE12B2" w14:textId="77777777" w:rsidR="003D5AE6" w:rsidRPr="00AE031E" w:rsidRDefault="003D5AE6" w:rsidP="003D5AE6">
            <w:pPr>
              <w:spacing w:after="0" w:line="240" w:lineRule="auto"/>
              <w:rPr>
                <w:rFonts w:ascii="Arial" w:eastAsia="Times New Roman" w:hAnsi="Arial" w:cs="Arial"/>
                <w:color w:val="000000"/>
                <w:lang w:eastAsia="en-GB"/>
              </w:rPr>
            </w:pPr>
            <w:r w:rsidRPr="00AE031E">
              <w:rPr>
                <w:rFonts w:ascii="Arial" w:eastAsia="Times New Roman" w:hAnsi="Arial" w:cs="Arial"/>
                <w:color w:val="000000"/>
                <w:lang w:eastAsia="en-GB"/>
              </w:rPr>
              <w:t>Longton Town Hall</w:t>
            </w:r>
          </w:p>
        </w:tc>
        <w:tc>
          <w:tcPr>
            <w:tcW w:w="2420" w:type="dxa"/>
            <w:tcBorders>
              <w:top w:val="nil"/>
              <w:left w:val="nil"/>
              <w:bottom w:val="single" w:sz="4" w:space="0" w:color="auto"/>
              <w:right w:val="single" w:sz="4" w:space="0" w:color="auto"/>
            </w:tcBorders>
            <w:shd w:val="clear" w:color="auto" w:fill="auto"/>
            <w:noWrap/>
            <w:vAlign w:val="bottom"/>
            <w:hideMark/>
          </w:tcPr>
          <w:p w14:paraId="6EDE12B3" w14:textId="77777777" w:rsidR="003D5AE6" w:rsidRPr="00AE031E" w:rsidRDefault="003D5AE6" w:rsidP="003D5AE6">
            <w:pPr>
              <w:spacing w:after="0" w:line="240" w:lineRule="auto"/>
              <w:jc w:val="right"/>
              <w:rPr>
                <w:rFonts w:ascii="Arial" w:eastAsia="Times New Roman" w:hAnsi="Arial" w:cs="Arial"/>
                <w:color w:val="000000"/>
                <w:lang w:eastAsia="en-GB"/>
              </w:rPr>
            </w:pPr>
            <w:r w:rsidRPr="00AE031E">
              <w:rPr>
                <w:rFonts w:ascii="Arial" w:eastAsia="Times New Roman" w:hAnsi="Arial" w:cs="Arial"/>
                <w:color w:val="000000"/>
                <w:lang w:eastAsia="en-GB"/>
              </w:rPr>
              <w:t>£655,131</w:t>
            </w:r>
          </w:p>
        </w:tc>
      </w:tr>
      <w:tr w:rsidR="003D5AE6" w:rsidRPr="00AE031E" w14:paraId="6EDE12B7" w14:textId="77777777" w:rsidTr="003D5AE6">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EDE12B5" w14:textId="77777777" w:rsidR="003D5AE6" w:rsidRPr="00AE031E" w:rsidRDefault="003D5AE6" w:rsidP="003D5AE6">
            <w:pPr>
              <w:spacing w:after="0" w:line="240" w:lineRule="auto"/>
              <w:rPr>
                <w:rFonts w:ascii="Arial" w:eastAsia="Times New Roman" w:hAnsi="Arial" w:cs="Arial"/>
                <w:color w:val="000000"/>
                <w:lang w:eastAsia="en-GB"/>
              </w:rPr>
            </w:pPr>
            <w:r w:rsidRPr="00AE031E">
              <w:rPr>
                <w:rFonts w:ascii="Arial" w:eastAsia="Times New Roman" w:hAnsi="Arial" w:cs="Arial"/>
                <w:color w:val="000000"/>
                <w:lang w:eastAsia="en-GB"/>
              </w:rPr>
              <w:t>Smithfield 2</w:t>
            </w:r>
          </w:p>
        </w:tc>
        <w:tc>
          <w:tcPr>
            <w:tcW w:w="2420" w:type="dxa"/>
            <w:tcBorders>
              <w:top w:val="nil"/>
              <w:left w:val="nil"/>
              <w:bottom w:val="single" w:sz="4" w:space="0" w:color="auto"/>
              <w:right w:val="single" w:sz="4" w:space="0" w:color="auto"/>
            </w:tcBorders>
            <w:shd w:val="clear" w:color="auto" w:fill="auto"/>
            <w:noWrap/>
            <w:vAlign w:val="bottom"/>
            <w:hideMark/>
          </w:tcPr>
          <w:p w14:paraId="6EDE12B6" w14:textId="77777777" w:rsidR="003D5AE6" w:rsidRPr="00AE031E" w:rsidRDefault="003D5AE6" w:rsidP="003D5AE6">
            <w:pPr>
              <w:spacing w:after="0" w:line="240" w:lineRule="auto"/>
              <w:jc w:val="right"/>
              <w:rPr>
                <w:rFonts w:ascii="Arial" w:eastAsia="Times New Roman" w:hAnsi="Arial" w:cs="Arial"/>
                <w:color w:val="000000"/>
                <w:lang w:eastAsia="en-GB"/>
              </w:rPr>
            </w:pPr>
            <w:r w:rsidRPr="00AE031E">
              <w:rPr>
                <w:rFonts w:ascii="Arial" w:eastAsia="Times New Roman" w:hAnsi="Arial" w:cs="Arial"/>
                <w:color w:val="000000"/>
                <w:lang w:eastAsia="en-GB"/>
              </w:rPr>
              <w:t>£463,937</w:t>
            </w:r>
          </w:p>
        </w:tc>
      </w:tr>
      <w:tr w:rsidR="003D5AE6" w:rsidRPr="00AE031E" w14:paraId="6EDE12BA" w14:textId="77777777" w:rsidTr="003D5AE6">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EDE12B8" w14:textId="77777777" w:rsidR="003D5AE6" w:rsidRPr="00AE031E" w:rsidRDefault="003D5AE6" w:rsidP="003D5AE6">
            <w:pPr>
              <w:spacing w:after="0" w:line="240" w:lineRule="auto"/>
              <w:rPr>
                <w:rFonts w:ascii="Arial" w:eastAsia="Times New Roman" w:hAnsi="Arial" w:cs="Arial"/>
                <w:color w:val="000000"/>
                <w:lang w:eastAsia="en-GB"/>
              </w:rPr>
            </w:pPr>
            <w:proofErr w:type="spellStart"/>
            <w:r w:rsidRPr="00AE031E">
              <w:rPr>
                <w:rFonts w:ascii="Arial" w:eastAsia="Times New Roman" w:hAnsi="Arial" w:cs="Arial"/>
                <w:color w:val="000000"/>
                <w:lang w:eastAsia="en-GB"/>
              </w:rPr>
              <w:t>Clayworks</w:t>
            </w:r>
            <w:proofErr w:type="spellEnd"/>
          </w:p>
        </w:tc>
        <w:tc>
          <w:tcPr>
            <w:tcW w:w="2420" w:type="dxa"/>
            <w:tcBorders>
              <w:top w:val="nil"/>
              <w:left w:val="nil"/>
              <w:bottom w:val="single" w:sz="4" w:space="0" w:color="auto"/>
              <w:right w:val="single" w:sz="4" w:space="0" w:color="auto"/>
            </w:tcBorders>
            <w:shd w:val="clear" w:color="auto" w:fill="auto"/>
            <w:noWrap/>
            <w:vAlign w:val="bottom"/>
            <w:hideMark/>
          </w:tcPr>
          <w:p w14:paraId="6EDE12B9" w14:textId="77777777" w:rsidR="003D5AE6" w:rsidRPr="00AE031E" w:rsidRDefault="003D5AE6" w:rsidP="003D5AE6">
            <w:pPr>
              <w:spacing w:after="0" w:line="240" w:lineRule="auto"/>
              <w:jc w:val="right"/>
              <w:rPr>
                <w:rFonts w:ascii="Arial" w:eastAsia="Times New Roman" w:hAnsi="Arial" w:cs="Arial"/>
                <w:color w:val="000000"/>
                <w:lang w:eastAsia="en-GB"/>
              </w:rPr>
            </w:pPr>
            <w:r w:rsidRPr="00AE031E">
              <w:rPr>
                <w:rFonts w:ascii="Arial" w:eastAsia="Times New Roman" w:hAnsi="Arial" w:cs="Arial"/>
                <w:color w:val="000000"/>
                <w:lang w:eastAsia="en-GB"/>
              </w:rPr>
              <w:t>£592,260</w:t>
            </w:r>
          </w:p>
        </w:tc>
      </w:tr>
      <w:tr w:rsidR="003D5AE6" w:rsidRPr="00AE031E" w14:paraId="6EDE12BD" w14:textId="77777777" w:rsidTr="003D5AE6">
        <w:trPr>
          <w:trHeight w:val="315"/>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EDE12BB" w14:textId="77777777" w:rsidR="003D5AE6" w:rsidRPr="00AE031E" w:rsidRDefault="003D5AE6" w:rsidP="003D5AE6">
            <w:pPr>
              <w:spacing w:after="0" w:line="240" w:lineRule="auto"/>
              <w:rPr>
                <w:rFonts w:ascii="Arial" w:eastAsia="Times New Roman" w:hAnsi="Arial" w:cs="Arial"/>
                <w:color w:val="000000"/>
                <w:lang w:eastAsia="en-GB"/>
              </w:rPr>
            </w:pPr>
            <w:r w:rsidRPr="00AE031E">
              <w:rPr>
                <w:rFonts w:ascii="Arial" w:eastAsia="Times New Roman" w:hAnsi="Arial" w:cs="Arial"/>
                <w:color w:val="000000"/>
                <w:lang w:eastAsia="en-GB"/>
              </w:rPr>
              <w:t>Totals</w:t>
            </w:r>
          </w:p>
        </w:tc>
        <w:tc>
          <w:tcPr>
            <w:tcW w:w="2420" w:type="dxa"/>
            <w:tcBorders>
              <w:top w:val="nil"/>
              <w:left w:val="nil"/>
              <w:bottom w:val="single" w:sz="4" w:space="0" w:color="auto"/>
              <w:right w:val="single" w:sz="4" w:space="0" w:color="auto"/>
            </w:tcBorders>
            <w:shd w:val="clear" w:color="auto" w:fill="auto"/>
            <w:noWrap/>
            <w:vAlign w:val="bottom"/>
            <w:hideMark/>
          </w:tcPr>
          <w:p w14:paraId="6EDE12BC" w14:textId="77777777" w:rsidR="003D5AE6" w:rsidRPr="00AE031E" w:rsidRDefault="003D5AE6" w:rsidP="003D5AE6">
            <w:pPr>
              <w:spacing w:after="0" w:line="240" w:lineRule="auto"/>
              <w:jc w:val="right"/>
              <w:rPr>
                <w:rFonts w:ascii="Arial" w:eastAsia="Times New Roman" w:hAnsi="Arial" w:cs="Arial"/>
                <w:color w:val="000000"/>
                <w:lang w:eastAsia="en-GB"/>
              </w:rPr>
            </w:pPr>
            <w:r w:rsidRPr="00AE031E">
              <w:rPr>
                <w:rFonts w:ascii="Arial" w:eastAsia="Times New Roman" w:hAnsi="Arial" w:cs="Arial"/>
                <w:color w:val="000000"/>
                <w:lang w:eastAsia="en-GB"/>
              </w:rPr>
              <w:t>£3,295,917</w:t>
            </w:r>
          </w:p>
        </w:tc>
      </w:tr>
    </w:tbl>
    <w:p w14:paraId="6EDE12BE" w14:textId="77777777" w:rsidR="004047B3" w:rsidRPr="00AE031E" w:rsidRDefault="003D5AE6" w:rsidP="00E412EA">
      <w:pPr>
        <w:rPr>
          <w:rFonts w:ascii="Arial" w:hAnsi="Arial" w:cs="Arial"/>
          <w:bCs/>
        </w:rPr>
      </w:pPr>
      <w:r w:rsidRPr="00AE031E">
        <w:rPr>
          <w:rFonts w:ascii="Arial" w:hAnsi="Arial" w:cs="Arial"/>
          <w:bCs/>
        </w:rPr>
        <w:fldChar w:fldCharType="end"/>
      </w:r>
    </w:p>
    <w:p w14:paraId="6EDE12BF" w14:textId="77777777" w:rsidR="006E0B24" w:rsidRPr="00AE031E" w:rsidRDefault="0060613B" w:rsidP="00E412EA">
      <w:pPr>
        <w:rPr>
          <w:rFonts w:ascii="Arial" w:hAnsi="Arial" w:cs="Arial"/>
          <w:bCs/>
        </w:rPr>
      </w:pPr>
      <w:r w:rsidRPr="00AE031E">
        <w:rPr>
          <w:rFonts w:ascii="Arial" w:hAnsi="Arial" w:cs="Arial"/>
          <w:bCs/>
        </w:rPr>
        <w:t>As referred to</w:t>
      </w:r>
      <w:r w:rsidR="003D5AE6" w:rsidRPr="00AE031E">
        <w:rPr>
          <w:rFonts w:ascii="Arial" w:hAnsi="Arial" w:cs="Arial"/>
          <w:bCs/>
        </w:rPr>
        <w:t xml:space="preserve"> above since the business case</w:t>
      </w:r>
      <w:r w:rsidR="00B60BF2" w:rsidRPr="00AE031E">
        <w:rPr>
          <w:rFonts w:ascii="Arial" w:hAnsi="Arial" w:cs="Arial"/>
          <w:bCs/>
        </w:rPr>
        <w:t xml:space="preserve"> was approved there has been significant escalation of prices in some areas of the construction sector</w:t>
      </w:r>
      <w:r w:rsidR="00704465">
        <w:rPr>
          <w:rFonts w:ascii="Arial" w:hAnsi="Arial" w:cs="Arial"/>
          <w:bCs/>
        </w:rPr>
        <w:t xml:space="preserve">.  In addition </w:t>
      </w:r>
      <w:r w:rsidR="006E0B24" w:rsidRPr="00AE031E">
        <w:rPr>
          <w:rFonts w:ascii="Arial" w:hAnsi="Arial" w:cs="Arial"/>
          <w:bCs/>
        </w:rPr>
        <w:t>the tender return for Spode Building No 5</w:t>
      </w:r>
      <w:r w:rsidR="00704465">
        <w:rPr>
          <w:rFonts w:ascii="Arial" w:hAnsi="Arial" w:cs="Arial"/>
          <w:bCs/>
        </w:rPr>
        <w:t xml:space="preserve"> saw a significant increase, some due to price inflation and some following detailed structural surveys, additional drainage requirements and more mechanical and electrical works than originally envisaged</w:t>
      </w:r>
      <w:r w:rsidR="00D55365" w:rsidRPr="00AE031E">
        <w:rPr>
          <w:rFonts w:ascii="Arial" w:hAnsi="Arial" w:cs="Arial"/>
          <w:bCs/>
        </w:rPr>
        <w:t xml:space="preserve">. </w:t>
      </w:r>
      <w:r w:rsidR="006E0B24" w:rsidRPr="00AE031E">
        <w:rPr>
          <w:rFonts w:ascii="Arial" w:hAnsi="Arial" w:cs="Arial"/>
          <w:bCs/>
        </w:rPr>
        <w:t xml:space="preserve"> In mitigating some of the cost increases the City Council has been able to secure an additional grant totalling £247,000 from Historic England, specifically for works to Spode Building No 5.</w:t>
      </w:r>
    </w:p>
    <w:p w14:paraId="6EDE12C0" w14:textId="77777777" w:rsidR="006E0B24" w:rsidRPr="00AE031E" w:rsidRDefault="006E0B24" w:rsidP="00E412EA">
      <w:pPr>
        <w:rPr>
          <w:rFonts w:ascii="Arial" w:hAnsi="Arial" w:cs="Arial"/>
          <w:bCs/>
        </w:rPr>
      </w:pPr>
      <w:r w:rsidRPr="00AE031E">
        <w:rPr>
          <w:rFonts w:ascii="Arial" w:hAnsi="Arial" w:cs="Arial"/>
          <w:bCs/>
        </w:rPr>
        <w:lastRenderedPageBreak/>
        <w:t>However, taking all construction costs fees and associated costs into account there remains a budget shortfall of £133,465</w:t>
      </w:r>
    </w:p>
    <w:p w14:paraId="6EDE12C1" w14:textId="77777777" w:rsidR="006E0B24" w:rsidRPr="00AE031E" w:rsidRDefault="006E0B24" w:rsidP="006E0B24">
      <w:pPr>
        <w:rPr>
          <w:rFonts w:ascii="Arial" w:hAnsi="Arial" w:cs="Arial"/>
          <w:bCs/>
        </w:rPr>
      </w:pPr>
      <w:r w:rsidRPr="00AE031E">
        <w:rPr>
          <w:rFonts w:ascii="Arial" w:hAnsi="Arial" w:cs="Arial"/>
          <w:noProof/>
          <w:lang w:eastAsia="en-GB"/>
        </w:rPr>
        <w:drawing>
          <wp:inline distT="0" distB="0" distL="0" distR="0" wp14:anchorId="6EDE1325" wp14:editId="6EDE1326">
            <wp:extent cx="5731510" cy="2000250"/>
            <wp:effectExtent l="0" t="0" r="2540" b="0"/>
            <wp:docPr id="6" name="Picture 6" descr="cid:image001.png@01D7EC27.5DB5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EC27.5DB547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000250"/>
                    </a:xfrm>
                    <a:prstGeom prst="rect">
                      <a:avLst/>
                    </a:prstGeom>
                    <a:noFill/>
                    <a:ln>
                      <a:noFill/>
                    </a:ln>
                  </pic:spPr>
                </pic:pic>
              </a:graphicData>
            </a:graphic>
          </wp:inline>
        </w:drawing>
      </w:r>
      <w:r w:rsidR="00E856BF" w:rsidRPr="00AE031E">
        <w:rPr>
          <w:rFonts w:ascii="Arial" w:hAnsi="Arial" w:cs="Arial"/>
          <w:bCs/>
        </w:rPr>
        <w:t xml:space="preserve"> </w:t>
      </w:r>
    </w:p>
    <w:p w14:paraId="6EDE12C2" w14:textId="77777777" w:rsidR="00125D9C" w:rsidRPr="00AE031E" w:rsidRDefault="007040BC" w:rsidP="006E0B24">
      <w:pPr>
        <w:rPr>
          <w:rFonts w:ascii="Arial" w:eastAsia="Times New Roman" w:hAnsi="Arial" w:cs="Arial"/>
        </w:rPr>
      </w:pPr>
      <w:r w:rsidRPr="00AE031E">
        <w:rPr>
          <w:rFonts w:ascii="Arial" w:hAnsi="Arial" w:cs="Arial"/>
          <w:bCs/>
        </w:rPr>
        <w:t>The</w:t>
      </w:r>
      <w:r w:rsidR="0033234D" w:rsidRPr="00AE031E">
        <w:rPr>
          <w:rFonts w:ascii="Arial" w:hAnsi="Arial" w:cs="Arial"/>
          <w:bCs/>
        </w:rPr>
        <w:t xml:space="preserve"> Stoke-on-Trent City Council</w:t>
      </w:r>
      <w:r w:rsidRPr="00AE031E">
        <w:rPr>
          <w:rFonts w:ascii="Arial" w:hAnsi="Arial" w:cs="Arial"/>
          <w:bCs/>
        </w:rPr>
        <w:t xml:space="preserve"> delivery team consider that there are savings within each of the schemes that </w:t>
      </w:r>
      <w:r w:rsidRPr="00AE031E">
        <w:rPr>
          <w:rFonts w:ascii="Arial" w:hAnsi="Arial" w:cs="Arial"/>
          <w:b/>
          <w:bCs/>
          <w:u w:val="single"/>
        </w:rPr>
        <w:t>could</w:t>
      </w:r>
      <w:r w:rsidRPr="00AE031E">
        <w:rPr>
          <w:rFonts w:ascii="Arial" w:eastAsia="Times New Roman" w:hAnsi="Arial" w:cs="Arial"/>
          <w:b/>
          <w:u w:val="single"/>
        </w:rPr>
        <w:t xml:space="preserve"> </w:t>
      </w:r>
      <w:r w:rsidRPr="00AE031E">
        <w:rPr>
          <w:rFonts w:ascii="Arial" w:eastAsia="Times New Roman" w:hAnsi="Arial" w:cs="Arial"/>
        </w:rPr>
        <w:t xml:space="preserve">make up this shortfall in funding, however until the contractors have been appointed and value </w:t>
      </w:r>
      <w:r w:rsidR="00D049B0" w:rsidRPr="00AE031E">
        <w:rPr>
          <w:rFonts w:ascii="Arial" w:eastAsia="Times New Roman" w:hAnsi="Arial" w:cs="Arial"/>
        </w:rPr>
        <w:t>engineering exercises concluded</w:t>
      </w:r>
      <w:r w:rsidRPr="00AE031E">
        <w:rPr>
          <w:rFonts w:ascii="Arial" w:eastAsia="Times New Roman" w:hAnsi="Arial" w:cs="Arial"/>
        </w:rPr>
        <w:t xml:space="preserve"> this will not be known for sure.</w:t>
      </w:r>
    </w:p>
    <w:p w14:paraId="6EDE12C3" w14:textId="77777777" w:rsidR="007040BC" w:rsidRPr="00AE031E" w:rsidRDefault="007040BC" w:rsidP="006E0B24">
      <w:pPr>
        <w:rPr>
          <w:rFonts w:ascii="Arial" w:eastAsia="Times New Roman" w:hAnsi="Arial" w:cs="Arial"/>
          <w:b/>
        </w:rPr>
      </w:pPr>
      <w:r w:rsidRPr="00AE031E">
        <w:rPr>
          <w:rFonts w:ascii="Arial" w:eastAsia="Times New Roman" w:hAnsi="Arial" w:cs="Arial"/>
          <w:b/>
        </w:rPr>
        <w:t>Proposal</w:t>
      </w:r>
    </w:p>
    <w:p w14:paraId="6EDE12C4" w14:textId="77777777" w:rsidR="007040BC" w:rsidRPr="00AE031E" w:rsidRDefault="007040BC" w:rsidP="006E0B24">
      <w:pPr>
        <w:rPr>
          <w:rFonts w:ascii="Arial" w:hAnsi="Arial" w:cs="Arial"/>
          <w:bCs/>
        </w:rPr>
      </w:pPr>
      <w:r w:rsidRPr="00AE031E">
        <w:rPr>
          <w:rFonts w:ascii="Arial" w:eastAsia="Times New Roman" w:hAnsi="Arial" w:cs="Arial"/>
        </w:rPr>
        <w:t xml:space="preserve">As a result the proposal is to, in addition to progressing with </w:t>
      </w:r>
      <w:proofErr w:type="spellStart"/>
      <w:r w:rsidRPr="00AE031E">
        <w:rPr>
          <w:rFonts w:ascii="Arial" w:eastAsia="Times New Roman" w:hAnsi="Arial" w:cs="Arial"/>
        </w:rPr>
        <w:t>Clayworks</w:t>
      </w:r>
      <w:proofErr w:type="spellEnd"/>
      <w:r w:rsidRPr="00AE031E">
        <w:rPr>
          <w:rFonts w:ascii="Arial" w:eastAsia="Times New Roman" w:hAnsi="Arial" w:cs="Arial"/>
        </w:rPr>
        <w:t xml:space="preserve"> and Smithfield 2, also progress with Spode No 5, Swann House, and Longton Town Hall and hold back on the </w:t>
      </w:r>
      <w:proofErr w:type="spellStart"/>
      <w:r w:rsidRPr="00AE031E">
        <w:rPr>
          <w:rFonts w:ascii="Arial" w:eastAsia="Times New Roman" w:hAnsi="Arial" w:cs="Arial"/>
        </w:rPr>
        <w:t>CoRE</w:t>
      </w:r>
      <w:proofErr w:type="spellEnd"/>
      <w:r w:rsidRPr="00AE031E">
        <w:rPr>
          <w:rFonts w:ascii="Arial" w:eastAsia="Times New Roman" w:hAnsi="Arial" w:cs="Arial"/>
        </w:rPr>
        <w:t xml:space="preserve"> project until it is clear that an affordable scheme can be delivered.</w:t>
      </w:r>
      <w:r w:rsidR="00EB7503" w:rsidRPr="00AE031E">
        <w:rPr>
          <w:rFonts w:ascii="Arial" w:eastAsia="Times New Roman" w:hAnsi="Arial" w:cs="Arial"/>
        </w:rPr>
        <w:t xml:space="preserve">  </w:t>
      </w:r>
      <w:proofErr w:type="spellStart"/>
      <w:r w:rsidR="00EB7503" w:rsidRPr="00AE031E">
        <w:rPr>
          <w:rFonts w:ascii="Arial" w:eastAsia="Times New Roman" w:hAnsi="Arial" w:cs="Arial"/>
        </w:rPr>
        <w:t>CoRE</w:t>
      </w:r>
      <w:proofErr w:type="spellEnd"/>
      <w:r w:rsidR="00EB7503" w:rsidRPr="00AE031E">
        <w:rPr>
          <w:rFonts w:ascii="Arial" w:eastAsia="Times New Roman" w:hAnsi="Arial" w:cs="Arial"/>
        </w:rPr>
        <w:t xml:space="preserve"> has been selected to hold back on as it is the least complex of all the projects and has the lowest capital investment necessary and it is considered that the </w:t>
      </w:r>
      <w:proofErr w:type="spellStart"/>
      <w:r w:rsidR="00EB7503" w:rsidRPr="00AE031E">
        <w:rPr>
          <w:rFonts w:ascii="Arial" w:eastAsia="Times New Roman" w:hAnsi="Arial" w:cs="Arial"/>
        </w:rPr>
        <w:t>CoRE</w:t>
      </w:r>
      <w:proofErr w:type="spellEnd"/>
      <w:r w:rsidR="00EB7503" w:rsidRPr="00AE031E">
        <w:rPr>
          <w:rFonts w:ascii="Arial" w:eastAsia="Times New Roman" w:hAnsi="Arial" w:cs="Arial"/>
        </w:rPr>
        <w:t xml:space="preserve"> element could be delivered even with a smaller capital investment</w:t>
      </w:r>
      <w:r w:rsidR="00E05E97" w:rsidRPr="00AE031E">
        <w:rPr>
          <w:rFonts w:ascii="Arial" w:eastAsia="Times New Roman" w:hAnsi="Arial" w:cs="Arial"/>
        </w:rPr>
        <w:t>.</w:t>
      </w:r>
      <w:r w:rsidRPr="00AE031E">
        <w:rPr>
          <w:rFonts w:ascii="Arial" w:eastAsia="Times New Roman" w:hAnsi="Arial" w:cs="Arial"/>
        </w:rPr>
        <w:t xml:space="preserve"> </w:t>
      </w:r>
      <w:r w:rsidR="00D049B0" w:rsidRPr="00AE031E">
        <w:rPr>
          <w:rFonts w:ascii="Arial" w:eastAsia="Times New Roman" w:hAnsi="Arial" w:cs="Arial"/>
        </w:rPr>
        <w:t xml:space="preserve">The smaller </w:t>
      </w:r>
      <w:proofErr w:type="spellStart"/>
      <w:r w:rsidR="00D049B0" w:rsidRPr="00AE031E">
        <w:rPr>
          <w:rFonts w:ascii="Arial" w:eastAsia="Times New Roman" w:hAnsi="Arial" w:cs="Arial"/>
        </w:rPr>
        <w:t>CoRE</w:t>
      </w:r>
      <w:proofErr w:type="spellEnd"/>
      <w:r w:rsidR="00D049B0" w:rsidRPr="00AE031E">
        <w:rPr>
          <w:rFonts w:ascii="Arial" w:eastAsia="Times New Roman" w:hAnsi="Arial" w:cs="Arial"/>
        </w:rPr>
        <w:t xml:space="preserve"> projects can be held back until </w:t>
      </w:r>
      <w:proofErr w:type="spellStart"/>
      <w:r w:rsidR="00D049B0" w:rsidRPr="00AE031E">
        <w:rPr>
          <w:rFonts w:ascii="Arial" w:eastAsia="Times New Roman" w:hAnsi="Arial" w:cs="Arial"/>
        </w:rPr>
        <w:t>mid January</w:t>
      </w:r>
      <w:proofErr w:type="spellEnd"/>
      <w:r w:rsidR="00D049B0" w:rsidRPr="00AE031E">
        <w:rPr>
          <w:rFonts w:ascii="Arial" w:eastAsia="Times New Roman" w:hAnsi="Arial" w:cs="Arial"/>
        </w:rPr>
        <w:t xml:space="preserve"> which would </w:t>
      </w:r>
      <w:r w:rsidR="00FB6CB3">
        <w:rPr>
          <w:rFonts w:ascii="Arial" w:eastAsia="Times New Roman" w:hAnsi="Arial" w:cs="Arial"/>
        </w:rPr>
        <w:t xml:space="preserve">still </w:t>
      </w:r>
      <w:r w:rsidR="00D049B0" w:rsidRPr="00AE031E">
        <w:rPr>
          <w:rFonts w:ascii="Arial" w:eastAsia="Times New Roman" w:hAnsi="Arial" w:cs="Arial"/>
        </w:rPr>
        <w:t xml:space="preserve">enable its completion by the March 22 date if it were to progress. </w:t>
      </w:r>
    </w:p>
    <w:tbl>
      <w:tblPr>
        <w:tblStyle w:val="TableGrid"/>
        <w:tblW w:w="0" w:type="auto"/>
        <w:tblLook w:val="04A0" w:firstRow="1" w:lastRow="0" w:firstColumn="1" w:lastColumn="0" w:noHBand="0" w:noVBand="1"/>
      </w:tblPr>
      <w:tblGrid>
        <w:gridCol w:w="2518"/>
        <w:gridCol w:w="1701"/>
        <w:gridCol w:w="1701"/>
        <w:gridCol w:w="1701"/>
        <w:gridCol w:w="1621"/>
      </w:tblGrid>
      <w:tr w:rsidR="00D049B0" w:rsidRPr="00AE031E" w14:paraId="6EDE12CA" w14:textId="77777777" w:rsidTr="00D971FB">
        <w:tc>
          <w:tcPr>
            <w:tcW w:w="2518" w:type="dxa"/>
            <w:shd w:val="clear" w:color="auto" w:fill="D9E2F3" w:themeFill="accent1" w:themeFillTint="33"/>
          </w:tcPr>
          <w:p w14:paraId="6EDE12C5" w14:textId="77777777" w:rsidR="00D049B0" w:rsidRPr="00AE031E" w:rsidRDefault="00D049B0" w:rsidP="00D971FB">
            <w:pPr>
              <w:rPr>
                <w:rFonts w:ascii="Arial" w:hAnsi="Arial" w:cs="Arial"/>
                <w:b/>
              </w:rPr>
            </w:pPr>
            <w:proofErr w:type="spellStart"/>
            <w:r w:rsidRPr="00AE031E">
              <w:rPr>
                <w:rFonts w:ascii="Arial" w:hAnsi="Arial" w:cs="Arial"/>
                <w:b/>
              </w:rPr>
              <w:t>CoRE</w:t>
            </w:r>
            <w:proofErr w:type="spellEnd"/>
          </w:p>
        </w:tc>
        <w:tc>
          <w:tcPr>
            <w:tcW w:w="1701" w:type="dxa"/>
            <w:shd w:val="clear" w:color="auto" w:fill="D9E2F3" w:themeFill="accent1" w:themeFillTint="33"/>
          </w:tcPr>
          <w:p w14:paraId="6EDE12C6" w14:textId="77777777" w:rsidR="00D049B0" w:rsidRPr="00AE031E" w:rsidRDefault="00983C88" w:rsidP="00D971FB">
            <w:pPr>
              <w:rPr>
                <w:rFonts w:ascii="Arial" w:hAnsi="Arial" w:cs="Arial"/>
                <w:b/>
              </w:rPr>
            </w:pPr>
            <w:r>
              <w:rPr>
                <w:rFonts w:ascii="Arial" w:hAnsi="Arial" w:cs="Arial"/>
                <w:b/>
              </w:rPr>
              <w:t>21/22</w:t>
            </w:r>
          </w:p>
        </w:tc>
        <w:tc>
          <w:tcPr>
            <w:tcW w:w="1701" w:type="dxa"/>
            <w:shd w:val="clear" w:color="auto" w:fill="D9E2F3" w:themeFill="accent1" w:themeFillTint="33"/>
          </w:tcPr>
          <w:p w14:paraId="6EDE12C7" w14:textId="77777777" w:rsidR="00D049B0" w:rsidRPr="00AE031E" w:rsidRDefault="00983C88" w:rsidP="00D971FB">
            <w:pPr>
              <w:rPr>
                <w:rFonts w:ascii="Arial" w:hAnsi="Arial" w:cs="Arial"/>
                <w:b/>
              </w:rPr>
            </w:pPr>
            <w:proofErr w:type="spellStart"/>
            <w:r>
              <w:rPr>
                <w:rFonts w:ascii="Arial" w:hAnsi="Arial" w:cs="Arial"/>
                <w:b/>
              </w:rPr>
              <w:t>Yr</w:t>
            </w:r>
            <w:proofErr w:type="spellEnd"/>
            <w:r>
              <w:rPr>
                <w:rFonts w:ascii="Arial" w:hAnsi="Arial" w:cs="Arial"/>
                <w:b/>
              </w:rPr>
              <w:t xml:space="preserve"> 2</w:t>
            </w:r>
          </w:p>
        </w:tc>
        <w:tc>
          <w:tcPr>
            <w:tcW w:w="1701" w:type="dxa"/>
            <w:shd w:val="clear" w:color="auto" w:fill="D9E2F3" w:themeFill="accent1" w:themeFillTint="33"/>
          </w:tcPr>
          <w:p w14:paraId="6EDE12C8" w14:textId="77777777" w:rsidR="00D049B0" w:rsidRPr="00AE031E" w:rsidRDefault="00983C88" w:rsidP="00D971FB">
            <w:pPr>
              <w:rPr>
                <w:rFonts w:ascii="Arial" w:hAnsi="Arial" w:cs="Arial"/>
                <w:b/>
              </w:rPr>
            </w:pPr>
            <w:proofErr w:type="spellStart"/>
            <w:r>
              <w:rPr>
                <w:rFonts w:ascii="Arial" w:hAnsi="Arial" w:cs="Arial"/>
                <w:b/>
              </w:rPr>
              <w:t>Yr</w:t>
            </w:r>
            <w:proofErr w:type="spellEnd"/>
            <w:r>
              <w:rPr>
                <w:rFonts w:ascii="Arial" w:hAnsi="Arial" w:cs="Arial"/>
                <w:b/>
              </w:rPr>
              <w:t xml:space="preserve"> 3</w:t>
            </w:r>
          </w:p>
        </w:tc>
        <w:tc>
          <w:tcPr>
            <w:tcW w:w="1621" w:type="dxa"/>
            <w:shd w:val="clear" w:color="auto" w:fill="D9E2F3" w:themeFill="accent1" w:themeFillTint="33"/>
          </w:tcPr>
          <w:p w14:paraId="6EDE12C9" w14:textId="77777777" w:rsidR="00D049B0" w:rsidRPr="00AE031E" w:rsidRDefault="00983C88" w:rsidP="00D971FB">
            <w:pPr>
              <w:rPr>
                <w:rFonts w:ascii="Arial" w:hAnsi="Arial" w:cs="Arial"/>
                <w:b/>
              </w:rPr>
            </w:pPr>
            <w:r>
              <w:rPr>
                <w:rFonts w:ascii="Arial" w:hAnsi="Arial" w:cs="Arial"/>
                <w:b/>
              </w:rPr>
              <w:t>Total</w:t>
            </w:r>
          </w:p>
        </w:tc>
      </w:tr>
      <w:tr w:rsidR="00D049B0" w:rsidRPr="00AE031E" w14:paraId="6EDE12D0" w14:textId="77777777" w:rsidTr="00D971FB">
        <w:tc>
          <w:tcPr>
            <w:tcW w:w="2518" w:type="dxa"/>
          </w:tcPr>
          <w:p w14:paraId="6EDE12CB" w14:textId="77777777" w:rsidR="00D049B0" w:rsidRPr="00AE031E" w:rsidRDefault="00D049B0" w:rsidP="00D971FB">
            <w:pPr>
              <w:rPr>
                <w:rFonts w:ascii="Arial" w:hAnsi="Arial" w:cs="Arial"/>
                <w:b/>
              </w:rPr>
            </w:pPr>
            <w:r w:rsidRPr="00AE031E">
              <w:rPr>
                <w:rFonts w:ascii="Arial" w:hAnsi="Arial" w:cs="Arial"/>
                <w:b/>
              </w:rPr>
              <w:t>Business Floorspace</w:t>
            </w:r>
          </w:p>
        </w:tc>
        <w:tc>
          <w:tcPr>
            <w:tcW w:w="1701" w:type="dxa"/>
          </w:tcPr>
          <w:p w14:paraId="6EDE12CC" w14:textId="77777777" w:rsidR="00D049B0" w:rsidRPr="00AE031E" w:rsidRDefault="00D049B0" w:rsidP="00D971FB">
            <w:pPr>
              <w:rPr>
                <w:rFonts w:ascii="Arial" w:hAnsi="Arial" w:cs="Arial"/>
                <w:b/>
              </w:rPr>
            </w:pPr>
            <w:r w:rsidRPr="00AE031E">
              <w:rPr>
                <w:rFonts w:ascii="Arial" w:hAnsi="Arial" w:cs="Arial"/>
                <w:b/>
              </w:rPr>
              <w:t>287</w:t>
            </w:r>
          </w:p>
        </w:tc>
        <w:tc>
          <w:tcPr>
            <w:tcW w:w="1701" w:type="dxa"/>
          </w:tcPr>
          <w:p w14:paraId="6EDE12CD" w14:textId="77777777" w:rsidR="00D049B0" w:rsidRPr="00AE031E" w:rsidRDefault="00D049B0" w:rsidP="00D971FB">
            <w:pPr>
              <w:rPr>
                <w:rFonts w:ascii="Arial" w:hAnsi="Arial" w:cs="Arial"/>
                <w:b/>
              </w:rPr>
            </w:pPr>
          </w:p>
        </w:tc>
        <w:tc>
          <w:tcPr>
            <w:tcW w:w="1701" w:type="dxa"/>
          </w:tcPr>
          <w:p w14:paraId="6EDE12CE" w14:textId="77777777" w:rsidR="00D049B0" w:rsidRPr="00AE031E" w:rsidRDefault="00D049B0" w:rsidP="00D971FB">
            <w:pPr>
              <w:rPr>
                <w:rFonts w:ascii="Arial" w:hAnsi="Arial" w:cs="Arial"/>
                <w:b/>
              </w:rPr>
            </w:pPr>
          </w:p>
        </w:tc>
        <w:tc>
          <w:tcPr>
            <w:tcW w:w="1621" w:type="dxa"/>
          </w:tcPr>
          <w:p w14:paraId="6EDE12CF" w14:textId="77777777" w:rsidR="00D049B0" w:rsidRPr="00AE031E" w:rsidRDefault="00D049B0" w:rsidP="00D971FB">
            <w:pPr>
              <w:rPr>
                <w:rFonts w:ascii="Arial" w:hAnsi="Arial" w:cs="Arial"/>
                <w:b/>
              </w:rPr>
            </w:pPr>
            <w:r w:rsidRPr="00AE031E">
              <w:rPr>
                <w:rFonts w:ascii="Arial" w:hAnsi="Arial" w:cs="Arial"/>
                <w:b/>
              </w:rPr>
              <w:t>287</w:t>
            </w:r>
          </w:p>
        </w:tc>
      </w:tr>
      <w:tr w:rsidR="00D049B0" w:rsidRPr="00AE031E" w14:paraId="6EDE12D6" w14:textId="77777777" w:rsidTr="00D971FB">
        <w:tc>
          <w:tcPr>
            <w:tcW w:w="2518" w:type="dxa"/>
          </w:tcPr>
          <w:p w14:paraId="6EDE12D1" w14:textId="77777777" w:rsidR="00D049B0" w:rsidRPr="00AE031E" w:rsidRDefault="00D049B0" w:rsidP="00D971FB">
            <w:pPr>
              <w:rPr>
                <w:rFonts w:ascii="Arial" w:hAnsi="Arial" w:cs="Arial"/>
                <w:b/>
              </w:rPr>
            </w:pPr>
            <w:r w:rsidRPr="00AE031E">
              <w:rPr>
                <w:rFonts w:ascii="Arial" w:hAnsi="Arial" w:cs="Arial"/>
                <w:b/>
              </w:rPr>
              <w:t>Business Start-ups</w:t>
            </w:r>
          </w:p>
        </w:tc>
        <w:tc>
          <w:tcPr>
            <w:tcW w:w="1701" w:type="dxa"/>
          </w:tcPr>
          <w:p w14:paraId="6EDE12D2" w14:textId="77777777" w:rsidR="00D049B0" w:rsidRPr="00AE031E" w:rsidRDefault="00D049B0" w:rsidP="00D971FB">
            <w:pPr>
              <w:rPr>
                <w:rFonts w:ascii="Arial" w:hAnsi="Arial" w:cs="Arial"/>
                <w:b/>
              </w:rPr>
            </w:pPr>
          </w:p>
        </w:tc>
        <w:tc>
          <w:tcPr>
            <w:tcW w:w="1701" w:type="dxa"/>
          </w:tcPr>
          <w:p w14:paraId="6EDE12D3" w14:textId="77777777" w:rsidR="00D049B0" w:rsidRPr="00AE031E" w:rsidRDefault="00D049B0" w:rsidP="00D971FB">
            <w:pPr>
              <w:rPr>
                <w:rFonts w:ascii="Arial" w:hAnsi="Arial" w:cs="Arial"/>
                <w:b/>
              </w:rPr>
            </w:pPr>
            <w:r w:rsidRPr="00AE031E">
              <w:rPr>
                <w:rFonts w:ascii="Arial" w:hAnsi="Arial" w:cs="Arial"/>
                <w:b/>
              </w:rPr>
              <w:t>8</w:t>
            </w:r>
          </w:p>
        </w:tc>
        <w:tc>
          <w:tcPr>
            <w:tcW w:w="1701" w:type="dxa"/>
          </w:tcPr>
          <w:p w14:paraId="6EDE12D4" w14:textId="77777777" w:rsidR="00D049B0" w:rsidRPr="00AE031E" w:rsidRDefault="00D049B0" w:rsidP="00D971FB">
            <w:pPr>
              <w:rPr>
                <w:rFonts w:ascii="Arial" w:hAnsi="Arial" w:cs="Arial"/>
                <w:b/>
              </w:rPr>
            </w:pPr>
            <w:r w:rsidRPr="00AE031E">
              <w:rPr>
                <w:rFonts w:ascii="Arial" w:hAnsi="Arial" w:cs="Arial"/>
                <w:b/>
              </w:rPr>
              <w:t>2</w:t>
            </w:r>
          </w:p>
        </w:tc>
        <w:tc>
          <w:tcPr>
            <w:tcW w:w="1621" w:type="dxa"/>
          </w:tcPr>
          <w:p w14:paraId="6EDE12D5" w14:textId="77777777" w:rsidR="00D049B0" w:rsidRPr="00AE031E" w:rsidRDefault="00D049B0" w:rsidP="00D971FB">
            <w:pPr>
              <w:rPr>
                <w:rFonts w:ascii="Arial" w:hAnsi="Arial" w:cs="Arial"/>
                <w:b/>
              </w:rPr>
            </w:pPr>
            <w:r w:rsidRPr="00AE031E">
              <w:rPr>
                <w:rFonts w:ascii="Arial" w:hAnsi="Arial" w:cs="Arial"/>
                <w:b/>
              </w:rPr>
              <w:t>10</w:t>
            </w:r>
          </w:p>
        </w:tc>
      </w:tr>
      <w:tr w:rsidR="00D049B0" w:rsidRPr="00AE031E" w14:paraId="6EDE12DC" w14:textId="77777777" w:rsidTr="00D971FB">
        <w:tc>
          <w:tcPr>
            <w:tcW w:w="2518" w:type="dxa"/>
          </w:tcPr>
          <w:p w14:paraId="6EDE12D7" w14:textId="77777777" w:rsidR="00D049B0" w:rsidRPr="00AE031E" w:rsidRDefault="00D049B0" w:rsidP="00D971FB">
            <w:pPr>
              <w:rPr>
                <w:rFonts w:ascii="Arial" w:hAnsi="Arial" w:cs="Arial"/>
                <w:b/>
              </w:rPr>
            </w:pPr>
            <w:r w:rsidRPr="00AE031E">
              <w:rPr>
                <w:rFonts w:ascii="Arial" w:hAnsi="Arial" w:cs="Arial"/>
                <w:b/>
              </w:rPr>
              <w:t>Jobs Created</w:t>
            </w:r>
          </w:p>
        </w:tc>
        <w:tc>
          <w:tcPr>
            <w:tcW w:w="1701" w:type="dxa"/>
          </w:tcPr>
          <w:p w14:paraId="6EDE12D8" w14:textId="77777777" w:rsidR="00D049B0" w:rsidRPr="00AE031E" w:rsidRDefault="00D049B0" w:rsidP="00D971FB">
            <w:pPr>
              <w:rPr>
                <w:rFonts w:ascii="Arial" w:hAnsi="Arial" w:cs="Arial"/>
                <w:b/>
              </w:rPr>
            </w:pPr>
          </w:p>
        </w:tc>
        <w:tc>
          <w:tcPr>
            <w:tcW w:w="1701" w:type="dxa"/>
          </w:tcPr>
          <w:p w14:paraId="6EDE12D9" w14:textId="77777777" w:rsidR="00D049B0" w:rsidRPr="00AE031E" w:rsidRDefault="00D049B0" w:rsidP="00D971FB">
            <w:pPr>
              <w:rPr>
                <w:rFonts w:ascii="Arial" w:hAnsi="Arial" w:cs="Arial"/>
                <w:b/>
              </w:rPr>
            </w:pPr>
            <w:r w:rsidRPr="00AE031E">
              <w:rPr>
                <w:rFonts w:ascii="Arial" w:hAnsi="Arial" w:cs="Arial"/>
                <w:b/>
              </w:rPr>
              <w:t>40</w:t>
            </w:r>
          </w:p>
        </w:tc>
        <w:tc>
          <w:tcPr>
            <w:tcW w:w="1701" w:type="dxa"/>
          </w:tcPr>
          <w:p w14:paraId="6EDE12DA" w14:textId="77777777" w:rsidR="00D049B0" w:rsidRPr="00AE031E" w:rsidRDefault="00D049B0" w:rsidP="00D971FB">
            <w:pPr>
              <w:rPr>
                <w:rFonts w:ascii="Arial" w:hAnsi="Arial" w:cs="Arial"/>
                <w:b/>
              </w:rPr>
            </w:pPr>
            <w:r w:rsidRPr="00AE031E">
              <w:rPr>
                <w:rFonts w:ascii="Arial" w:hAnsi="Arial" w:cs="Arial"/>
                <w:b/>
              </w:rPr>
              <w:t>10</w:t>
            </w:r>
          </w:p>
        </w:tc>
        <w:tc>
          <w:tcPr>
            <w:tcW w:w="1621" w:type="dxa"/>
          </w:tcPr>
          <w:p w14:paraId="6EDE12DB" w14:textId="77777777" w:rsidR="00D049B0" w:rsidRPr="00AE031E" w:rsidRDefault="00D049B0" w:rsidP="00D971FB">
            <w:pPr>
              <w:rPr>
                <w:rFonts w:ascii="Arial" w:hAnsi="Arial" w:cs="Arial"/>
                <w:b/>
              </w:rPr>
            </w:pPr>
            <w:r w:rsidRPr="00AE031E">
              <w:rPr>
                <w:rFonts w:ascii="Arial" w:hAnsi="Arial" w:cs="Arial"/>
                <w:b/>
              </w:rPr>
              <w:t>50</w:t>
            </w:r>
          </w:p>
        </w:tc>
      </w:tr>
      <w:tr w:rsidR="00D049B0" w:rsidRPr="00AE031E" w14:paraId="6EDE12E2" w14:textId="77777777" w:rsidTr="00D971FB">
        <w:tc>
          <w:tcPr>
            <w:tcW w:w="2518" w:type="dxa"/>
          </w:tcPr>
          <w:p w14:paraId="6EDE12DD" w14:textId="77777777" w:rsidR="00D049B0" w:rsidRPr="00AE031E" w:rsidRDefault="00D049B0" w:rsidP="00D971FB">
            <w:pPr>
              <w:rPr>
                <w:rFonts w:ascii="Arial" w:hAnsi="Arial" w:cs="Arial"/>
                <w:b/>
              </w:rPr>
            </w:pPr>
            <w:r w:rsidRPr="00AE031E">
              <w:rPr>
                <w:rFonts w:ascii="Arial" w:hAnsi="Arial" w:cs="Arial"/>
                <w:b/>
              </w:rPr>
              <w:t>Construction Jobs</w:t>
            </w:r>
          </w:p>
        </w:tc>
        <w:tc>
          <w:tcPr>
            <w:tcW w:w="1701" w:type="dxa"/>
          </w:tcPr>
          <w:p w14:paraId="6EDE12DE" w14:textId="77777777" w:rsidR="00D049B0" w:rsidRPr="00AE031E" w:rsidRDefault="00D049B0" w:rsidP="00D971FB">
            <w:pPr>
              <w:rPr>
                <w:rFonts w:ascii="Arial" w:hAnsi="Arial" w:cs="Arial"/>
                <w:b/>
              </w:rPr>
            </w:pPr>
            <w:r w:rsidRPr="00AE031E">
              <w:rPr>
                <w:rFonts w:ascii="Arial" w:hAnsi="Arial" w:cs="Arial"/>
                <w:b/>
              </w:rPr>
              <w:t>3</w:t>
            </w:r>
          </w:p>
        </w:tc>
        <w:tc>
          <w:tcPr>
            <w:tcW w:w="1701" w:type="dxa"/>
          </w:tcPr>
          <w:p w14:paraId="6EDE12DF" w14:textId="77777777" w:rsidR="00D049B0" w:rsidRPr="00AE031E" w:rsidRDefault="00D049B0" w:rsidP="00D971FB">
            <w:pPr>
              <w:rPr>
                <w:rFonts w:ascii="Arial" w:hAnsi="Arial" w:cs="Arial"/>
                <w:b/>
              </w:rPr>
            </w:pPr>
          </w:p>
        </w:tc>
        <w:tc>
          <w:tcPr>
            <w:tcW w:w="1701" w:type="dxa"/>
          </w:tcPr>
          <w:p w14:paraId="6EDE12E0" w14:textId="77777777" w:rsidR="00D049B0" w:rsidRPr="00AE031E" w:rsidRDefault="00D049B0" w:rsidP="00D971FB">
            <w:pPr>
              <w:rPr>
                <w:rFonts w:ascii="Arial" w:hAnsi="Arial" w:cs="Arial"/>
                <w:b/>
              </w:rPr>
            </w:pPr>
          </w:p>
        </w:tc>
        <w:tc>
          <w:tcPr>
            <w:tcW w:w="1621" w:type="dxa"/>
          </w:tcPr>
          <w:p w14:paraId="6EDE12E1" w14:textId="77777777" w:rsidR="00D049B0" w:rsidRPr="00AE031E" w:rsidRDefault="00D049B0" w:rsidP="00D971FB">
            <w:pPr>
              <w:rPr>
                <w:rFonts w:ascii="Arial" w:hAnsi="Arial" w:cs="Arial"/>
                <w:b/>
              </w:rPr>
            </w:pPr>
            <w:r w:rsidRPr="00AE031E">
              <w:rPr>
                <w:rFonts w:ascii="Arial" w:hAnsi="Arial" w:cs="Arial"/>
                <w:b/>
              </w:rPr>
              <w:t>3</w:t>
            </w:r>
          </w:p>
        </w:tc>
      </w:tr>
    </w:tbl>
    <w:p w14:paraId="6EDE12E3" w14:textId="77777777" w:rsidR="0033234D" w:rsidRPr="00AE031E" w:rsidRDefault="0033234D" w:rsidP="00EE6CD0">
      <w:pPr>
        <w:spacing w:after="0" w:line="240" w:lineRule="auto"/>
        <w:rPr>
          <w:rFonts w:ascii="Arial" w:hAnsi="Arial" w:cs="Arial"/>
          <w:b/>
        </w:rPr>
      </w:pPr>
    </w:p>
    <w:p w14:paraId="6EDE12E4" w14:textId="77777777" w:rsidR="00D049B0" w:rsidRDefault="00D049B0" w:rsidP="00EE6CD0">
      <w:pPr>
        <w:spacing w:after="0" w:line="240" w:lineRule="auto"/>
        <w:rPr>
          <w:rFonts w:ascii="Arial" w:hAnsi="Arial" w:cs="Arial"/>
        </w:rPr>
      </w:pPr>
      <w:r w:rsidRPr="00AE031E">
        <w:rPr>
          <w:rFonts w:ascii="Arial" w:hAnsi="Arial" w:cs="Arial"/>
        </w:rPr>
        <w:t xml:space="preserve">For completeness the outputs to be delivered by the </w:t>
      </w:r>
      <w:proofErr w:type="spellStart"/>
      <w:r w:rsidRPr="00AE031E">
        <w:rPr>
          <w:rFonts w:ascii="Arial" w:hAnsi="Arial" w:cs="Arial"/>
        </w:rPr>
        <w:t>CoRE</w:t>
      </w:r>
      <w:proofErr w:type="spellEnd"/>
      <w:r w:rsidRPr="00AE031E">
        <w:rPr>
          <w:rFonts w:ascii="Arial" w:hAnsi="Arial" w:cs="Arial"/>
        </w:rPr>
        <w:t xml:space="preserve"> scheme are tabled above.  The projects was</w:t>
      </w:r>
      <w:r w:rsidR="005C2ABE" w:rsidRPr="00AE031E">
        <w:rPr>
          <w:rFonts w:ascii="Arial" w:hAnsi="Arial" w:cs="Arial"/>
        </w:rPr>
        <w:t xml:space="preserve"> always to undertake a refresh </w:t>
      </w:r>
      <w:r w:rsidRPr="00AE031E">
        <w:rPr>
          <w:rFonts w:ascii="Arial" w:hAnsi="Arial" w:cs="Arial"/>
        </w:rPr>
        <w:t xml:space="preserve"> of what is already employment space and therefore</w:t>
      </w:r>
      <w:r w:rsidR="005C2ABE" w:rsidRPr="00AE031E">
        <w:rPr>
          <w:rFonts w:ascii="Arial" w:hAnsi="Arial" w:cs="Arial"/>
        </w:rPr>
        <w:t>, even if a reduced budget does result it is still considered feasible to be able to deliver the</w:t>
      </w:r>
      <w:r w:rsidR="00FB6CB3">
        <w:rPr>
          <w:rFonts w:ascii="Arial" w:hAnsi="Arial" w:cs="Arial"/>
        </w:rPr>
        <w:t xml:space="preserve"> vast majority of the</w:t>
      </w:r>
      <w:r w:rsidR="005C2ABE" w:rsidRPr="00AE031E">
        <w:rPr>
          <w:rFonts w:ascii="Arial" w:hAnsi="Arial" w:cs="Arial"/>
        </w:rPr>
        <w:t xml:space="preserve"> output as identified above.</w:t>
      </w:r>
      <w:r w:rsidRPr="00AE031E">
        <w:rPr>
          <w:rFonts w:ascii="Arial" w:hAnsi="Arial" w:cs="Arial"/>
        </w:rPr>
        <w:t xml:space="preserve"> </w:t>
      </w:r>
    </w:p>
    <w:p w14:paraId="6EDE12E5" w14:textId="77777777" w:rsidR="00AE031E" w:rsidRDefault="00AE031E" w:rsidP="00EE6CD0">
      <w:pPr>
        <w:spacing w:after="0" w:line="240" w:lineRule="auto"/>
        <w:rPr>
          <w:rFonts w:ascii="Arial" w:hAnsi="Arial" w:cs="Arial"/>
        </w:rPr>
      </w:pPr>
    </w:p>
    <w:p w14:paraId="6EDE12E6" w14:textId="77777777" w:rsidR="00AE031E" w:rsidRPr="00AE031E" w:rsidRDefault="00AE031E" w:rsidP="00EE6CD0">
      <w:pPr>
        <w:spacing w:after="0" w:line="240" w:lineRule="auto"/>
        <w:rPr>
          <w:rFonts w:ascii="Arial" w:hAnsi="Arial" w:cs="Arial"/>
        </w:rPr>
      </w:pPr>
      <w:r>
        <w:rPr>
          <w:rFonts w:ascii="Arial" w:hAnsi="Arial" w:cs="Arial"/>
        </w:rPr>
        <w:t>If Getting Building Fund monies are to be maximised then it is beneficial to view the whole programme as one rather than having dedicated amounts of GBF aligned to schemes within the programme. By doing this the GBF can be sent at the earliest opportunity thereby maximising spend of the LEP allocation.</w:t>
      </w:r>
    </w:p>
    <w:p w14:paraId="6EDE12E7" w14:textId="77777777" w:rsidR="0033234D" w:rsidRPr="00AE031E" w:rsidRDefault="0033234D" w:rsidP="00EE6CD0">
      <w:pPr>
        <w:spacing w:after="0" w:line="240" w:lineRule="auto"/>
        <w:rPr>
          <w:rFonts w:ascii="Arial" w:hAnsi="Arial" w:cs="Arial"/>
          <w:b/>
        </w:rPr>
      </w:pPr>
    </w:p>
    <w:p w14:paraId="6EDE12E8" w14:textId="77777777" w:rsidR="00EE6CD0" w:rsidRPr="00AE031E" w:rsidRDefault="007040BC" w:rsidP="00EE6CD0">
      <w:pPr>
        <w:spacing w:after="0" w:line="240" w:lineRule="auto"/>
        <w:rPr>
          <w:rFonts w:ascii="Arial" w:hAnsi="Arial" w:cs="Arial"/>
          <w:b/>
        </w:rPr>
      </w:pPr>
      <w:r w:rsidRPr="00AE031E">
        <w:rPr>
          <w:rFonts w:ascii="Arial" w:hAnsi="Arial" w:cs="Arial"/>
          <w:b/>
        </w:rPr>
        <w:t>Delivery Timescales</w:t>
      </w:r>
    </w:p>
    <w:p w14:paraId="6EDE12E9" w14:textId="77777777" w:rsidR="00EE6CD0" w:rsidRPr="00AE031E" w:rsidRDefault="00EE6CD0" w:rsidP="00EE6CD0">
      <w:pPr>
        <w:spacing w:after="0" w:line="240" w:lineRule="auto"/>
        <w:rPr>
          <w:rFonts w:ascii="Arial" w:hAnsi="Arial" w:cs="Arial"/>
        </w:rPr>
      </w:pPr>
    </w:p>
    <w:p w14:paraId="6EDE12EA" w14:textId="77777777" w:rsidR="005F48A8" w:rsidRPr="00AE031E" w:rsidRDefault="007040BC" w:rsidP="006C5345">
      <w:pPr>
        <w:spacing w:after="0" w:line="240" w:lineRule="auto"/>
        <w:rPr>
          <w:rFonts w:ascii="Arial" w:hAnsi="Arial" w:cs="Arial"/>
          <w:lang w:val="en-US" w:eastAsia="en-GB"/>
        </w:rPr>
      </w:pPr>
      <w:r w:rsidRPr="00AE031E">
        <w:rPr>
          <w:rFonts w:ascii="Arial" w:hAnsi="Arial" w:cs="Arial"/>
          <w:lang w:val="en-US" w:eastAsia="en-GB"/>
        </w:rPr>
        <w:t>The second issue to draw SPMG’s attention</w:t>
      </w:r>
      <w:r w:rsidR="00735B4C" w:rsidRPr="00AE031E">
        <w:rPr>
          <w:rFonts w:ascii="Arial" w:hAnsi="Arial" w:cs="Arial"/>
          <w:lang w:val="en-US" w:eastAsia="en-GB"/>
        </w:rPr>
        <w:t>, which in part relates to</w:t>
      </w:r>
      <w:r w:rsidR="0033234D" w:rsidRPr="00AE031E">
        <w:rPr>
          <w:rFonts w:ascii="Arial" w:hAnsi="Arial" w:cs="Arial"/>
          <w:lang w:val="en-US" w:eastAsia="en-GB"/>
        </w:rPr>
        <w:t xml:space="preserve"> the issue above</w:t>
      </w:r>
      <w:r w:rsidR="00735B4C" w:rsidRPr="00AE031E">
        <w:rPr>
          <w:rFonts w:ascii="Arial" w:hAnsi="Arial" w:cs="Arial"/>
          <w:lang w:val="en-US" w:eastAsia="en-GB"/>
        </w:rPr>
        <w:t>,</w:t>
      </w:r>
      <w:r w:rsidRPr="00AE031E">
        <w:rPr>
          <w:rFonts w:ascii="Arial" w:hAnsi="Arial" w:cs="Arial"/>
          <w:lang w:val="en-US" w:eastAsia="en-GB"/>
        </w:rPr>
        <w:t xml:space="preserve"> is in respect of the defrayment of Getting Building Fund monies.  As was agreed at the outset</w:t>
      </w:r>
      <w:r w:rsidR="00735B4C" w:rsidRPr="00AE031E">
        <w:rPr>
          <w:rFonts w:ascii="Arial" w:hAnsi="Arial" w:cs="Arial"/>
          <w:lang w:val="en-US" w:eastAsia="en-GB"/>
        </w:rPr>
        <w:t>,</w:t>
      </w:r>
      <w:r w:rsidRPr="00AE031E">
        <w:rPr>
          <w:rFonts w:ascii="Arial" w:hAnsi="Arial" w:cs="Arial"/>
          <w:lang w:val="en-US" w:eastAsia="en-GB"/>
        </w:rPr>
        <w:t xml:space="preserve"> the programme has progressed on the basis that </w:t>
      </w:r>
      <w:r w:rsidR="001458E6" w:rsidRPr="00AE031E">
        <w:rPr>
          <w:rFonts w:ascii="Arial" w:hAnsi="Arial" w:cs="Arial"/>
          <w:lang w:val="en-US" w:eastAsia="en-GB"/>
        </w:rPr>
        <w:t>the GBF monies would be defrayed in the first instance with any match</w:t>
      </w:r>
      <w:r w:rsidR="00735B4C" w:rsidRPr="00AE031E">
        <w:rPr>
          <w:rFonts w:ascii="Arial" w:hAnsi="Arial" w:cs="Arial"/>
          <w:lang w:val="en-US" w:eastAsia="en-GB"/>
        </w:rPr>
        <w:t xml:space="preserve"> funding</w:t>
      </w:r>
      <w:r w:rsidR="001458E6" w:rsidRPr="00AE031E">
        <w:rPr>
          <w:rFonts w:ascii="Arial" w:hAnsi="Arial" w:cs="Arial"/>
          <w:lang w:val="en-US" w:eastAsia="en-GB"/>
        </w:rPr>
        <w:t xml:space="preserve"> following on</w:t>
      </w:r>
      <w:r w:rsidR="00735B4C" w:rsidRPr="00AE031E">
        <w:rPr>
          <w:rFonts w:ascii="Arial" w:hAnsi="Arial" w:cs="Arial"/>
          <w:lang w:val="en-US" w:eastAsia="en-GB"/>
        </w:rPr>
        <w:t xml:space="preserve"> through to project completion.</w:t>
      </w:r>
    </w:p>
    <w:p w14:paraId="6EDE12EB" w14:textId="77777777" w:rsidR="001458E6" w:rsidRPr="00AE031E" w:rsidRDefault="001458E6" w:rsidP="006C5345">
      <w:pPr>
        <w:spacing w:after="0" w:line="240" w:lineRule="auto"/>
        <w:rPr>
          <w:rFonts w:ascii="Arial" w:hAnsi="Arial" w:cs="Arial"/>
          <w:lang w:val="en-US" w:eastAsia="en-GB"/>
        </w:rPr>
      </w:pPr>
    </w:p>
    <w:p w14:paraId="6EDE12EC" w14:textId="77777777" w:rsidR="001458E6" w:rsidRPr="00AE031E" w:rsidRDefault="001458E6" w:rsidP="006C5345">
      <w:pPr>
        <w:spacing w:after="0" w:line="240" w:lineRule="auto"/>
        <w:rPr>
          <w:rFonts w:ascii="Arial" w:hAnsi="Arial" w:cs="Arial"/>
          <w:lang w:val="en-US" w:eastAsia="en-GB"/>
        </w:rPr>
      </w:pPr>
      <w:r w:rsidRPr="00AE031E">
        <w:rPr>
          <w:rFonts w:ascii="Arial" w:hAnsi="Arial" w:cs="Arial"/>
          <w:lang w:val="en-US" w:eastAsia="en-GB"/>
        </w:rPr>
        <w:t>Despite starting the design, specifications and tendering exercises a</w:t>
      </w:r>
      <w:r w:rsidR="00735B4C" w:rsidRPr="00AE031E">
        <w:rPr>
          <w:rFonts w:ascii="Arial" w:hAnsi="Arial" w:cs="Arial"/>
          <w:lang w:val="en-US" w:eastAsia="en-GB"/>
        </w:rPr>
        <w:t>t the very earliest opportunity, d</w:t>
      </w:r>
      <w:r w:rsidRPr="00AE031E">
        <w:rPr>
          <w:rFonts w:ascii="Arial" w:hAnsi="Arial" w:cs="Arial"/>
          <w:lang w:val="en-US" w:eastAsia="en-GB"/>
        </w:rPr>
        <w:t>elays in both the procurement and planning/Listed Building Consent process have impacted on the ability to defray the whole £2,450,000 of GBF by March 2022.</w:t>
      </w:r>
    </w:p>
    <w:p w14:paraId="6EDE12ED" w14:textId="77777777" w:rsidR="001458E6" w:rsidRPr="00AE031E" w:rsidRDefault="001458E6" w:rsidP="006C5345">
      <w:pPr>
        <w:spacing w:after="0" w:line="240" w:lineRule="auto"/>
        <w:rPr>
          <w:rFonts w:ascii="Arial" w:hAnsi="Arial" w:cs="Arial"/>
          <w:lang w:val="en-US" w:eastAsia="en-GB"/>
        </w:rPr>
      </w:pPr>
    </w:p>
    <w:p w14:paraId="6EDE12EE" w14:textId="77777777" w:rsidR="00A80D59" w:rsidRDefault="001458E6" w:rsidP="006C5345">
      <w:pPr>
        <w:spacing w:after="0" w:line="240" w:lineRule="auto"/>
        <w:rPr>
          <w:rFonts w:ascii="Arial" w:hAnsi="Arial" w:cs="Arial"/>
          <w:lang w:val="en-US" w:eastAsia="en-GB"/>
        </w:rPr>
      </w:pPr>
      <w:r w:rsidRPr="00AE031E">
        <w:rPr>
          <w:rFonts w:ascii="Arial" w:hAnsi="Arial" w:cs="Arial"/>
          <w:lang w:val="en-US" w:eastAsia="en-GB"/>
        </w:rPr>
        <w:t xml:space="preserve">Now that tenders have been returned work is underway to </w:t>
      </w:r>
      <w:r w:rsidR="0038197E">
        <w:rPr>
          <w:rFonts w:ascii="Arial" w:hAnsi="Arial" w:cs="Arial"/>
          <w:lang w:val="en-US" w:eastAsia="en-GB"/>
        </w:rPr>
        <w:t>maximis</w:t>
      </w:r>
      <w:r w:rsidR="0038197E" w:rsidRPr="00AE031E">
        <w:rPr>
          <w:rFonts w:ascii="Arial" w:hAnsi="Arial" w:cs="Arial"/>
          <w:lang w:val="en-US" w:eastAsia="en-GB"/>
        </w:rPr>
        <w:t>e</w:t>
      </w:r>
      <w:r w:rsidRPr="00AE031E">
        <w:rPr>
          <w:rFonts w:ascii="Arial" w:hAnsi="Arial" w:cs="Arial"/>
          <w:lang w:val="en-US" w:eastAsia="en-GB"/>
        </w:rPr>
        <w:t xml:space="preserve"> spend</w:t>
      </w:r>
      <w:r w:rsidR="00735B4C" w:rsidRPr="00AE031E">
        <w:rPr>
          <w:rFonts w:ascii="Arial" w:hAnsi="Arial" w:cs="Arial"/>
          <w:lang w:val="en-US" w:eastAsia="en-GB"/>
        </w:rPr>
        <w:t xml:space="preserve"> at the very earliest opportunity using all suitable tools at our disposal</w:t>
      </w:r>
      <w:r w:rsidR="00996BB1" w:rsidRPr="00AE031E">
        <w:rPr>
          <w:rFonts w:ascii="Arial" w:hAnsi="Arial" w:cs="Arial"/>
          <w:lang w:val="en-US" w:eastAsia="en-GB"/>
        </w:rPr>
        <w:t>.  At present</w:t>
      </w:r>
      <w:r w:rsidR="00735B4C" w:rsidRPr="00AE031E">
        <w:rPr>
          <w:rFonts w:ascii="Arial" w:hAnsi="Arial" w:cs="Arial"/>
          <w:lang w:val="en-US" w:eastAsia="en-GB"/>
        </w:rPr>
        <w:t>, an</w:t>
      </w:r>
      <w:r w:rsidR="00FB6CB3">
        <w:rPr>
          <w:rFonts w:ascii="Arial" w:hAnsi="Arial" w:cs="Arial"/>
          <w:lang w:val="en-US" w:eastAsia="en-GB"/>
        </w:rPr>
        <w:t>d</w:t>
      </w:r>
      <w:r w:rsidR="00735B4C" w:rsidRPr="00AE031E">
        <w:rPr>
          <w:rFonts w:ascii="Arial" w:hAnsi="Arial" w:cs="Arial"/>
          <w:lang w:val="en-US" w:eastAsia="en-GB"/>
        </w:rPr>
        <w:t xml:space="preserve"> prior to this spend maximization exercise,</w:t>
      </w:r>
      <w:r w:rsidR="00996BB1" w:rsidRPr="00AE031E">
        <w:rPr>
          <w:rFonts w:ascii="Arial" w:hAnsi="Arial" w:cs="Arial"/>
          <w:lang w:val="en-US" w:eastAsia="en-GB"/>
        </w:rPr>
        <w:t xml:space="preserve"> it is estimated that between </w:t>
      </w:r>
      <w:r w:rsidR="00996BB1" w:rsidRPr="0038197E">
        <w:rPr>
          <w:rFonts w:ascii="Arial" w:hAnsi="Arial" w:cs="Arial"/>
          <w:b/>
          <w:lang w:val="en-US" w:eastAsia="en-GB"/>
        </w:rPr>
        <w:t>£600,000 and £700,000</w:t>
      </w:r>
      <w:r w:rsidR="00996BB1" w:rsidRPr="00AE031E">
        <w:rPr>
          <w:rFonts w:ascii="Arial" w:hAnsi="Arial" w:cs="Arial"/>
          <w:lang w:val="en-US" w:eastAsia="en-GB"/>
        </w:rPr>
        <w:t xml:space="preserve"> may not be defr</w:t>
      </w:r>
      <w:r w:rsidR="00194207" w:rsidRPr="00AE031E">
        <w:rPr>
          <w:rFonts w:ascii="Arial" w:hAnsi="Arial" w:cs="Arial"/>
          <w:lang w:val="en-US" w:eastAsia="en-GB"/>
        </w:rPr>
        <w:t xml:space="preserve">ayed by the March date, </w:t>
      </w:r>
      <w:r w:rsidR="00FB6CB3">
        <w:rPr>
          <w:rFonts w:ascii="Arial" w:hAnsi="Arial" w:cs="Arial"/>
          <w:lang w:val="en-US" w:eastAsia="en-GB"/>
        </w:rPr>
        <w:t xml:space="preserve">  However, working with our delivery team a first review of </w:t>
      </w:r>
      <w:r w:rsidR="00A80D59">
        <w:rPr>
          <w:rFonts w:ascii="Arial" w:hAnsi="Arial" w:cs="Arial"/>
          <w:lang w:val="en-US" w:eastAsia="en-GB"/>
        </w:rPr>
        <w:t xml:space="preserve">spend maximization exercise </w:t>
      </w:r>
      <w:r w:rsidR="00FB6CB3">
        <w:rPr>
          <w:rFonts w:ascii="Arial" w:hAnsi="Arial" w:cs="Arial"/>
          <w:lang w:val="en-US" w:eastAsia="en-GB"/>
        </w:rPr>
        <w:t>has</w:t>
      </w:r>
      <w:r w:rsidR="00A80D59">
        <w:rPr>
          <w:rFonts w:ascii="Arial" w:hAnsi="Arial" w:cs="Arial"/>
          <w:lang w:val="en-US" w:eastAsia="en-GB"/>
        </w:rPr>
        <w:t xml:space="preserve"> identified items to the value of</w:t>
      </w:r>
      <w:r w:rsidR="00FB6CB3">
        <w:rPr>
          <w:rFonts w:ascii="Arial" w:hAnsi="Arial" w:cs="Arial"/>
          <w:lang w:val="en-US" w:eastAsia="en-GB"/>
        </w:rPr>
        <w:t xml:space="preserve"> </w:t>
      </w:r>
      <w:r w:rsidR="00A80D59">
        <w:rPr>
          <w:rFonts w:ascii="Arial" w:hAnsi="Arial" w:cs="Arial"/>
          <w:lang w:val="en-US" w:eastAsia="en-GB"/>
        </w:rPr>
        <w:t xml:space="preserve">circa </w:t>
      </w:r>
      <w:r w:rsidR="00FB6CB3" w:rsidRPr="00FB6CB3">
        <w:rPr>
          <w:rFonts w:ascii="Arial" w:hAnsi="Arial" w:cs="Arial"/>
          <w:b/>
          <w:lang w:val="en-US" w:eastAsia="en-GB"/>
        </w:rPr>
        <w:t>£500,000</w:t>
      </w:r>
      <w:r w:rsidR="00A80D59">
        <w:rPr>
          <w:rFonts w:ascii="Arial" w:hAnsi="Arial" w:cs="Arial"/>
          <w:b/>
          <w:lang w:val="en-US" w:eastAsia="en-GB"/>
        </w:rPr>
        <w:t xml:space="preserve"> </w:t>
      </w:r>
      <w:r w:rsidR="00A80D59" w:rsidRPr="00A80D59">
        <w:rPr>
          <w:rFonts w:ascii="Arial" w:hAnsi="Arial" w:cs="Arial"/>
          <w:lang w:val="en-US" w:eastAsia="en-GB"/>
        </w:rPr>
        <w:t>which could be ordered soon after award of contract</w:t>
      </w:r>
      <w:r w:rsidR="00A80D59">
        <w:rPr>
          <w:rFonts w:ascii="Arial" w:hAnsi="Arial" w:cs="Arial"/>
          <w:b/>
          <w:lang w:val="en-US" w:eastAsia="en-GB"/>
        </w:rPr>
        <w:t xml:space="preserve">, </w:t>
      </w:r>
      <w:r w:rsidR="00A80D59" w:rsidRPr="00A80D59">
        <w:rPr>
          <w:rFonts w:ascii="Arial" w:hAnsi="Arial" w:cs="Arial"/>
          <w:lang w:val="en-US" w:eastAsia="en-GB"/>
        </w:rPr>
        <w:t>this action will bring the spend programme much closer to target</w:t>
      </w:r>
      <w:r w:rsidR="00FB6CB3" w:rsidRPr="00A80D59">
        <w:rPr>
          <w:rFonts w:ascii="Arial" w:hAnsi="Arial" w:cs="Arial"/>
          <w:lang w:val="en-US" w:eastAsia="en-GB"/>
        </w:rPr>
        <w:t xml:space="preserve">  </w:t>
      </w:r>
      <w:r w:rsidR="00FB6CB3">
        <w:rPr>
          <w:rFonts w:ascii="Arial" w:hAnsi="Arial" w:cs="Arial"/>
          <w:lang w:val="en-US" w:eastAsia="en-GB"/>
        </w:rPr>
        <w:t xml:space="preserve">With material supply chains and delivery times as they currently are, this would be a prudent course of action in any event, so as materials and equipment is on site ready for its use and installation. </w:t>
      </w:r>
    </w:p>
    <w:p w14:paraId="6EDE12EF" w14:textId="77777777" w:rsidR="00A80D59" w:rsidRDefault="00A80D59" w:rsidP="006C5345">
      <w:pPr>
        <w:spacing w:after="0" w:line="240" w:lineRule="auto"/>
        <w:rPr>
          <w:rFonts w:ascii="Arial" w:hAnsi="Arial" w:cs="Arial"/>
          <w:lang w:val="en-US" w:eastAsia="en-GB"/>
        </w:rPr>
      </w:pPr>
    </w:p>
    <w:p w14:paraId="6EDE12F0" w14:textId="77777777" w:rsidR="001458E6" w:rsidRPr="00AE031E" w:rsidRDefault="00A80D59" w:rsidP="006C5345">
      <w:pPr>
        <w:spacing w:after="0" w:line="240" w:lineRule="auto"/>
        <w:rPr>
          <w:rFonts w:ascii="Arial" w:hAnsi="Arial" w:cs="Arial"/>
          <w:lang w:val="en-US" w:eastAsia="en-GB"/>
        </w:rPr>
      </w:pPr>
      <w:r>
        <w:rPr>
          <w:rFonts w:ascii="Arial" w:hAnsi="Arial" w:cs="Arial"/>
          <w:lang w:val="en-US" w:eastAsia="en-GB"/>
        </w:rPr>
        <w:t>However e</w:t>
      </w:r>
      <w:r w:rsidR="00FB6CB3">
        <w:rPr>
          <w:rFonts w:ascii="Arial" w:hAnsi="Arial" w:cs="Arial"/>
          <w:lang w:val="en-US" w:eastAsia="en-GB"/>
        </w:rPr>
        <w:t>ven in light of this action to be taken</w:t>
      </w:r>
      <w:r>
        <w:rPr>
          <w:rFonts w:ascii="Arial" w:hAnsi="Arial" w:cs="Arial"/>
          <w:lang w:val="en-US" w:eastAsia="en-GB"/>
        </w:rPr>
        <w:t>,</w:t>
      </w:r>
      <w:r w:rsidR="00FB6CB3">
        <w:rPr>
          <w:rFonts w:ascii="Arial" w:hAnsi="Arial" w:cs="Arial"/>
          <w:lang w:val="en-US" w:eastAsia="en-GB"/>
        </w:rPr>
        <w:t xml:space="preserve"> </w:t>
      </w:r>
      <w:r w:rsidR="00D053FE" w:rsidRPr="00AE031E">
        <w:rPr>
          <w:rFonts w:ascii="Arial" w:hAnsi="Arial" w:cs="Arial"/>
          <w:lang w:val="en-US" w:eastAsia="en-GB"/>
        </w:rPr>
        <w:t>I</w:t>
      </w:r>
      <w:r w:rsidR="00194207" w:rsidRPr="00AE031E">
        <w:rPr>
          <w:rFonts w:ascii="Arial" w:hAnsi="Arial" w:cs="Arial"/>
          <w:lang w:val="en-US" w:eastAsia="en-GB"/>
        </w:rPr>
        <w:t>t would</w:t>
      </w:r>
      <w:r w:rsidR="00D053FE" w:rsidRPr="00AE031E">
        <w:rPr>
          <w:rFonts w:ascii="Arial" w:hAnsi="Arial" w:cs="Arial"/>
          <w:lang w:val="en-US" w:eastAsia="en-GB"/>
        </w:rPr>
        <w:t xml:space="preserve"> </w:t>
      </w:r>
      <w:r w:rsidR="00FB6CB3">
        <w:rPr>
          <w:rFonts w:ascii="Arial" w:hAnsi="Arial" w:cs="Arial"/>
          <w:lang w:val="en-US" w:eastAsia="en-GB"/>
        </w:rPr>
        <w:t>be</w:t>
      </w:r>
      <w:r w:rsidR="00194207" w:rsidRPr="00AE031E">
        <w:rPr>
          <w:rFonts w:ascii="Arial" w:hAnsi="Arial" w:cs="Arial"/>
          <w:lang w:val="en-US" w:eastAsia="en-GB"/>
        </w:rPr>
        <w:t xml:space="preserve"> pertinent, through the LEP’s freedoms and flexibilities</w:t>
      </w:r>
      <w:r w:rsidR="00D053FE" w:rsidRPr="00AE031E">
        <w:rPr>
          <w:rFonts w:ascii="Arial" w:hAnsi="Arial" w:cs="Arial"/>
          <w:lang w:val="en-US" w:eastAsia="en-GB"/>
        </w:rPr>
        <w:t>,</w:t>
      </w:r>
      <w:r w:rsidR="00194207" w:rsidRPr="00AE031E">
        <w:rPr>
          <w:rFonts w:ascii="Arial" w:hAnsi="Arial" w:cs="Arial"/>
          <w:lang w:val="en-US" w:eastAsia="en-GB"/>
        </w:rPr>
        <w:t xml:space="preserve"> to take preparatory action to ensure that </w:t>
      </w:r>
      <w:r w:rsidR="00FB6CB3">
        <w:rPr>
          <w:rFonts w:ascii="Arial" w:hAnsi="Arial" w:cs="Arial"/>
          <w:lang w:val="en-US" w:eastAsia="en-GB"/>
        </w:rPr>
        <w:t xml:space="preserve">should a underspend </w:t>
      </w:r>
      <w:r w:rsidR="00194207" w:rsidRPr="00AE031E">
        <w:rPr>
          <w:rFonts w:ascii="Arial" w:hAnsi="Arial" w:cs="Arial"/>
          <w:lang w:val="en-US" w:eastAsia="en-GB"/>
        </w:rPr>
        <w:t>issue</w:t>
      </w:r>
      <w:r w:rsidR="00FB6CB3">
        <w:rPr>
          <w:rFonts w:ascii="Arial" w:hAnsi="Arial" w:cs="Arial"/>
          <w:lang w:val="en-US" w:eastAsia="en-GB"/>
        </w:rPr>
        <w:t xml:space="preserve"> arise</w:t>
      </w:r>
      <w:r>
        <w:rPr>
          <w:rFonts w:ascii="Arial" w:hAnsi="Arial" w:cs="Arial"/>
          <w:lang w:val="en-US" w:eastAsia="en-GB"/>
        </w:rPr>
        <w:t>,</w:t>
      </w:r>
      <w:r w:rsidR="00FB6CB3">
        <w:rPr>
          <w:rFonts w:ascii="Arial" w:hAnsi="Arial" w:cs="Arial"/>
          <w:lang w:val="en-US" w:eastAsia="en-GB"/>
        </w:rPr>
        <w:t xml:space="preserve"> that it can be addressed</w:t>
      </w:r>
      <w:r w:rsidR="00194207" w:rsidRPr="00AE031E">
        <w:rPr>
          <w:rFonts w:ascii="Arial" w:hAnsi="Arial" w:cs="Arial"/>
          <w:lang w:val="en-US" w:eastAsia="en-GB"/>
        </w:rPr>
        <w:t>.</w:t>
      </w:r>
      <w:r w:rsidR="00FB6CB3">
        <w:rPr>
          <w:rFonts w:ascii="Arial" w:hAnsi="Arial" w:cs="Arial"/>
          <w:lang w:val="en-US" w:eastAsia="en-GB"/>
        </w:rPr>
        <w:t xml:space="preserve">  It is therefore proposed that in this eventuality the Etruria Valley Scheme, a recognized LEP scheme is used to ensure full defrayment of the Getting Building Fund by the March 2022 deadline.</w:t>
      </w:r>
    </w:p>
    <w:p w14:paraId="6EDE12F1" w14:textId="77777777" w:rsidR="00735B4C" w:rsidRPr="00AE031E" w:rsidRDefault="00735B4C" w:rsidP="006C5345">
      <w:pPr>
        <w:spacing w:after="0" w:line="240" w:lineRule="auto"/>
        <w:rPr>
          <w:rFonts w:ascii="Arial" w:hAnsi="Arial" w:cs="Arial"/>
          <w:lang w:val="en-US" w:eastAsia="en-GB"/>
        </w:rPr>
      </w:pPr>
    </w:p>
    <w:p w14:paraId="6EDE12F2" w14:textId="77777777" w:rsidR="00735B4C" w:rsidRPr="00AE031E" w:rsidRDefault="00735B4C" w:rsidP="006C5345">
      <w:pPr>
        <w:spacing w:after="0" w:line="240" w:lineRule="auto"/>
        <w:rPr>
          <w:rFonts w:ascii="Arial" w:hAnsi="Arial" w:cs="Arial"/>
          <w:lang w:val="en-US" w:eastAsia="en-GB"/>
        </w:rPr>
      </w:pPr>
      <w:r w:rsidRPr="00AE031E">
        <w:rPr>
          <w:rFonts w:ascii="Arial" w:hAnsi="Arial" w:cs="Arial"/>
          <w:lang w:val="en-US" w:eastAsia="en-GB"/>
        </w:rPr>
        <w:t>This issue has been raised in principle with</w:t>
      </w:r>
      <w:r w:rsidR="00A80D59">
        <w:rPr>
          <w:rFonts w:ascii="Arial" w:hAnsi="Arial" w:cs="Arial"/>
          <w:lang w:val="en-US" w:eastAsia="en-GB"/>
        </w:rPr>
        <w:t xml:space="preserve"> the LEP’s Section 151 office, and as is being conveyed above, </w:t>
      </w:r>
      <w:r w:rsidRPr="00AE031E">
        <w:rPr>
          <w:rFonts w:ascii="Arial" w:hAnsi="Arial" w:cs="Arial"/>
          <w:lang w:val="en-US" w:eastAsia="en-GB"/>
        </w:rPr>
        <w:t>it appeared that there would be tools at the LEP’s disposal to ensure that the GBF monies could be spent by the March 2022 deadline</w:t>
      </w:r>
      <w:r w:rsidR="00A80D59">
        <w:rPr>
          <w:rFonts w:ascii="Arial" w:hAnsi="Arial" w:cs="Arial"/>
          <w:lang w:val="en-US" w:eastAsia="en-GB"/>
        </w:rPr>
        <w:t xml:space="preserve"> should this need arise.</w:t>
      </w:r>
    </w:p>
    <w:p w14:paraId="6EDE12F3" w14:textId="77777777" w:rsidR="001458E6" w:rsidRPr="00AE031E" w:rsidRDefault="001458E6" w:rsidP="006C5345">
      <w:pPr>
        <w:spacing w:after="0" w:line="240" w:lineRule="auto"/>
        <w:rPr>
          <w:rFonts w:ascii="Arial" w:hAnsi="Arial" w:cs="Arial"/>
          <w:lang w:val="en-US" w:eastAsia="en-GB"/>
        </w:rPr>
      </w:pPr>
    </w:p>
    <w:p w14:paraId="6EDE12F4" w14:textId="77777777" w:rsidR="001458E6" w:rsidRPr="00AE031E" w:rsidRDefault="00D8505F" w:rsidP="006C5345">
      <w:pPr>
        <w:spacing w:after="0" w:line="240" w:lineRule="auto"/>
        <w:rPr>
          <w:rFonts w:ascii="Arial" w:hAnsi="Arial" w:cs="Arial"/>
          <w:b/>
          <w:lang w:val="en-US" w:eastAsia="en-GB"/>
        </w:rPr>
      </w:pPr>
      <w:r w:rsidRPr="00AE031E">
        <w:rPr>
          <w:rFonts w:ascii="Arial" w:hAnsi="Arial" w:cs="Arial"/>
          <w:b/>
          <w:lang w:val="en-US" w:eastAsia="en-GB"/>
        </w:rPr>
        <w:t>Summary</w:t>
      </w:r>
    </w:p>
    <w:p w14:paraId="6EDE12F5" w14:textId="77777777" w:rsidR="00D8505F" w:rsidRPr="00AE031E" w:rsidRDefault="00D8505F" w:rsidP="006C5345">
      <w:pPr>
        <w:spacing w:after="0" w:line="240" w:lineRule="auto"/>
        <w:rPr>
          <w:rFonts w:ascii="Arial" w:hAnsi="Arial" w:cs="Arial"/>
          <w:b/>
          <w:lang w:val="en-US" w:eastAsia="en-GB"/>
        </w:rPr>
      </w:pPr>
    </w:p>
    <w:p w14:paraId="6EDE12F6" w14:textId="77777777" w:rsidR="00D8505F" w:rsidRPr="00AE031E" w:rsidRDefault="00D8505F" w:rsidP="00D8505F">
      <w:pPr>
        <w:spacing w:after="0" w:line="240" w:lineRule="auto"/>
        <w:ind w:left="426" w:hanging="426"/>
        <w:rPr>
          <w:rFonts w:ascii="Arial" w:hAnsi="Arial" w:cs="Arial"/>
          <w:lang w:val="en-US" w:eastAsia="en-GB"/>
        </w:rPr>
      </w:pPr>
      <w:r w:rsidRPr="00AE031E">
        <w:rPr>
          <w:rFonts w:ascii="Arial" w:hAnsi="Arial" w:cs="Arial"/>
          <w:lang w:val="en-US" w:eastAsia="en-GB"/>
        </w:rPr>
        <w:t>1/.  The SPMG Board are asked to note the cost increases and the additional match    funding that has very recently been secured for the programme, increasing the overall viability of the programme despite the challenges it is having to address.</w:t>
      </w:r>
    </w:p>
    <w:p w14:paraId="6EDE12F7" w14:textId="77777777" w:rsidR="00D8505F" w:rsidRDefault="00D8505F" w:rsidP="00D8505F">
      <w:pPr>
        <w:spacing w:after="0" w:line="240" w:lineRule="auto"/>
        <w:ind w:left="426" w:hanging="426"/>
        <w:rPr>
          <w:rFonts w:ascii="Arial" w:hAnsi="Arial" w:cs="Arial"/>
          <w:lang w:val="en-US" w:eastAsia="en-GB"/>
        </w:rPr>
      </w:pPr>
      <w:r w:rsidRPr="00AE031E">
        <w:rPr>
          <w:rFonts w:ascii="Arial" w:hAnsi="Arial" w:cs="Arial"/>
          <w:lang w:val="en-US" w:eastAsia="en-GB"/>
        </w:rPr>
        <w:t xml:space="preserve">2/.  </w:t>
      </w:r>
      <w:r w:rsidR="00EB7503" w:rsidRPr="00AE031E">
        <w:rPr>
          <w:rFonts w:ascii="Arial" w:hAnsi="Arial" w:cs="Arial"/>
          <w:lang w:val="en-US" w:eastAsia="en-GB"/>
        </w:rPr>
        <w:t>That SPMG endorse the approach being taken by progressing all schemes</w:t>
      </w:r>
      <w:r w:rsidR="00FB6CB3">
        <w:rPr>
          <w:rFonts w:ascii="Arial" w:hAnsi="Arial" w:cs="Arial"/>
          <w:lang w:val="en-US" w:eastAsia="en-GB"/>
        </w:rPr>
        <w:t xml:space="preserve"> at the very earliest opportunity</w:t>
      </w:r>
      <w:r w:rsidR="00EB7503" w:rsidRPr="00AE031E">
        <w:rPr>
          <w:rFonts w:ascii="Arial" w:hAnsi="Arial" w:cs="Arial"/>
          <w:lang w:val="en-US" w:eastAsia="en-GB"/>
        </w:rPr>
        <w:t xml:space="preserve"> </w:t>
      </w:r>
      <w:proofErr w:type="gramStart"/>
      <w:r w:rsidR="00EB7503" w:rsidRPr="00AE031E">
        <w:rPr>
          <w:rFonts w:ascii="Arial" w:hAnsi="Arial" w:cs="Arial"/>
          <w:lang w:val="en-US" w:eastAsia="en-GB"/>
        </w:rPr>
        <w:t>with the exception of</w:t>
      </w:r>
      <w:proofErr w:type="gramEnd"/>
      <w:r w:rsidR="00EB7503" w:rsidRPr="00AE031E">
        <w:rPr>
          <w:rFonts w:ascii="Arial" w:hAnsi="Arial" w:cs="Arial"/>
          <w:lang w:val="en-US" w:eastAsia="en-GB"/>
        </w:rPr>
        <w:t xml:space="preserve"> </w:t>
      </w:r>
      <w:proofErr w:type="spellStart"/>
      <w:r w:rsidR="00EB7503" w:rsidRPr="00AE031E">
        <w:rPr>
          <w:rFonts w:ascii="Arial" w:hAnsi="Arial" w:cs="Arial"/>
          <w:lang w:val="en-US" w:eastAsia="en-GB"/>
        </w:rPr>
        <w:t>CoRE</w:t>
      </w:r>
      <w:proofErr w:type="spellEnd"/>
      <w:r w:rsidR="00EB7503" w:rsidRPr="00AE031E">
        <w:rPr>
          <w:rFonts w:ascii="Arial" w:hAnsi="Arial" w:cs="Arial"/>
          <w:lang w:val="en-US" w:eastAsia="en-GB"/>
        </w:rPr>
        <w:t>, with the ambition to bring this project forward within the first quarter of 2022</w:t>
      </w:r>
      <w:r w:rsidR="00E05E97" w:rsidRPr="00AE031E">
        <w:rPr>
          <w:rFonts w:ascii="Arial" w:hAnsi="Arial" w:cs="Arial"/>
          <w:lang w:val="en-US" w:eastAsia="en-GB"/>
        </w:rPr>
        <w:t>.</w:t>
      </w:r>
    </w:p>
    <w:p w14:paraId="6EDE12F8" w14:textId="77777777" w:rsidR="0038197E" w:rsidRPr="00AE031E" w:rsidRDefault="0038197E" w:rsidP="00D8505F">
      <w:pPr>
        <w:spacing w:after="0" w:line="240" w:lineRule="auto"/>
        <w:ind w:left="426" w:hanging="426"/>
        <w:rPr>
          <w:rFonts w:ascii="Arial" w:hAnsi="Arial" w:cs="Arial"/>
          <w:lang w:val="en-US" w:eastAsia="en-GB"/>
        </w:rPr>
      </w:pPr>
      <w:r>
        <w:rPr>
          <w:rFonts w:ascii="Arial" w:hAnsi="Arial" w:cs="Arial"/>
          <w:lang w:val="en-US" w:eastAsia="en-GB"/>
        </w:rPr>
        <w:t xml:space="preserve">3/. </w:t>
      </w:r>
      <w:r>
        <w:rPr>
          <w:rFonts w:ascii="Arial" w:hAnsi="Arial" w:cs="Arial"/>
          <w:lang w:val="en-US" w:eastAsia="en-GB"/>
        </w:rPr>
        <w:tab/>
        <w:t>That in order to maximise spend the projects are viewed as a whole</w:t>
      </w:r>
      <w:r w:rsidR="00FB6CB3">
        <w:rPr>
          <w:rFonts w:ascii="Arial" w:hAnsi="Arial" w:cs="Arial"/>
          <w:lang w:val="en-US" w:eastAsia="en-GB"/>
        </w:rPr>
        <w:t xml:space="preserve"> programme, in each case,</w:t>
      </w:r>
      <w:r>
        <w:rPr>
          <w:rFonts w:ascii="Arial" w:hAnsi="Arial" w:cs="Arial"/>
          <w:lang w:val="en-US" w:eastAsia="en-GB"/>
        </w:rPr>
        <w:t xml:space="preserve"> utilizing GBF monies in the </w:t>
      </w:r>
      <w:r w:rsidR="00FB6CB3">
        <w:rPr>
          <w:rFonts w:ascii="Arial" w:hAnsi="Arial" w:cs="Arial"/>
          <w:lang w:val="en-US" w:eastAsia="en-GB"/>
        </w:rPr>
        <w:t xml:space="preserve">very </w:t>
      </w:r>
      <w:r>
        <w:rPr>
          <w:rFonts w:ascii="Arial" w:hAnsi="Arial" w:cs="Arial"/>
          <w:lang w:val="en-US" w:eastAsia="en-GB"/>
        </w:rPr>
        <w:t>first instance</w:t>
      </w:r>
      <w:r w:rsidR="00FB6CB3">
        <w:rPr>
          <w:rFonts w:ascii="Arial" w:hAnsi="Arial" w:cs="Arial"/>
          <w:lang w:val="en-US" w:eastAsia="en-GB"/>
        </w:rPr>
        <w:t xml:space="preserve"> and only using match once the full amount of GBF has been defrayed</w:t>
      </w:r>
    </w:p>
    <w:p w14:paraId="6EDE12F9" w14:textId="77777777" w:rsidR="00E05E97" w:rsidRPr="00AE031E" w:rsidRDefault="00E05E97" w:rsidP="00D8505F">
      <w:pPr>
        <w:spacing w:after="0" w:line="240" w:lineRule="auto"/>
        <w:ind w:left="426" w:hanging="426"/>
        <w:rPr>
          <w:rFonts w:ascii="Arial" w:hAnsi="Arial" w:cs="Arial"/>
          <w:lang w:val="en-US" w:eastAsia="en-GB"/>
        </w:rPr>
      </w:pPr>
      <w:r w:rsidRPr="00AE031E">
        <w:rPr>
          <w:rFonts w:ascii="Arial" w:hAnsi="Arial" w:cs="Arial"/>
          <w:lang w:val="en-US" w:eastAsia="en-GB"/>
        </w:rPr>
        <w:t>3/.</w:t>
      </w:r>
      <w:r w:rsidRPr="00AE031E">
        <w:rPr>
          <w:rFonts w:ascii="Arial" w:hAnsi="Arial" w:cs="Arial"/>
          <w:lang w:val="en-US" w:eastAsia="en-GB"/>
        </w:rPr>
        <w:tab/>
        <w:t>That the SPMG Board recognize the challenges that have faced the delivery of th</w:t>
      </w:r>
      <w:r w:rsidR="00A80D59">
        <w:rPr>
          <w:rFonts w:ascii="Arial" w:hAnsi="Arial" w:cs="Arial"/>
          <w:lang w:val="en-US" w:eastAsia="en-GB"/>
        </w:rPr>
        <w:t>is programme and confirm agreement to the use of Etruria Valley</w:t>
      </w:r>
      <w:r w:rsidRPr="00AE031E">
        <w:rPr>
          <w:rFonts w:ascii="Arial" w:hAnsi="Arial" w:cs="Arial"/>
          <w:lang w:val="en-US" w:eastAsia="en-GB"/>
        </w:rPr>
        <w:t>, using the LEP’s ‘freedoms and flexibilities’, to ensure that the Getting Building Fund allocation awarded to the Powering Up Enterprise Programme can be demonstrated as being defrayed by the March 2022 deadline.</w:t>
      </w:r>
    </w:p>
    <w:p w14:paraId="6EDE12FA" w14:textId="77777777" w:rsidR="00E05E97" w:rsidRPr="00D8505F" w:rsidRDefault="00E05E97" w:rsidP="00D8505F">
      <w:pPr>
        <w:spacing w:after="0" w:line="240" w:lineRule="auto"/>
        <w:ind w:left="426" w:hanging="426"/>
        <w:rPr>
          <w:rFonts w:ascii="Arial" w:hAnsi="Arial" w:cs="Arial"/>
          <w:sz w:val="24"/>
          <w:lang w:val="en-US" w:eastAsia="en-GB"/>
        </w:rPr>
      </w:pPr>
    </w:p>
    <w:p w14:paraId="6EDE12FF" w14:textId="77777777" w:rsidR="0027625D" w:rsidRDefault="0027625D" w:rsidP="0027625D">
      <w:pPr>
        <w:spacing w:after="0" w:line="240" w:lineRule="auto"/>
        <w:rPr>
          <w:rFonts w:ascii="Arial" w:eastAsia="Times New Roman" w:hAnsi="Arial" w:cs="Arial"/>
          <w:sz w:val="24"/>
          <w:szCs w:val="24"/>
        </w:rPr>
      </w:pPr>
    </w:p>
    <w:p w14:paraId="6EDE1300" w14:textId="77777777" w:rsidR="00EE6CD0" w:rsidRPr="00E564B5" w:rsidRDefault="00EE6CD0" w:rsidP="0027625D">
      <w:pPr>
        <w:spacing w:after="0" w:line="240" w:lineRule="auto"/>
        <w:rPr>
          <w:rFonts w:ascii="Arial" w:eastAsia="Times New Roman" w:hAnsi="Arial" w:cs="Arial"/>
          <w:sz w:val="24"/>
          <w:szCs w:val="24"/>
        </w:rPr>
      </w:pPr>
    </w:p>
    <w:tbl>
      <w:tblPr>
        <w:tblStyle w:val="TableGrid"/>
        <w:tblW w:w="0" w:type="auto"/>
        <w:shd w:val="clear" w:color="auto" w:fill="FFE599" w:themeFill="accent4" w:themeFillTint="66"/>
        <w:tblLook w:val="04A0" w:firstRow="1" w:lastRow="0" w:firstColumn="1" w:lastColumn="0" w:noHBand="0" w:noVBand="1"/>
      </w:tblPr>
      <w:tblGrid>
        <w:gridCol w:w="9016"/>
      </w:tblGrid>
      <w:tr w:rsidR="00001DDF" w14:paraId="6EDE1307" w14:textId="77777777" w:rsidTr="00986594">
        <w:tc>
          <w:tcPr>
            <w:tcW w:w="9016" w:type="dxa"/>
            <w:shd w:val="clear" w:color="auto" w:fill="FFE599" w:themeFill="accent4" w:themeFillTint="66"/>
          </w:tcPr>
          <w:p w14:paraId="6EDE1301" w14:textId="77777777" w:rsidR="008D086B" w:rsidRDefault="008D086B" w:rsidP="00986594">
            <w:pPr>
              <w:rPr>
                <w:rFonts w:ascii="Arial" w:hAnsi="Arial" w:cs="Arial"/>
                <w:b/>
                <w:bCs/>
                <w:sz w:val="24"/>
                <w:szCs w:val="24"/>
              </w:rPr>
            </w:pPr>
          </w:p>
          <w:p w14:paraId="6EDE1302" w14:textId="77777777" w:rsidR="00001DDF" w:rsidRDefault="00AE2045" w:rsidP="00986594">
            <w:pPr>
              <w:rPr>
                <w:rFonts w:ascii="Arial" w:hAnsi="Arial" w:cs="Arial"/>
                <w:b/>
                <w:bCs/>
                <w:sz w:val="24"/>
                <w:szCs w:val="24"/>
              </w:rPr>
            </w:pPr>
            <w:r>
              <w:rPr>
                <w:rFonts w:ascii="Arial" w:hAnsi="Arial" w:cs="Arial"/>
                <w:b/>
                <w:bCs/>
                <w:sz w:val="24"/>
                <w:szCs w:val="24"/>
              </w:rPr>
              <w:t xml:space="preserve">SSLEP Executive Board </w:t>
            </w:r>
          </w:p>
          <w:p w14:paraId="6EDE1303" w14:textId="77777777" w:rsidR="007E230A" w:rsidRDefault="007E230A" w:rsidP="00986594">
            <w:pPr>
              <w:rPr>
                <w:rFonts w:ascii="Arial" w:hAnsi="Arial" w:cs="Arial"/>
                <w:b/>
                <w:bCs/>
                <w:sz w:val="24"/>
                <w:szCs w:val="24"/>
              </w:rPr>
            </w:pPr>
          </w:p>
          <w:p w14:paraId="6EDE1304" w14:textId="77777777" w:rsidR="00D8505F" w:rsidRDefault="007E230A" w:rsidP="000543E6">
            <w:pPr>
              <w:rPr>
                <w:rFonts w:ascii="Arial" w:hAnsi="Arial" w:cs="Arial"/>
                <w:b/>
                <w:bCs/>
              </w:rPr>
            </w:pPr>
            <w:r>
              <w:rPr>
                <w:rFonts w:ascii="Arial" w:hAnsi="Arial" w:cs="Arial"/>
                <w:b/>
                <w:bCs/>
              </w:rPr>
              <w:t xml:space="preserve">SPMG </w:t>
            </w:r>
            <w:r w:rsidR="00F77841" w:rsidRPr="007E230A">
              <w:rPr>
                <w:rFonts w:ascii="Arial" w:hAnsi="Arial" w:cs="Arial"/>
                <w:b/>
                <w:bCs/>
              </w:rPr>
              <w:t>Recommendation:</w:t>
            </w:r>
          </w:p>
          <w:p w14:paraId="6EDE1305" w14:textId="77777777" w:rsidR="007E230A" w:rsidRPr="007E230A" w:rsidRDefault="00F77841" w:rsidP="000543E6">
            <w:pPr>
              <w:rPr>
                <w:rFonts w:ascii="Arial" w:hAnsi="Arial" w:cs="Arial"/>
                <w:b/>
                <w:bCs/>
              </w:rPr>
            </w:pPr>
            <w:r w:rsidRPr="007E230A">
              <w:rPr>
                <w:rFonts w:ascii="Arial" w:hAnsi="Arial" w:cs="Arial"/>
                <w:b/>
                <w:bCs/>
              </w:rPr>
              <w:t xml:space="preserve">  </w:t>
            </w:r>
          </w:p>
          <w:p w14:paraId="6EDE1306" w14:textId="77777777" w:rsidR="00AE2045" w:rsidRDefault="00AE2045" w:rsidP="00D435C8">
            <w:pPr>
              <w:rPr>
                <w:lang w:val="en-US" w:eastAsia="en-GB"/>
              </w:rPr>
            </w:pPr>
          </w:p>
        </w:tc>
      </w:tr>
    </w:tbl>
    <w:p w14:paraId="6EDE1308" w14:textId="77777777" w:rsidR="00422BBA" w:rsidRDefault="00422BBA" w:rsidP="0027625D">
      <w:pPr>
        <w:spacing w:after="0" w:line="240" w:lineRule="auto"/>
        <w:rPr>
          <w:rFonts w:ascii="Arial" w:hAnsi="Arial" w:cs="Arial"/>
          <w:b/>
          <w:bCs/>
          <w:sz w:val="24"/>
          <w:szCs w:val="24"/>
        </w:rPr>
      </w:pPr>
    </w:p>
    <w:p w14:paraId="6EDE1309" w14:textId="77777777" w:rsidR="00B42374" w:rsidRDefault="00B42374" w:rsidP="0027625D">
      <w:pPr>
        <w:spacing w:after="0" w:line="240" w:lineRule="auto"/>
        <w:rPr>
          <w:rFonts w:ascii="Arial" w:hAnsi="Arial" w:cs="Arial"/>
          <w:sz w:val="24"/>
          <w:szCs w:val="24"/>
          <w:u w:val="single"/>
        </w:rPr>
      </w:pPr>
    </w:p>
    <w:p w14:paraId="6EDE1324" w14:textId="1A9CEABE" w:rsidR="0027625D" w:rsidRDefault="0027625D" w:rsidP="0027625D">
      <w:pPr>
        <w:spacing w:after="0" w:line="240" w:lineRule="auto"/>
        <w:rPr>
          <w:rFonts w:ascii="Arial" w:hAnsi="Arial" w:cs="Arial"/>
          <w:sz w:val="24"/>
          <w:szCs w:val="24"/>
        </w:rPr>
      </w:pPr>
    </w:p>
    <w:sectPr w:rsidR="0027625D" w:rsidSect="00983C88">
      <w:headerReference w:type="default" r:id="rId12"/>
      <w:footerReference w:type="default" r:id="rId13"/>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B0DC" w14:textId="77777777" w:rsidR="004124C6" w:rsidRDefault="004124C6" w:rsidP="009C03CE">
      <w:pPr>
        <w:spacing w:after="0" w:line="240" w:lineRule="auto"/>
      </w:pPr>
      <w:r>
        <w:separator/>
      </w:r>
    </w:p>
  </w:endnote>
  <w:endnote w:type="continuationSeparator" w:id="0">
    <w:p w14:paraId="1AEABA99" w14:textId="77777777" w:rsidR="004124C6" w:rsidRDefault="004124C6" w:rsidP="009C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132D" w14:textId="77777777" w:rsidR="00684B72" w:rsidRDefault="00684B72">
    <w:pPr>
      <w:pStyle w:val="Footer"/>
    </w:pPr>
  </w:p>
  <w:p w14:paraId="6EDE132E" w14:textId="77777777" w:rsidR="00684B72" w:rsidRDefault="0068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668B" w14:textId="77777777" w:rsidR="004124C6" w:rsidRDefault="004124C6" w:rsidP="009C03CE">
      <w:pPr>
        <w:spacing w:after="0" w:line="240" w:lineRule="auto"/>
      </w:pPr>
      <w:r>
        <w:separator/>
      </w:r>
    </w:p>
  </w:footnote>
  <w:footnote w:type="continuationSeparator" w:id="0">
    <w:p w14:paraId="4067B343" w14:textId="77777777" w:rsidR="004124C6" w:rsidRDefault="004124C6" w:rsidP="009C0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132B" w14:textId="77777777" w:rsidR="009C03CE" w:rsidRDefault="005221D5" w:rsidP="009C03CE">
    <w:pPr>
      <w:pStyle w:val="Header"/>
      <w:ind w:left="2687" w:firstLine="4513"/>
    </w:pPr>
    <w:r>
      <w:rPr>
        <w:noProof/>
        <w:lang w:eastAsia="en-GB"/>
      </w:rPr>
      <w:drawing>
        <wp:inline distT="0" distB="0" distL="0" distR="0" wp14:anchorId="6EDE132F" wp14:editId="6EDE1330">
          <wp:extent cx="1422400" cy="540689"/>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9610" cy="573840"/>
                  </a:xfrm>
                  <a:prstGeom prst="rect">
                    <a:avLst/>
                  </a:prstGeom>
                </pic:spPr>
              </pic:pic>
            </a:graphicData>
          </a:graphic>
        </wp:inline>
      </w:drawing>
    </w:r>
  </w:p>
  <w:p w14:paraId="6EDE132C" w14:textId="77777777" w:rsidR="009C03CE" w:rsidRDefault="009C0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194"/>
    <w:multiLevelType w:val="hybridMultilevel"/>
    <w:tmpl w:val="067C2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66908"/>
    <w:multiLevelType w:val="hybridMultilevel"/>
    <w:tmpl w:val="E57ED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D23E5"/>
    <w:multiLevelType w:val="hybridMultilevel"/>
    <w:tmpl w:val="8F6A4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22427A"/>
    <w:multiLevelType w:val="hybridMultilevel"/>
    <w:tmpl w:val="011A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142D6"/>
    <w:multiLevelType w:val="hybridMultilevel"/>
    <w:tmpl w:val="A30C8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184602"/>
    <w:multiLevelType w:val="hybridMultilevel"/>
    <w:tmpl w:val="EE6A1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F1CAE"/>
    <w:multiLevelType w:val="hybridMultilevel"/>
    <w:tmpl w:val="1FBA6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A904DF"/>
    <w:multiLevelType w:val="hybridMultilevel"/>
    <w:tmpl w:val="8F6A4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CCB45B2"/>
    <w:multiLevelType w:val="hybridMultilevel"/>
    <w:tmpl w:val="8F80C0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22A82"/>
    <w:multiLevelType w:val="hybridMultilevel"/>
    <w:tmpl w:val="EBCCA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70C36"/>
    <w:multiLevelType w:val="hybridMultilevel"/>
    <w:tmpl w:val="4088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9F1"/>
    <w:rsid w:val="00001DDF"/>
    <w:rsid w:val="0001218B"/>
    <w:rsid w:val="000134FE"/>
    <w:rsid w:val="0002758F"/>
    <w:rsid w:val="0003000F"/>
    <w:rsid w:val="000543E6"/>
    <w:rsid w:val="00057B41"/>
    <w:rsid w:val="000650BA"/>
    <w:rsid w:val="00065959"/>
    <w:rsid w:val="000661AF"/>
    <w:rsid w:val="00087FBA"/>
    <w:rsid w:val="00096ED8"/>
    <w:rsid w:val="000A02ED"/>
    <w:rsid w:val="000A70CF"/>
    <w:rsid w:val="000B300A"/>
    <w:rsid w:val="000C00BB"/>
    <w:rsid w:val="000D5D10"/>
    <w:rsid w:val="0010574C"/>
    <w:rsid w:val="001141A6"/>
    <w:rsid w:val="0012420E"/>
    <w:rsid w:val="00125D9C"/>
    <w:rsid w:val="0014582D"/>
    <w:rsid w:val="001458E6"/>
    <w:rsid w:val="00147092"/>
    <w:rsid w:val="00147226"/>
    <w:rsid w:val="0018357E"/>
    <w:rsid w:val="00194207"/>
    <w:rsid w:val="00197E19"/>
    <w:rsid w:val="001B6BA2"/>
    <w:rsid w:val="001D59FB"/>
    <w:rsid w:val="00203ABC"/>
    <w:rsid w:val="002057FA"/>
    <w:rsid w:val="002078F4"/>
    <w:rsid w:val="002159A5"/>
    <w:rsid w:val="00252EC7"/>
    <w:rsid w:val="0025416F"/>
    <w:rsid w:val="00256C29"/>
    <w:rsid w:val="00261B48"/>
    <w:rsid w:val="002637BB"/>
    <w:rsid w:val="0027625D"/>
    <w:rsid w:val="002949C9"/>
    <w:rsid w:val="002A3219"/>
    <w:rsid w:val="002C4FC7"/>
    <w:rsid w:val="00300DFE"/>
    <w:rsid w:val="003166B2"/>
    <w:rsid w:val="00325A28"/>
    <w:rsid w:val="0033234D"/>
    <w:rsid w:val="003341F4"/>
    <w:rsid w:val="0035040B"/>
    <w:rsid w:val="0036162C"/>
    <w:rsid w:val="00361E2E"/>
    <w:rsid w:val="0038197E"/>
    <w:rsid w:val="00385C9F"/>
    <w:rsid w:val="003A4C4D"/>
    <w:rsid w:val="003A5425"/>
    <w:rsid w:val="003B15D0"/>
    <w:rsid w:val="003B4429"/>
    <w:rsid w:val="003C4DDD"/>
    <w:rsid w:val="003C5098"/>
    <w:rsid w:val="003D5AE6"/>
    <w:rsid w:val="003E04ED"/>
    <w:rsid w:val="004047B3"/>
    <w:rsid w:val="004124C6"/>
    <w:rsid w:val="00417382"/>
    <w:rsid w:val="00422BBA"/>
    <w:rsid w:val="0044454A"/>
    <w:rsid w:val="00465C20"/>
    <w:rsid w:val="00467D98"/>
    <w:rsid w:val="00474BCE"/>
    <w:rsid w:val="004A60F2"/>
    <w:rsid w:val="004B7D2E"/>
    <w:rsid w:val="004C0092"/>
    <w:rsid w:val="004F449A"/>
    <w:rsid w:val="004F6C4A"/>
    <w:rsid w:val="00507ECC"/>
    <w:rsid w:val="00515C46"/>
    <w:rsid w:val="00516969"/>
    <w:rsid w:val="005221D5"/>
    <w:rsid w:val="00542D6F"/>
    <w:rsid w:val="00551937"/>
    <w:rsid w:val="00552A2F"/>
    <w:rsid w:val="00554251"/>
    <w:rsid w:val="005644BF"/>
    <w:rsid w:val="00570D45"/>
    <w:rsid w:val="00582A9E"/>
    <w:rsid w:val="0058388C"/>
    <w:rsid w:val="00584D6E"/>
    <w:rsid w:val="00594DE7"/>
    <w:rsid w:val="00596552"/>
    <w:rsid w:val="005C2ABE"/>
    <w:rsid w:val="005F48A8"/>
    <w:rsid w:val="0060613B"/>
    <w:rsid w:val="00612377"/>
    <w:rsid w:val="0062218A"/>
    <w:rsid w:val="00632535"/>
    <w:rsid w:val="006751B3"/>
    <w:rsid w:val="006774E4"/>
    <w:rsid w:val="00684B72"/>
    <w:rsid w:val="006919EC"/>
    <w:rsid w:val="006A64AC"/>
    <w:rsid w:val="006A6C1E"/>
    <w:rsid w:val="006B257D"/>
    <w:rsid w:val="006C5345"/>
    <w:rsid w:val="006E0B24"/>
    <w:rsid w:val="006F15AE"/>
    <w:rsid w:val="006F4699"/>
    <w:rsid w:val="006F6431"/>
    <w:rsid w:val="00700BBA"/>
    <w:rsid w:val="007040BC"/>
    <w:rsid w:val="00704465"/>
    <w:rsid w:val="00705073"/>
    <w:rsid w:val="00705A0C"/>
    <w:rsid w:val="007121E7"/>
    <w:rsid w:val="0071640E"/>
    <w:rsid w:val="0072208C"/>
    <w:rsid w:val="007273A8"/>
    <w:rsid w:val="00735B4C"/>
    <w:rsid w:val="00757EBB"/>
    <w:rsid w:val="00771C48"/>
    <w:rsid w:val="00776487"/>
    <w:rsid w:val="0079153C"/>
    <w:rsid w:val="00796266"/>
    <w:rsid w:val="007B20B9"/>
    <w:rsid w:val="007C7EA3"/>
    <w:rsid w:val="007E230A"/>
    <w:rsid w:val="008018AC"/>
    <w:rsid w:val="00834D45"/>
    <w:rsid w:val="008548A8"/>
    <w:rsid w:val="00857C3A"/>
    <w:rsid w:val="0087048C"/>
    <w:rsid w:val="0088278A"/>
    <w:rsid w:val="008860FF"/>
    <w:rsid w:val="00887A8A"/>
    <w:rsid w:val="008924A8"/>
    <w:rsid w:val="008C4F0A"/>
    <w:rsid w:val="008D086B"/>
    <w:rsid w:val="008E278D"/>
    <w:rsid w:val="008F29E5"/>
    <w:rsid w:val="00911C86"/>
    <w:rsid w:val="00922279"/>
    <w:rsid w:val="009479F1"/>
    <w:rsid w:val="009527FA"/>
    <w:rsid w:val="00954B79"/>
    <w:rsid w:val="00970BE1"/>
    <w:rsid w:val="00983C88"/>
    <w:rsid w:val="00996949"/>
    <w:rsid w:val="00996BB1"/>
    <w:rsid w:val="009A03C4"/>
    <w:rsid w:val="009B34F3"/>
    <w:rsid w:val="009C03CE"/>
    <w:rsid w:val="009C6B02"/>
    <w:rsid w:val="009D6E75"/>
    <w:rsid w:val="009E0E28"/>
    <w:rsid w:val="00A03D31"/>
    <w:rsid w:val="00A1400D"/>
    <w:rsid w:val="00A21522"/>
    <w:rsid w:val="00A23E88"/>
    <w:rsid w:val="00A24E6F"/>
    <w:rsid w:val="00A50469"/>
    <w:rsid w:val="00A60BA6"/>
    <w:rsid w:val="00A7306C"/>
    <w:rsid w:val="00A80D59"/>
    <w:rsid w:val="00A82E55"/>
    <w:rsid w:val="00A8435C"/>
    <w:rsid w:val="00AA0882"/>
    <w:rsid w:val="00AA2943"/>
    <w:rsid w:val="00AA3EB4"/>
    <w:rsid w:val="00AD5055"/>
    <w:rsid w:val="00AE031E"/>
    <w:rsid w:val="00AE2045"/>
    <w:rsid w:val="00AE4A9B"/>
    <w:rsid w:val="00AF26CE"/>
    <w:rsid w:val="00B3027B"/>
    <w:rsid w:val="00B42374"/>
    <w:rsid w:val="00B50858"/>
    <w:rsid w:val="00B5651B"/>
    <w:rsid w:val="00B60BF2"/>
    <w:rsid w:val="00B87E86"/>
    <w:rsid w:val="00BB1CC2"/>
    <w:rsid w:val="00BB1F2C"/>
    <w:rsid w:val="00BD3782"/>
    <w:rsid w:val="00BD5171"/>
    <w:rsid w:val="00BD6F93"/>
    <w:rsid w:val="00BE3425"/>
    <w:rsid w:val="00BE7BFC"/>
    <w:rsid w:val="00C23E58"/>
    <w:rsid w:val="00C30A70"/>
    <w:rsid w:val="00C31AC3"/>
    <w:rsid w:val="00C31C81"/>
    <w:rsid w:val="00C329B4"/>
    <w:rsid w:val="00C35DBC"/>
    <w:rsid w:val="00C408FC"/>
    <w:rsid w:val="00C5109E"/>
    <w:rsid w:val="00C510CB"/>
    <w:rsid w:val="00C93E11"/>
    <w:rsid w:val="00CA0ABD"/>
    <w:rsid w:val="00CC3A13"/>
    <w:rsid w:val="00CC514C"/>
    <w:rsid w:val="00CC57CC"/>
    <w:rsid w:val="00CC5C1F"/>
    <w:rsid w:val="00CE1F2B"/>
    <w:rsid w:val="00CF0689"/>
    <w:rsid w:val="00D049B0"/>
    <w:rsid w:val="00D053FE"/>
    <w:rsid w:val="00D1397C"/>
    <w:rsid w:val="00D224DD"/>
    <w:rsid w:val="00D314D2"/>
    <w:rsid w:val="00D35C18"/>
    <w:rsid w:val="00D435C8"/>
    <w:rsid w:val="00D53481"/>
    <w:rsid w:val="00D55365"/>
    <w:rsid w:val="00D62A19"/>
    <w:rsid w:val="00D66AEB"/>
    <w:rsid w:val="00D6761E"/>
    <w:rsid w:val="00D754CD"/>
    <w:rsid w:val="00D76B6A"/>
    <w:rsid w:val="00D8505F"/>
    <w:rsid w:val="00D86A9C"/>
    <w:rsid w:val="00DA33DE"/>
    <w:rsid w:val="00DB331B"/>
    <w:rsid w:val="00DE0173"/>
    <w:rsid w:val="00DE401D"/>
    <w:rsid w:val="00E00F9F"/>
    <w:rsid w:val="00E01C72"/>
    <w:rsid w:val="00E05E97"/>
    <w:rsid w:val="00E412EA"/>
    <w:rsid w:val="00E46972"/>
    <w:rsid w:val="00E51842"/>
    <w:rsid w:val="00E564B5"/>
    <w:rsid w:val="00E61887"/>
    <w:rsid w:val="00E80A10"/>
    <w:rsid w:val="00E856BF"/>
    <w:rsid w:val="00E8643C"/>
    <w:rsid w:val="00EB0254"/>
    <w:rsid w:val="00EB7503"/>
    <w:rsid w:val="00EE6CD0"/>
    <w:rsid w:val="00F010F2"/>
    <w:rsid w:val="00F044EB"/>
    <w:rsid w:val="00F42EDA"/>
    <w:rsid w:val="00F5051F"/>
    <w:rsid w:val="00F50C23"/>
    <w:rsid w:val="00F511E6"/>
    <w:rsid w:val="00F53E37"/>
    <w:rsid w:val="00F77841"/>
    <w:rsid w:val="00F94BC7"/>
    <w:rsid w:val="00F96D1B"/>
    <w:rsid w:val="00FA15CF"/>
    <w:rsid w:val="00FB42FD"/>
    <w:rsid w:val="00FB6CB3"/>
    <w:rsid w:val="00FF3182"/>
    <w:rsid w:val="00FF3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E129A"/>
  <w15:docId w15:val="{143200E4-4FBD-4D06-850C-72A6A575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A9C"/>
    <w:pPr>
      <w:ind w:left="720"/>
      <w:contextualSpacing/>
    </w:pPr>
  </w:style>
  <w:style w:type="paragraph" w:styleId="Header">
    <w:name w:val="header"/>
    <w:basedOn w:val="Normal"/>
    <w:link w:val="HeaderChar"/>
    <w:uiPriority w:val="99"/>
    <w:unhideWhenUsed/>
    <w:rsid w:val="009C0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3CE"/>
  </w:style>
  <w:style w:type="paragraph" w:styleId="Footer">
    <w:name w:val="footer"/>
    <w:basedOn w:val="Normal"/>
    <w:link w:val="FooterChar"/>
    <w:uiPriority w:val="99"/>
    <w:unhideWhenUsed/>
    <w:rsid w:val="009C0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CE"/>
  </w:style>
  <w:style w:type="character" w:styleId="Hyperlink">
    <w:name w:val="Hyperlink"/>
    <w:basedOn w:val="DefaultParagraphFont"/>
    <w:uiPriority w:val="99"/>
    <w:semiHidden/>
    <w:unhideWhenUsed/>
    <w:rsid w:val="00A23E88"/>
    <w:rPr>
      <w:color w:val="0000FF"/>
      <w:u w:val="single"/>
    </w:rPr>
  </w:style>
  <w:style w:type="table" w:styleId="TableGrid">
    <w:name w:val="Table Grid"/>
    <w:basedOn w:val="TableNormal"/>
    <w:uiPriority w:val="39"/>
    <w:rsid w:val="005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998">
      <w:bodyDiv w:val="1"/>
      <w:marLeft w:val="0"/>
      <w:marRight w:val="0"/>
      <w:marTop w:val="0"/>
      <w:marBottom w:val="0"/>
      <w:divBdr>
        <w:top w:val="none" w:sz="0" w:space="0" w:color="auto"/>
        <w:left w:val="none" w:sz="0" w:space="0" w:color="auto"/>
        <w:bottom w:val="none" w:sz="0" w:space="0" w:color="auto"/>
        <w:right w:val="none" w:sz="0" w:space="0" w:color="auto"/>
      </w:divBdr>
    </w:div>
    <w:div w:id="191116557">
      <w:bodyDiv w:val="1"/>
      <w:marLeft w:val="0"/>
      <w:marRight w:val="0"/>
      <w:marTop w:val="0"/>
      <w:marBottom w:val="0"/>
      <w:divBdr>
        <w:top w:val="none" w:sz="0" w:space="0" w:color="auto"/>
        <w:left w:val="none" w:sz="0" w:space="0" w:color="auto"/>
        <w:bottom w:val="none" w:sz="0" w:space="0" w:color="auto"/>
        <w:right w:val="none" w:sz="0" w:space="0" w:color="auto"/>
      </w:divBdr>
    </w:div>
    <w:div w:id="253520436">
      <w:bodyDiv w:val="1"/>
      <w:marLeft w:val="0"/>
      <w:marRight w:val="0"/>
      <w:marTop w:val="0"/>
      <w:marBottom w:val="0"/>
      <w:divBdr>
        <w:top w:val="none" w:sz="0" w:space="0" w:color="auto"/>
        <w:left w:val="none" w:sz="0" w:space="0" w:color="auto"/>
        <w:bottom w:val="none" w:sz="0" w:space="0" w:color="auto"/>
        <w:right w:val="none" w:sz="0" w:space="0" w:color="auto"/>
      </w:divBdr>
    </w:div>
    <w:div w:id="374695036">
      <w:bodyDiv w:val="1"/>
      <w:marLeft w:val="0"/>
      <w:marRight w:val="0"/>
      <w:marTop w:val="0"/>
      <w:marBottom w:val="0"/>
      <w:divBdr>
        <w:top w:val="none" w:sz="0" w:space="0" w:color="auto"/>
        <w:left w:val="none" w:sz="0" w:space="0" w:color="auto"/>
        <w:bottom w:val="none" w:sz="0" w:space="0" w:color="auto"/>
        <w:right w:val="none" w:sz="0" w:space="0" w:color="auto"/>
      </w:divBdr>
    </w:div>
    <w:div w:id="536547096">
      <w:bodyDiv w:val="1"/>
      <w:marLeft w:val="0"/>
      <w:marRight w:val="0"/>
      <w:marTop w:val="0"/>
      <w:marBottom w:val="0"/>
      <w:divBdr>
        <w:top w:val="none" w:sz="0" w:space="0" w:color="auto"/>
        <w:left w:val="none" w:sz="0" w:space="0" w:color="auto"/>
        <w:bottom w:val="none" w:sz="0" w:space="0" w:color="auto"/>
        <w:right w:val="none" w:sz="0" w:space="0" w:color="auto"/>
      </w:divBdr>
    </w:div>
    <w:div w:id="1077482378">
      <w:bodyDiv w:val="1"/>
      <w:marLeft w:val="0"/>
      <w:marRight w:val="0"/>
      <w:marTop w:val="0"/>
      <w:marBottom w:val="0"/>
      <w:divBdr>
        <w:top w:val="none" w:sz="0" w:space="0" w:color="auto"/>
        <w:left w:val="none" w:sz="0" w:space="0" w:color="auto"/>
        <w:bottom w:val="none" w:sz="0" w:space="0" w:color="auto"/>
        <w:right w:val="none" w:sz="0" w:space="0" w:color="auto"/>
      </w:divBdr>
    </w:div>
    <w:div w:id="1586693766">
      <w:bodyDiv w:val="1"/>
      <w:marLeft w:val="0"/>
      <w:marRight w:val="0"/>
      <w:marTop w:val="0"/>
      <w:marBottom w:val="0"/>
      <w:divBdr>
        <w:top w:val="none" w:sz="0" w:space="0" w:color="auto"/>
        <w:left w:val="none" w:sz="0" w:space="0" w:color="auto"/>
        <w:bottom w:val="none" w:sz="0" w:space="0" w:color="auto"/>
        <w:right w:val="none" w:sz="0" w:space="0" w:color="auto"/>
      </w:divBdr>
    </w:div>
    <w:div w:id="2042240253">
      <w:bodyDiv w:val="1"/>
      <w:marLeft w:val="0"/>
      <w:marRight w:val="0"/>
      <w:marTop w:val="0"/>
      <w:marBottom w:val="0"/>
      <w:divBdr>
        <w:top w:val="none" w:sz="0" w:space="0" w:color="auto"/>
        <w:left w:val="none" w:sz="0" w:space="0" w:color="auto"/>
        <w:bottom w:val="none" w:sz="0" w:space="0" w:color="auto"/>
        <w:right w:val="none" w:sz="0" w:space="0" w:color="auto"/>
      </w:divBdr>
    </w:div>
    <w:div w:id="20876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EC27.5DB5474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3c739c9a0d7b625cfa551df5500d06b">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eb85d6836d2e66859c8fde09263ac2a9"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6C78F-6610-4EF3-BD4B-4D6A8DD7E31C}">
  <ds:schemaRefs>
    <ds:schemaRef ds:uri="http://schemas.microsoft.com/sharepoint/v3/contenttype/forms"/>
  </ds:schemaRefs>
</ds:datastoreItem>
</file>

<file path=customXml/itemProps2.xml><?xml version="1.0" encoding="utf-8"?>
<ds:datastoreItem xmlns:ds="http://schemas.openxmlformats.org/officeDocument/2006/customXml" ds:itemID="{5AA31B6E-588E-484A-A85C-628F65FFB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1521D-EDD8-48AF-86F4-DE48B1A62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Palphreyman, Sharon (Corporate)</dc:creator>
  <cp:lastModifiedBy>Palphreyman, Sharon (Corporate)</cp:lastModifiedBy>
  <cp:revision>7</cp:revision>
  <dcterms:created xsi:type="dcterms:W3CDTF">2021-12-14T09:19:00Z</dcterms:created>
  <dcterms:modified xsi:type="dcterms:W3CDTF">2021-12-16T11:32:00Z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