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79EE" w14:textId="77777777" w:rsidR="001C5A5E" w:rsidRDefault="001C5A5E" w:rsidP="00992A73">
      <w:pPr>
        <w:jc w:val="center"/>
        <w:rPr>
          <w:rFonts w:ascii="Verdana" w:hAnsi="Verdana"/>
          <w:b/>
          <w:bCs/>
          <w:sz w:val="24"/>
          <w:szCs w:val="24"/>
          <w:u w:val="single"/>
        </w:rPr>
      </w:pPr>
    </w:p>
    <w:p w14:paraId="04E890C9" w14:textId="726B5512" w:rsidR="009B10BE" w:rsidRPr="00992A73" w:rsidRDefault="004C36AC" w:rsidP="00992A73">
      <w:pPr>
        <w:jc w:val="center"/>
        <w:rPr>
          <w:rFonts w:ascii="Verdana" w:hAnsi="Verdana"/>
          <w:b/>
          <w:bCs/>
          <w:sz w:val="24"/>
          <w:szCs w:val="24"/>
          <w:u w:val="single"/>
        </w:rPr>
      </w:pPr>
      <w:r w:rsidRPr="00992A73">
        <w:rPr>
          <w:rFonts w:ascii="Verdana" w:hAnsi="Verdana"/>
          <w:b/>
          <w:bCs/>
          <w:sz w:val="24"/>
          <w:szCs w:val="24"/>
          <w:u w:val="single"/>
        </w:rPr>
        <w:t>Growing Places Fund</w:t>
      </w:r>
    </w:p>
    <w:p w14:paraId="654433D6" w14:textId="14D15953" w:rsidR="004C36AC" w:rsidRDefault="004C36AC" w:rsidP="00992A73">
      <w:pPr>
        <w:jc w:val="center"/>
        <w:rPr>
          <w:rFonts w:ascii="Verdana" w:hAnsi="Verdana"/>
          <w:b/>
          <w:bCs/>
          <w:sz w:val="24"/>
          <w:szCs w:val="24"/>
          <w:u w:val="single"/>
        </w:rPr>
      </w:pPr>
      <w:r w:rsidRPr="00992A73">
        <w:rPr>
          <w:rFonts w:ascii="Verdana" w:hAnsi="Verdana"/>
          <w:b/>
          <w:bCs/>
          <w:sz w:val="24"/>
          <w:szCs w:val="24"/>
          <w:u w:val="single"/>
        </w:rPr>
        <w:t>Loan Security</w:t>
      </w:r>
      <w:r w:rsidR="00992A73">
        <w:rPr>
          <w:rFonts w:ascii="Verdana" w:hAnsi="Verdana"/>
          <w:b/>
          <w:bCs/>
          <w:sz w:val="24"/>
          <w:szCs w:val="24"/>
          <w:u w:val="single"/>
        </w:rPr>
        <w:t xml:space="preserve"> Options</w:t>
      </w:r>
    </w:p>
    <w:p w14:paraId="3E5C88F7" w14:textId="1C12956D" w:rsidR="00992A73" w:rsidRPr="00992A73" w:rsidRDefault="0059118E" w:rsidP="00992A73">
      <w:pPr>
        <w:jc w:val="center"/>
        <w:rPr>
          <w:rFonts w:ascii="Verdana" w:hAnsi="Verdana"/>
          <w:b/>
          <w:bCs/>
          <w:sz w:val="24"/>
          <w:szCs w:val="24"/>
          <w:u w:val="single"/>
        </w:rPr>
      </w:pPr>
      <w:r>
        <w:rPr>
          <w:rFonts w:ascii="Verdana" w:hAnsi="Verdana"/>
          <w:b/>
          <w:bCs/>
          <w:sz w:val="24"/>
          <w:szCs w:val="24"/>
          <w:u w:val="single"/>
        </w:rPr>
        <w:t>15</w:t>
      </w:r>
      <w:r w:rsidR="00992A73" w:rsidRPr="00992A73">
        <w:rPr>
          <w:rFonts w:ascii="Verdana" w:hAnsi="Verdana"/>
          <w:b/>
          <w:bCs/>
          <w:sz w:val="24"/>
          <w:szCs w:val="24"/>
          <w:u w:val="single"/>
          <w:vertAlign w:val="superscript"/>
        </w:rPr>
        <w:t>th</w:t>
      </w:r>
      <w:r w:rsidR="00992A73">
        <w:rPr>
          <w:rFonts w:ascii="Verdana" w:hAnsi="Verdana"/>
          <w:b/>
          <w:bCs/>
          <w:sz w:val="24"/>
          <w:szCs w:val="24"/>
          <w:u w:val="single"/>
        </w:rPr>
        <w:t xml:space="preserve"> October 2021</w:t>
      </w:r>
    </w:p>
    <w:p w14:paraId="158F4FD1" w14:textId="35F5D121" w:rsidR="004C36AC" w:rsidRDefault="004C36AC">
      <w:pPr>
        <w:rPr>
          <w:rFonts w:ascii="Verdana" w:hAnsi="Verdana"/>
          <w:sz w:val="24"/>
          <w:szCs w:val="24"/>
        </w:rPr>
      </w:pPr>
    </w:p>
    <w:p w14:paraId="3264AE6A" w14:textId="3D9C1900" w:rsidR="004C36AC" w:rsidRDefault="00EC109E" w:rsidP="001E67C6">
      <w:pPr>
        <w:pStyle w:val="Heading1"/>
        <w:numPr>
          <w:ilvl w:val="0"/>
          <w:numId w:val="13"/>
        </w:numPr>
        <w:jc w:val="both"/>
        <w:rPr>
          <w:rFonts w:ascii="Verdana" w:eastAsiaTheme="minorHAnsi" w:hAnsi="Verdana" w:cstheme="minorBidi"/>
          <w:szCs w:val="24"/>
          <w:u w:val="none"/>
          <w:lang w:eastAsia="en-US"/>
        </w:rPr>
      </w:pPr>
      <w:r>
        <w:rPr>
          <w:rFonts w:ascii="Verdana" w:eastAsiaTheme="minorHAnsi" w:hAnsi="Verdana" w:cstheme="minorBidi"/>
          <w:szCs w:val="24"/>
          <w:u w:val="none"/>
          <w:lang w:eastAsia="en-US"/>
        </w:rPr>
        <w:t xml:space="preserve">The </w:t>
      </w:r>
      <w:r w:rsidR="004C36AC" w:rsidRPr="004C36AC">
        <w:rPr>
          <w:rFonts w:ascii="Verdana" w:eastAsiaTheme="minorHAnsi" w:hAnsi="Verdana" w:cstheme="minorBidi"/>
          <w:szCs w:val="24"/>
          <w:u w:val="none"/>
          <w:lang w:eastAsia="en-US"/>
        </w:rPr>
        <w:t xml:space="preserve">Growing Places Fund panel have to date utilised </w:t>
      </w:r>
      <w:r w:rsidR="004C36AC">
        <w:rPr>
          <w:rFonts w:ascii="Verdana" w:eastAsiaTheme="minorHAnsi" w:hAnsi="Verdana" w:cstheme="minorBidi"/>
          <w:szCs w:val="24"/>
          <w:u w:val="none"/>
          <w:lang w:eastAsia="en-US"/>
        </w:rPr>
        <w:t xml:space="preserve">Parent Company Guarantee as a security option against loans issued, </w:t>
      </w:r>
      <w:r>
        <w:rPr>
          <w:rFonts w:ascii="Verdana" w:eastAsiaTheme="minorHAnsi" w:hAnsi="Verdana" w:cstheme="minorBidi"/>
          <w:szCs w:val="24"/>
          <w:u w:val="none"/>
          <w:lang w:eastAsia="en-US"/>
        </w:rPr>
        <w:t>o</w:t>
      </w:r>
      <w:r w:rsidR="00230559">
        <w:rPr>
          <w:rFonts w:ascii="Verdana" w:eastAsiaTheme="minorHAnsi" w:hAnsi="Verdana" w:cstheme="minorBidi"/>
          <w:szCs w:val="24"/>
          <w:u w:val="none"/>
          <w:lang w:eastAsia="en-US"/>
        </w:rPr>
        <w:t>n</w:t>
      </w:r>
      <w:r>
        <w:rPr>
          <w:rFonts w:ascii="Verdana" w:eastAsiaTheme="minorHAnsi" w:hAnsi="Verdana" w:cstheme="minorBidi"/>
          <w:szCs w:val="24"/>
          <w:u w:val="none"/>
          <w:lang w:eastAsia="en-US"/>
        </w:rPr>
        <w:t xml:space="preserve"> the advice of legal representat</w:t>
      </w:r>
      <w:r w:rsidR="001E67C6">
        <w:rPr>
          <w:rFonts w:ascii="Verdana" w:eastAsiaTheme="minorHAnsi" w:hAnsi="Verdana" w:cstheme="minorBidi"/>
          <w:szCs w:val="24"/>
          <w:u w:val="none"/>
          <w:lang w:eastAsia="en-US"/>
        </w:rPr>
        <w:t>ion</w:t>
      </w:r>
      <w:r>
        <w:rPr>
          <w:rFonts w:ascii="Verdana" w:eastAsiaTheme="minorHAnsi" w:hAnsi="Verdana" w:cstheme="minorBidi"/>
          <w:szCs w:val="24"/>
          <w:u w:val="none"/>
          <w:lang w:eastAsia="en-US"/>
        </w:rPr>
        <w:t xml:space="preserve"> for the Accountable Body - this</w:t>
      </w:r>
      <w:r w:rsidRPr="004C36AC">
        <w:rPr>
          <w:rFonts w:ascii="Verdana" w:eastAsiaTheme="minorHAnsi" w:hAnsi="Verdana" w:cstheme="minorBidi"/>
          <w:szCs w:val="24"/>
          <w:u w:val="none"/>
          <w:lang w:eastAsia="en-US"/>
        </w:rPr>
        <w:t xml:space="preserve"> </w:t>
      </w:r>
      <w:r w:rsidR="004C36AC">
        <w:rPr>
          <w:rFonts w:ascii="Verdana" w:eastAsiaTheme="minorHAnsi" w:hAnsi="Verdana" w:cstheme="minorBidi"/>
          <w:szCs w:val="24"/>
          <w:u w:val="none"/>
          <w:lang w:eastAsia="en-US"/>
        </w:rPr>
        <w:t xml:space="preserve">being a much quicker and therefore cheaper </w:t>
      </w:r>
      <w:r w:rsidR="00992A73">
        <w:rPr>
          <w:rFonts w:ascii="Verdana" w:eastAsiaTheme="minorHAnsi" w:hAnsi="Verdana" w:cstheme="minorBidi"/>
          <w:szCs w:val="24"/>
          <w:u w:val="none"/>
          <w:lang w:eastAsia="en-US"/>
        </w:rPr>
        <w:t xml:space="preserve">(as in the cost of legal fees) </w:t>
      </w:r>
      <w:r w:rsidR="004C36AC">
        <w:rPr>
          <w:rFonts w:ascii="Verdana" w:eastAsiaTheme="minorHAnsi" w:hAnsi="Verdana" w:cstheme="minorBidi"/>
          <w:szCs w:val="24"/>
          <w:u w:val="none"/>
          <w:lang w:eastAsia="en-US"/>
        </w:rPr>
        <w:t xml:space="preserve">method of security than, for example, issuing a </w:t>
      </w:r>
      <w:r w:rsidR="00461183">
        <w:rPr>
          <w:rFonts w:ascii="Verdana" w:eastAsiaTheme="minorHAnsi" w:hAnsi="Verdana" w:cstheme="minorBidi"/>
          <w:szCs w:val="24"/>
          <w:u w:val="none"/>
          <w:lang w:eastAsia="en-US"/>
        </w:rPr>
        <w:t>legal mortgage (</w:t>
      </w:r>
      <w:r w:rsidR="004C36AC">
        <w:rPr>
          <w:rFonts w:ascii="Verdana" w:eastAsiaTheme="minorHAnsi" w:hAnsi="Verdana" w:cstheme="minorBidi"/>
          <w:szCs w:val="24"/>
          <w:u w:val="none"/>
          <w:lang w:eastAsia="en-US"/>
        </w:rPr>
        <w:t>charge against a capital asset</w:t>
      </w:r>
      <w:r w:rsidR="00461183">
        <w:rPr>
          <w:rFonts w:ascii="Verdana" w:eastAsiaTheme="minorHAnsi" w:hAnsi="Verdana" w:cstheme="minorBidi"/>
          <w:szCs w:val="24"/>
          <w:u w:val="none"/>
          <w:lang w:eastAsia="en-US"/>
        </w:rPr>
        <w:t>)</w:t>
      </w:r>
      <w:r w:rsidR="004C36AC">
        <w:rPr>
          <w:rFonts w:ascii="Verdana" w:eastAsiaTheme="minorHAnsi" w:hAnsi="Verdana" w:cstheme="minorBidi"/>
          <w:szCs w:val="24"/>
          <w:u w:val="none"/>
          <w:lang w:eastAsia="en-US"/>
        </w:rPr>
        <w:t>.</w:t>
      </w:r>
    </w:p>
    <w:p w14:paraId="6CB0E7FB" w14:textId="77777777" w:rsidR="004C36AC" w:rsidRPr="004C36AC" w:rsidRDefault="004C36AC" w:rsidP="001E67C6">
      <w:pPr>
        <w:spacing w:line="240" w:lineRule="auto"/>
        <w:jc w:val="both"/>
      </w:pPr>
    </w:p>
    <w:p w14:paraId="0D2909E5" w14:textId="4E9F74E8" w:rsidR="004C36AC" w:rsidRPr="0092634C" w:rsidRDefault="004C36AC" w:rsidP="001E67C6">
      <w:pPr>
        <w:pStyle w:val="ListParagraph"/>
        <w:numPr>
          <w:ilvl w:val="0"/>
          <w:numId w:val="13"/>
        </w:numPr>
        <w:spacing w:line="240" w:lineRule="auto"/>
        <w:jc w:val="both"/>
        <w:rPr>
          <w:rFonts w:ascii="Verdana" w:hAnsi="Verdana"/>
          <w:sz w:val="24"/>
          <w:szCs w:val="24"/>
        </w:rPr>
      </w:pPr>
      <w:r w:rsidRPr="0092634C">
        <w:rPr>
          <w:rFonts w:ascii="Verdana" w:hAnsi="Verdana"/>
          <w:sz w:val="24"/>
          <w:szCs w:val="24"/>
        </w:rPr>
        <w:t xml:space="preserve">Following experience </w:t>
      </w:r>
      <w:r w:rsidR="0092634C" w:rsidRPr="0092634C">
        <w:rPr>
          <w:rFonts w:ascii="Verdana" w:hAnsi="Verdana"/>
          <w:sz w:val="24"/>
          <w:szCs w:val="24"/>
        </w:rPr>
        <w:t xml:space="preserve">gained </w:t>
      </w:r>
      <w:r w:rsidRPr="0092634C">
        <w:rPr>
          <w:rFonts w:ascii="Verdana" w:hAnsi="Verdana"/>
          <w:sz w:val="24"/>
          <w:szCs w:val="24"/>
        </w:rPr>
        <w:t>from London House</w:t>
      </w:r>
      <w:r w:rsidR="00EC109E" w:rsidRPr="0092634C">
        <w:rPr>
          <w:rFonts w:ascii="Verdana" w:hAnsi="Verdana"/>
          <w:sz w:val="24"/>
          <w:szCs w:val="24"/>
        </w:rPr>
        <w:t xml:space="preserve">, and the default position of their repayment, it </w:t>
      </w:r>
      <w:r w:rsidR="00230559" w:rsidRPr="0092634C">
        <w:rPr>
          <w:rFonts w:ascii="Verdana" w:hAnsi="Verdana"/>
          <w:sz w:val="24"/>
          <w:szCs w:val="24"/>
        </w:rPr>
        <w:t>became</w:t>
      </w:r>
      <w:r w:rsidR="00EC109E" w:rsidRPr="0092634C">
        <w:rPr>
          <w:rFonts w:ascii="Verdana" w:hAnsi="Verdana"/>
          <w:sz w:val="24"/>
          <w:szCs w:val="24"/>
        </w:rPr>
        <w:t xml:space="preserve"> apparent that the </w:t>
      </w:r>
      <w:r w:rsidR="0094548E">
        <w:rPr>
          <w:rFonts w:ascii="Verdana" w:hAnsi="Verdana"/>
          <w:sz w:val="24"/>
          <w:szCs w:val="24"/>
        </w:rPr>
        <w:t>P</w:t>
      </w:r>
      <w:r w:rsidR="00EC109E" w:rsidRPr="0092634C">
        <w:rPr>
          <w:rFonts w:ascii="Verdana" w:hAnsi="Verdana"/>
          <w:sz w:val="24"/>
          <w:szCs w:val="24"/>
        </w:rPr>
        <w:t xml:space="preserve">arent </w:t>
      </w:r>
      <w:r w:rsidR="0094548E">
        <w:rPr>
          <w:rFonts w:ascii="Verdana" w:hAnsi="Verdana"/>
          <w:sz w:val="24"/>
          <w:szCs w:val="24"/>
        </w:rPr>
        <w:t>C</w:t>
      </w:r>
      <w:r w:rsidR="00EC109E" w:rsidRPr="0092634C">
        <w:rPr>
          <w:rFonts w:ascii="Verdana" w:hAnsi="Verdana"/>
          <w:sz w:val="24"/>
          <w:szCs w:val="24"/>
        </w:rPr>
        <w:t xml:space="preserve">ompany </w:t>
      </w:r>
      <w:r w:rsidR="0094548E">
        <w:rPr>
          <w:rFonts w:ascii="Verdana" w:hAnsi="Verdana"/>
          <w:sz w:val="24"/>
          <w:szCs w:val="24"/>
        </w:rPr>
        <w:t>G</w:t>
      </w:r>
      <w:r w:rsidR="00EC109E" w:rsidRPr="0092634C">
        <w:rPr>
          <w:rFonts w:ascii="Verdana" w:hAnsi="Verdana"/>
          <w:sz w:val="24"/>
          <w:szCs w:val="24"/>
        </w:rPr>
        <w:t>uarantee did not offer adequate means to enforce repayment of the loan, as the company simply declared their inability to repay the loan either from the applicant organisation or the parent company contracted as guarantor.</w:t>
      </w:r>
      <w:r w:rsidR="0092634C" w:rsidRPr="0092634C">
        <w:rPr>
          <w:rFonts w:ascii="Verdana" w:hAnsi="Verdana"/>
          <w:sz w:val="24"/>
          <w:szCs w:val="24"/>
        </w:rPr>
        <w:t xml:space="preserve"> </w:t>
      </w:r>
      <w:r w:rsidR="00230559" w:rsidRPr="0092634C">
        <w:rPr>
          <w:rFonts w:ascii="Verdana" w:hAnsi="Verdana"/>
          <w:sz w:val="24"/>
          <w:szCs w:val="24"/>
        </w:rPr>
        <w:t>The</w:t>
      </w:r>
      <w:r w:rsidRPr="0092634C">
        <w:rPr>
          <w:rFonts w:ascii="Verdana" w:hAnsi="Verdana"/>
          <w:sz w:val="24"/>
          <w:szCs w:val="24"/>
        </w:rPr>
        <w:t xml:space="preserve"> panel are </w:t>
      </w:r>
      <w:r w:rsidR="00230559" w:rsidRPr="0092634C">
        <w:rPr>
          <w:rFonts w:ascii="Verdana" w:hAnsi="Verdana"/>
          <w:sz w:val="24"/>
          <w:szCs w:val="24"/>
        </w:rPr>
        <w:t xml:space="preserve">therefore </w:t>
      </w:r>
      <w:r w:rsidRPr="0092634C">
        <w:rPr>
          <w:rFonts w:ascii="Verdana" w:hAnsi="Verdana"/>
          <w:sz w:val="24"/>
          <w:szCs w:val="24"/>
        </w:rPr>
        <w:t xml:space="preserve">minded </w:t>
      </w:r>
      <w:proofErr w:type="gramStart"/>
      <w:r w:rsidRPr="0092634C">
        <w:rPr>
          <w:rFonts w:ascii="Verdana" w:hAnsi="Verdana"/>
          <w:sz w:val="24"/>
          <w:szCs w:val="24"/>
        </w:rPr>
        <w:t>to take</w:t>
      </w:r>
      <w:proofErr w:type="gramEnd"/>
      <w:r w:rsidRPr="0092634C">
        <w:rPr>
          <w:rFonts w:ascii="Verdana" w:hAnsi="Verdana"/>
          <w:sz w:val="24"/>
          <w:szCs w:val="24"/>
        </w:rPr>
        <w:t xml:space="preserve"> this into account when issuing loans going forward.</w:t>
      </w:r>
    </w:p>
    <w:p w14:paraId="639D3FE3" w14:textId="77777777" w:rsidR="0092634C" w:rsidRDefault="0092634C" w:rsidP="001E67C6">
      <w:pPr>
        <w:spacing w:line="240" w:lineRule="auto"/>
        <w:jc w:val="both"/>
        <w:rPr>
          <w:rFonts w:ascii="Verdana" w:hAnsi="Verdana"/>
          <w:sz w:val="24"/>
          <w:szCs w:val="24"/>
        </w:rPr>
      </w:pPr>
    </w:p>
    <w:p w14:paraId="47961D1C" w14:textId="5F5B6374" w:rsidR="00230559" w:rsidRPr="0059118E" w:rsidRDefault="00230559" w:rsidP="0059118E">
      <w:pPr>
        <w:pStyle w:val="ListParagraph"/>
        <w:numPr>
          <w:ilvl w:val="0"/>
          <w:numId w:val="13"/>
        </w:numPr>
        <w:spacing w:line="240" w:lineRule="auto"/>
        <w:jc w:val="both"/>
        <w:rPr>
          <w:rFonts w:ascii="Arial" w:hAnsi="Arial" w:cs="Arial"/>
          <w:sz w:val="24"/>
          <w:szCs w:val="24"/>
        </w:rPr>
      </w:pPr>
      <w:r w:rsidRPr="0059118E">
        <w:rPr>
          <w:rFonts w:ascii="Verdana" w:hAnsi="Verdana"/>
          <w:sz w:val="24"/>
          <w:szCs w:val="24"/>
        </w:rPr>
        <w:t xml:space="preserve">Reference should be made to </w:t>
      </w:r>
      <w:r w:rsidR="0092634C" w:rsidRPr="0059118E">
        <w:rPr>
          <w:rFonts w:ascii="Verdana" w:hAnsi="Verdana"/>
          <w:sz w:val="24"/>
          <w:szCs w:val="24"/>
        </w:rPr>
        <w:t xml:space="preserve">a </w:t>
      </w:r>
      <w:r w:rsidRPr="0059118E">
        <w:rPr>
          <w:rFonts w:ascii="Verdana" w:hAnsi="Verdana"/>
          <w:sz w:val="24"/>
          <w:szCs w:val="24"/>
        </w:rPr>
        <w:t xml:space="preserve">memo of 08.05.2012 from the Director of Law and Democracy to Sophie </w:t>
      </w:r>
      <w:proofErr w:type="spellStart"/>
      <w:r w:rsidRPr="0059118E">
        <w:rPr>
          <w:rFonts w:ascii="Verdana" w:hAnsi="Verdana"/>
          <w:sz w:val="24"/>
          <w:szCs w:val="24"/>
        </w:rPr>
        <w:t>McFie</w:t>
      </w:r>
      <w:proofErr w:type="spellEnd"/>
      <w:r w:rsidRPr="0059118E">
        <w:rPr>
          <w:rFonts w:ascii="Verdana" w:hAnsi="Verdana"/>
          <w:sz w:val="24"/>
          <w:szCs w:val="24"/>
        </w:rPr>
        <w:t xml:space="preserve"> Hyland (Appendix A)</w:t>
      </w:r>
      <w:r w:rsidR="0059118E" w:rsidRPr="0059118E">
        <w:rPr>
          <w:rFonts w:ascii="Verdana" w:hAnsi="Verdana"/>
          <w:sz w:val="24"/>
          <w:szCs w:val="24"/>
        </w:rPr>
        <w:t>. Whilst</w:t>
      </w:r>
      <w:r w:rsidR="00B73811" w:rsidRPr="0059118E">
        <w:rPr>
          <w:rFonts w:ascii="Verdana" w:hAnsi="Verdana"/>
          <w:sz w:val="24"/>
          <w:szCs w:val="24"/>
        </w:rPr>
        <w:t xml:space="preserve"> the conclusion </w:t>
      </w:r>
      <w:r w:rsidR="0059118E" w:rsidRPr="0059118E">
        <w:rPr>
          <w:rFonts w:ascii="Verdana" w:hAnsi="Verdana"/>
          <w:sz w:val="24"/>
          <w:szCs w:val="24"/>
        </w:rPr>
        <w:t>drawn from this memo with regard to</w:t>
      </w:r>
      <w:r w:rsidR="00B73811" w:rsidRPr="0059118E">
        <w:rPr>
          <w:rFonts w:ascii="Verdana" w:hAnsi="Verdana"/>
          <w:sz w:val="24"/>
          <w:szCs w:val="24"/>
        </w:rPr>
        <w:t xml:space="preserve"> the preferred security option </w:t>
      </w:r>
      <w:r w:rsidR="0059118E" w:rsidRPr="0059118E">
        <w:rPr>
          <w:rFonts w:ascii="Verdana" w:hAnsi="Verdana"/>
          <w:sz w:val="24"/>
          <w:szCs w:val="24"/>
        </w:rPr>
        <w:t xml:space="preserve">is that this </w:t>
      </w:r>
      <w:r w:rsidR="00B73811" w:rsidRPr="0059118E">
        <w:rPr>
          <w:rFonts w:ascii="Verdana" w:hAnsi="Verdana"/>
          <w:sz w:val="24"/>
          <w:szCs w:val="24"/>
        </w:rPr>
        <w:t xml:space="preserve">should be </w:t>
      </w:r>
      <w:r w:rsidR="0059118E" w:rsidRPr="0059118E">
        <w:rPr>
          <w:rFonts w:ascii="Verdana" w:hAnsi="Verdana"/>
          <w:sz w:val="24"/>
          <w:szCs w:val="24"/>
        </w:rPr>
        <w:t xml:space="preserve">in the form of </w:t>
      </w:r>
      <w:r w:rsidR="00B73811" w:rsidRPr="0059118E">
        <w:rPr>
          <w:rFonts w:ascii="Verdana" w:hAnsi="Verdana"/>
          <w:sz w:val="24"/>
          <w:szCs w:val="24"/>
        </w:rPr>
        <w:t xml:space="preserve">a bond, </w:t>
      </w:r>
      <w:r w:rsidR="0059118E" w:rsidRPr="0059118E">
        <w:rPr>
          <w:rFonts w:ascii="Verdana" w:hAnsi="Verdana"/>
          <w:sz w:val="24"/>
          <w:szCs w:val="24"/>
        </w:rPr>
        <w:t xml:space="preserve">the advice from legal representation for the Accountable Body is that a bond will likely be cost prohibitive and therefore </w:t>
      </w:r>
      <w:r w:rsidR="0059118E" w:rsidRPr="00420462">
        <w:rPr>
          <w:rFonts w:ascii="Verdana" w:hAnsi="Verdana"/>
          <w:b/>
          <w:bCs/>
          <w:sz w:val="24"/>
          <w:szCs w:val="24"/>
        </w:rPr>
        <w:t>a legal mortgage (charge) should be adopted as the preferred method of security</w:t>
      </w:r>
      <w:r w:rsidR="0059118E" w:rsidRPr="0059118E">
        <w:rPr>
          <w:rFonts w:ascii="Verdana" w:hAnsi="Verdana"/>
          <w:sz w:val="24"/>
          <w:szCs w:val="24"/>
        </w:rPr>
        <w:t xml:space="preserve"> in the first instance</w:t>
      </w:r>
      <w:r w:rsidR="0059118E">
        <w:rPr>
          <w:rFonts w:ascii="Verdana" w:hAnsi="Verdana"/>
          <w:sz w:val="24"/>
          <w:szCs w:val="24"/>
        </w:rPr>
        <w:t>.</w:t>
      </w:r>
      <w:r w:rsidR="00402B54" w:rsidRPr="00402B54">
        <w:rPr>
          <w:rFonts w:ascii="Verdana" w:hAnsi="Verdana"/>
          <w:b/>
          <w:bCs/>
          <w:sz w:val="24"/>
          <w:szCs w:val="24"/>
        </w:rPr>
        <w:t xml:space="preserve"> </w:t>
      </w:r>
      <w:r w:rsidR="00402B54" w:rsidRPr="00402B54">
        <w:rPr>
          <w:rFonts w:ascii="Verdana" w:hAnsi="Verdana"/>
          <w:sz w:val="24"/>
          <w:szCs w:val="24"/>
        </w:rPr>
        <w:t>It is acknowledged that there may be circumstances where the Council as Accountable Body are happy to adopt a Parent Company Guarantee albeit not as the default position and on a case-by-case basis.</w:t>
      </w:r>
      <w:r w:rsidR="00402B54" w:rsidRPr="0094548E">
        <w:rPr>
          <w:rFonts w:ascii="Verdana" w:hAnsi="Verdana"/>
          <w:b/>
          <w:bCs/>
          <w:sz w:val="24"/>
          <w:szCs w:val="24"/>
        </w:rPr>
        <w:t xml:space="preserve">  </w:t>
      </w:r>
    </w:p>
    <w:p w14:paraId="4BADF0EB" w14:textId="77777777" w:rsidR="0059118E" w:rsidRPr="0059118E" w:rsidRDefault="0059118E" w:rsidP="0059118E">
      <w:pPr>
        <w:pStyle w:val="ListParagraph"/>
        <w:rPr>
          <w:rFonts w:ascii="Arial" w:hAnsi="Arial" w:cs="Arial"/>
          <w:sz w:val="24"/>
          <w:szCs w:val="24"/>
        </w:rPr>
      </w:pPr>
    </w:p>
    <w:p w14:paraId="30D738E2" w14:textId="77777777" w:rsidR="0059118E" w:rsidRPr="0059118E" w:rsidRDefault="0059118E" w:rsidP="0059118E">
      <w:pPr>
        <w:pStyle w:val="ListParagraph"/>
        <w:spacing w:line="240" w:lineRule="auto"/>
        <w:jc w:val="both"/>
        <w:rPr>
          <w:rFonts w:ascii="Arial" w:hAnsi="Arial" w:cs="Arial"/>
          <w:sz w:val="24"/>
          <w:szCs w:val="24"/>
        </w:rPr>
      </w:pPr>
    </w:p>
    <w:p w14:paraId="2236E363" w14:textId="0B20B421" w:rsidR="004C36AC" w:rsidRPr="00C3289F" w:rsidRDefault="0092634C" w:rsidP="001E67C6">
      <w:pPr>
        <w:pStyle w:val="ListParagraph"/>
        <w:numPr>
          <w:ilvl w:val="0"/>
          <w:numId w:val="13"/>
        </w:numPr>
        <w:spacing w:line="240" w:lineRule="auto"/>
        <w:jc w:val="both"/>
        <w:rPr>
          <w:rFonts w:ascii="Verdana" w:hAnsi="Verdana"/>
          <w:b/>
          <w:bCs/>
          <w:sz w:val="24"/>
          <w:szCs w:val="24"/>
        </w:rPr>
      </w:pPr>
      <w:r w:rsidRPr="00C3289F">
        <w:rPr>
          <w:rFonts w:ascii="Verdana" w:hAnsi="Verdana"/>
          <w:b/>
          <w:bCs/>
          <w:sz w:val="24"/>
          <w:szCs w:val="24"/>
        </w:rPr>
        <w:t>For all projects going forward to contracting of a Growing Places Fund loan from the date of this document, the Growing Places Fund panel recommends that the security option highlighted in paragraph 3 above should be ad</w:t>
      </w:r>
      <w:r w:rsidR="003C0448">
        <w:rPr>
          <w:rFonts w:ascii="Verdana" w:hAnsi="Verdana"/>
          <w:b/>
          <w:bCs/>
          <w:sz w:val="24"/>
          <w:szCs w:val="24"/>
        </w:rPr>
        <w:t>o</w:t>
      </w:r>
      <w:r w:rsidRPr="00C3289F">
        <w:rPr>
          <w:rFonts w:ascii="Verdana" w:hAnsi="Verdana"/>
          <w:b/>
          <w:bCs/>
          <w:sz w:val="24"/>
          <w:szCs w:val="24"/>
        </w:rPr>
        <w:t xml:space="preserve">pted </w:t>
      </w:r>
      <w:r w:rsidR="0059118E">
        <w:rPr>
          <w:rFonts w:ascii="Verdana" w:hAnsi="Verdana"/>
          <w:b/>
          <w:bCs/>
          <w:sz w:val="24"/>
          <w:szCs w:val="24"/>
        </w:rPr>
        <w:t xml:space="preserve">as a priority </w:t>
      </w:r>
      <w:r w:rsidRPr="00C3289F">
        <w:rPr>
          <w:rFonts w:ascii="Verdana" w:hAnsi="Verdana"/>
          <w:b/>
          <w:bCs/>
          <w:sz w:val="24"/>
          <w:szCs w:val="24"/>
        </w:rPr>
        <w:t>for all successful project awards under this loan fun</w:t>
      </w:r>
      <w:r w:rsidR="00C52953" w:rsidRPr="00C3289F">
        <w:rPr>
          <w:rFonts w:ascii="Verdana" w:hAnsi="Verdana"/>
          <w:b/>
          <w:bCs/>
          <w:sz w:val="24"/>
          <w:szCs w:val="24"/>
        </w:rPr>
        <w:t>d</w:t>
      </w:r>
      <w:r w:rsidR="0059118E">
        <w:rPr>
          <w:rFonts w:ascii="Verdana" w:hAnsi="Verdana"/>
          <w:b/>
          <w:bCs/>
          <w:sz w:val="24"/>
          <w:szCs w:val="24"/>
        </w:rPr>
        <w:t xml:space="preserve">. </w:t>
      </w:r>
      <w:r w:rsidR="0094548E" w:rsidRPr="0094548E">
        <w:rPr>
          <w:rFonts w:ascii="Verdana" w:hAnsi="Verdana"/>
          <w:b/>
          <w:bCs/>
          <w:sz w:val="24"/>
          <w:szCs w:val="24"/>
        </w:rPr>
        <w:t>The GPF Panel</w:t>
      </w:r>
      <w:r w:rsidR="00C3289F">
        <w:rPr>
          <w:rFonts w:ascii="Verdana" w:hAnsi="Verdana"/>
          <w:b/>
          <w:bCs/>
          <w:sz w:val="24"/>
          <w:szCs w:val="24"/>
        </w:rPr>
        <w:t xml:space="preserve"> would</w:t>
      </w:r>
      <w:r w:rsidR="0094548E">
        <w:rPr>
          <w:rFonts w:ascii="Verdana" w:hAnsi="Verdana"/>
          <w:b/>
          <w:bCs/>
          <w:sz w:val="24"/>
          <w:szCs w:val="24"/>
        </w:rPr>
        <w:t xml:space="preserve"> therefore </w:t>
      </w:r>
      <w:r w:rsidR="00C3289F" w:rsidRPr="0094548E">
        <w:rPr>
          <w:rFonts w:ascii="Verdana" w:hAnsi="Verdana"/>
          <w:b/>
          <w:bCs/>
          <w:sz w:val="24"/>
          <w:szCs w:val="24"/>
        </w:rPr>
        <w:t xml:space="preserve">request approval of </w:t>
      </w:r>
      <w:r w:rsidR="0001256C" w:rsidRPr="0094548E">
        <w:rPr>
          <w:rFonts w:ascii="Verdana" w:hAnsi="Verdana"/>
          <w:b/>
          <w:bCs/>
          <w:sz w:val="24"/>
          <w:szCs w:val="24"/>
        </w:rPr>
        <w:t>th</w:t>
      </w:r>
      <w:r w:rsidR="00D0379B">
        <w:rPr>
          <w:rFonts w:ascii="Verdana" w:hAnsi="Verdana"/>
          <w:b/>
          <w:bCs/>
          <w:sz w:val="24"/>
          <w:szCs w:val="24"/>
        </w:rPr>
        <w:t>is</w:t>
      </w:r>
      <w:r w:rsidR="00CF757E">
        <w:rPr>
          <w:rFonts w:ascii="Verdana" w:hAnsi="Verdana"/>
          <w:b/>
          <w:bCs/>
          <w:sz w:val="24"/>
          <w:szCs w:val="24"/>
        </w:rPr>
        <w:t xml:space="preserve"> revised</w:t>
      </w:r>
      <w:r w:rsidR="0001256C" w:rsidRPr="0094548E">
        <w:rPr>
          <w:rFonts w:ascii="Verdana" w:hAnsi="Verdana"/>
          <w:b/>
          <w:bCs/>
          <w:sz w:val="24"/>
          <w:szCs w:val="24"/>
        </w:rPr>
        <w:t xml:space="preserve"> policy</w:t>
      </w:r>
      <w:r w:rsidR="00C3289F" w:rsidRPr="0094548E">
        <w:rPr>
          <w:rFonts w:ascii="Verdana" w:hAnsi="Verdana"/>
          <w:b/>
          <w:bCs/>
          <w:sz w:val="24"/>
          <w:szCs w:val="24"/>
        </w:rPr>
        <w:t xml:space="preserve"> from the LEP Executive Board</w:t>
      </w:r>
      <w:r w:rsidR="00C3289F">
        <w:rPr>
          <w:rFonts w:ascii="Verdana" w:hAnsi="Verdana"/>
          <w:b/>
          <w:bCs/>
          <w:sz w:val="24"/>
          <w:szCs w:val="24"/>
        </w:rPr>
        <w:t>.</w:t>
      </w:r>
    </w:p>
    <w:p w14:paraId="0E87F222" w14:textId="77777777" w:rsidR="00477BF5" w:rsidRDefault="004C36AC" w:rsidP="001E67C6">
      <w:pPr>
        <w:pStyle w:val="Title"/>
        <w:pBdr>
          <w:bottom w:val="single" w:sz="12" w:space="1" w:color="auto"/>
        </w:pBdr>
        <w:tabs>
          <w:tab w:val="left" w:pos="4860"/>
          <w:tab w:val="left" w:pos="5760"/>
        </w:tabs>
        <w:jc w:val="both"/>
        <w:rPr>
          <w:rFonts w:ascii="Verdana" w:hAnsi="Verdana"/>
          <w:szCs w:val="24"/>
        </w:rPr>
      </w:pPr>
      <w:r>
        <w:rPr>
          <w:rFonts w:ascii="Verdana" w:hAnsi="Verdana"/>
          <w:szCs w:val="24"/>
        </w:rPr>
        <w:br w:type="page"/>
      </w:r>
      <w:r w:rsidR="00477BF5">
        <w:rPr>
          <w:rFonts w:ascii="Verdana" w:hAnsi="Verdana"/>
          <w:szCs w:val="24"/>
        </w:rPr>
        <w:lastRenderedPageBreak/>
        <w:t>Appendix A</w:t>
      </w:r>
    </w:p>
    <w:p w14:paraId="6A1DCCD2" w14:textId="77777777" w:rsidR="00477BF5" w:rsidRDefault="00477BF5">
      <w:pPr>
        <w:pStyle w:val="Title"/>
        <w:pBdr>
          <w:bottom w:val="single" w:sz="12" w:space="1" w:color="auto"/>
        </w:pBdr>
        <w:tabs>
          <w:tab w:val="left" w:pos="4860"/>
          <w:tab w:val="left" w:pos="5760"/>
        </w:tabs>
        <w:jc w:val="left"/>
        <w:rPr>
          <w:rFonts w:ascii="Verdana" w:hAnsi="Verdana"/>
          <w:szCs w:val="24"/>
        </w:rPr>
      </w:pPr>
    </w:p>
    <w:p w14:paraId="4A893BC2" w14:textId="1060BC20" w:rsidR="00230559" w:rsidRDefault="00230559">
      <w:pPr>
        <w:pStyle w:val="Title"/>
        <w:pBdr>
          <w:bottom w:val="single" w:sz="12" w:space="1" w:color="auto"/>
        </w:pBdr>
        <w:tabs>
          <w:tab w:val="left" w:pos="4860"/>
          <w:tab w:val="left" w:pos="5760"/>
        </w:tabs>
        <w:jc w:val="left"/>
        <w:rPr>
          <w:rFonts w:ascii="Arial" w:hAnsi="Arial"/>
        </w:rPr>
      </w:pPr>
      <w:r>
        <w:rPr>
          <w:rFonts w:ascii="Arial" w:hAnsi="Arial"/>
        </w:rPr>
        <w:t>STAFFORDSHIRE COUNTY COUNCIL</w:t>
      </w:r>
      <w:r>
        <w:rPr>
          <w:rFonts w:ascii="Arial" w:hAnsi="Arial"/>
        </w:rPr>
        <w:tab/>
      </w:r>
      <w:r>
        <w:rPr>
          <w:rFonts w:ascii="Arial" w:hAnsi="Arial"/>
        </w:rPr>
        <w:tab/>
        <w:t>MEMORANDUM</w:t>
      </w:r>
    </w:p>
    <w:p w14:paraId="0DC655C6" w14:textId="77777777" w:rsidR="00230559" w:rsidRDefault="00230559">
      <w:pPr>
        <w:pStyle w:val="Title"/>
        <w:pBdr>
          <w:bottom w:val="single" w:sz="12" w:space="1" w:color="auto"/>
        </w:pBdr>
        <w:tabs>
          <w:tab w:val="left" w:pos="4860"/>
        </w:tabs>
        <w:rPr>
          <w:rFonts w:ascii="Arial" w:hAnsi="Arial"/>
        </w:rPr>
      </w:pPr>
    </w:p>
    <w:p w14:paraId="0CD54DAC" w14:textId="77777777" w:rsidR="00230559" w:rsidRDefault="00230559">
      <w:pPr>
        <w:tabs>
          <w:tab w:val="left" w:pos="4860"/>
        </w:tabs>
        <w:jc w:val="both"/>
        <w:rPr>
          <w:rFonts w:ascii="Arial" w:hAnsi="Arial"/>
          <w:b/>
          <w:sz w:val="24"/>
        </w:rPr>
      </w:pPr>
    </w:p>
    <w:p w14:paraId="6E11708F" w14:textId="77777777" w:rsidR="00230559" w:rsidRPr="005450CA" w:rsidRDefault="00230559" w:rsidP="005450CA">
      <w:pPr>
        <w:framePr w:w="547" w:h="1082" w:hRule="exact" w:hSpace="180" w:wrap="around" w:vAnchor="text" w:hAnchor="page" w:x="1522" w:y="203"/>
        <w:shd w:val="solid" w:color="FFFFFF" w:fill="FFFFFF"/>
        <w:rPr>
          <w:rFonts w:ascii="Arial" w:hAnsi="Arial" w:cs="Arial"/>
          <w:sz w:val="24"/>
          <w:szCs w:val="24"/>
        </w:rPr>
      </w:pPr>
      <w:r>
        <w:rPr>
          <w:rFonts w:ascii="Arial" w:hAnsi="Arial" w:cs="Arial"/>
          <w:sz w:val="24"/>
          <w:szCs w:val="24"/>
        </w:rPr>
        <w:t>To:</w:t>
      </w:r>
    </w:p>
    <w:p w14:paraId="2E181D2E" w14:textId="77777777" w:rsidR="00230559" w:rsidRPr="005450CA" w:rsidRDefault="00230559" w:rsidP="00DC7B16">
      <w:pPr>
        <w:framePr w:w="3067" w:h="1985" w:hRule="exact" w:hSpace="180" w:wrap="around" w:vAnchor="text" w:hAnchor="page" w:x="2242" w:y="203"/>
        <w:shd w:val="solid" w:color="FFFFFF" w:fill="FFFFFF"/>
        <w:rPr>
          <w:rFonts w:ascii="Arial" w:hAnsi="Arial" w:cs="Arial"/>
          <w:sz w:val="24"/>
          <w:szCs w:val="24"/>
        </w:rPr>
      </w:pPr>
    </w:p>
    <w:p w14:paraId="6E2431AB" w14:textId="77777777" w:rsidR="00230559" w:rsidRDefault="00230559">
      <w:pPr>
        <w:tabs>
          <w:tab w:val="left" w:pos="4860"/>
        </w:tabs>
        <w:jc w:val="both"/>
        <w:rPr>
          <w:rFonts w:ascii="Arial" w:hAnsi="Arial"/>
          <w:b/>
          <w:sz w:val="24"/>
        </w:rPr>
      </w:pPr>
    </w:p>
    <w:p w14:paraId="7D9263A7" w14:textId="77777777" w:rsidR="00230559" w:rsidRDefault="00230559" w:rsidP="007E1120">
      <w:pPr>
        <w:framePr w:w="3967" w:h="1260" w:hRule="exact" w:hSpace="180" w:wrap="around" w:vAnchor="text" w:hAnchor="page" w:x="6202" w:y="23"/>
        <w:shd w:val="solid" w:color="FFFFFF" w:fill="FFFFFF"/>
        <w:ind w:left="142"/>
      </w:pPr>
      <w:r>
        <w:rPr>
          <w:rFonts w:ascii="Arial" w:hAnsi="Arial"/>
          <w:sz w:val="24"/>
        </w:rPr>
        <w:t>From:</w:t>
      </w:r>
      <w:r>
        <w:rPr>
          <w:rFonts w:ascii="Arial" w:hAnsi="Arial"/>
          <w:b/>
          <w:sz w:val="24"/>
        </w:rPr>
        <w:t xml:space="preserve"> </w:t>
      </w:r>
      <w:r>
        <w:rPr>
          <w:rFonts w:ascii="Arial" w:hAnsi="Arial"/>
          <w:b/>
          <w:smallCaps/>
          <w:sz w:val="24"/>
        </w:rPr>
        <w:t>Director of Law and Democracy</w:t>
      </w:r>
    </w:p>
    <w:p w14:paraId="74060BA7" w14:textId="77777777" w:rsidR="00230559" w:rsidRDefault="00230559">
      <w:pPr>
        <w:tabs>
          <w:tab w:val="left" w:pos="4860"/>
          <w:tab w:val="left" w:pos="5529"/>
        </w:tabs>
        <w:jc w:val="both"/>
        <w:rPr>
          <w:rFonts w:ascii="Arial" w:hAnsi="Arial"/>
          <w:b/>
          <w:smallCaps/>
          <w:sz w:val="24"/>
        </w:rPr>
      </w:pPr>
      <w:r>
        <w:rPr>
          <w:rFonts w:ascii="Arial" w:hAnsi="Arial"/>
          <w:sz w:val="24"/>
        </w:rPr>
        <w:t xml:space="preserve"> </w:t>
      </w:r>
    </w:p>
    <w:p w14:paraId="26FA0DF7" w14:textId="77777777" w:rsidR="00230559" w:rsidRDefault="00230559">
      <w:pPr>
        <w:tabs>
          <w:tab w:val="left" w:pos="4860"/>
          <w:tab w:val="left" w:pos="5529"/>
        </w:tabs>
        <w:jc w:val="both"/>
        <w:rPr>
          <w:rFonts w:ascii="Arial" w:hAnsi="Arial"/>
          <w:b/>
          <w:smallCaps/>
          <w:sz w:val="24"/>
        </w:rPr>
      </w:pPr>
      <w:r w:rsidRPr="00870C7E">
        <w:rPr>
          <w:rFonts w:ascii="Arial" w:hAnsi="Arial"/>
          <w:b/>
          <w:smallCaps/>
          <w:sz w:val="24"/>
        </w:rPr>
        <w:t xml:space="preserve">          </w:t>
      </w:r>
    </w:p>
    <w:p w14:paraId="61F67FCA" w14:textId="77777777" w:rsidR="00230559" w:rsidRDefault="00230559">
      <w:pPr>
        <w:tabs>
          <w:tab w:val="left" w:pos="4860"/>
          <w:tab w:val="left" w:pos="5529"/>
        </w:tabs>
        <w:jc w:val="both"/>
        <w:rPr>
          <w:rFonts w:ascii="Arial" w:hAnsi="Arial"/>
          <w:b/>
          <w:smallCaps/>
          <w:sz w:val="24"/>
        </w:rPr>
      </w:pPr>
    </w:p>
    <w:p w14:paraId="48915807" w14:textId="77777777" w:rsidR="00230559" w:rsidRDefault="00230559">
      <w:pPr>
        <w:tabs>
          <w:tab w:val="left" w:pos="4860"/>
          <w:tab w:val="left" w:pos="5529"/>
        </w:tabs>
        <w:jc w:val="both"/>
        <w:rPr>
          <w:rFonts w:ascii="Arial" w:hAnsi="Arial"/>
          <w:sz w:val="24"/>
        </w:rPr>
      </w:pPr>
      <w:r>
        <w:rPr>
          <w:rFonts w:ascii="Arial" w:hAnsi="Arial"/>
          <w:b/>
          <w:smallCaps/>
          <w:sz w:val="24"/>
        </w:rPr>
        <w:tab/>
      </w:r>
      <w:r>
        <w:rPr>
          <w:rFonts w:ascii="Arial" w:hAnsi="Arial"/>
          <w:b/>
          <w:smallCaps/>
          <w:sz w:val="24"/>
        </w:rPr>
        <w:tab/>
      </w:r>
    </w:p>
    <w:p w14:paraId="0AEAD0C0" w14:textId="77777777" w:rsidR="00230559" w:rsidRDefault="00230559">
      <w:pPr>
        <w:tabs>
          <w:tab w:val="left" w:pos="4860"/>
          <w:tab w:val="left" w:pos="5529"/>
        </w:tabs>
        <w:jc w:val="both"/>
        <w:rPr>
          <w:rFonts w:ascii="Arial" w:hAnsi="Arial"/>
          <w:sz w:val="24"/>
        </w:rPr>
      </w:pPr>
      <w:r>
        <w:rPr>
          <w:rFonts w:ascii="Arial" w:hAnsi="Arial"/>
          <w:sz w:val="24"/>
        </w:rPr>
        <w:t xml:space="preserve">My Ref:  </w:t>
      </w:r>
      <w:r w:rsidRPr="00373B5B">
        <w:rPr>
          <w:rFonts w:ascii="Arial" w:hAnsi="Arial"/>
          <w:sz w:val="24"/>
        </w:rPr>
        <w:fldChar w:fldCharType="begin"/>
      </w:r>
      <w:r w:rsidRPr="00373B5B">
        <w:rPr>
          <w:rFonts w:ascii="Arial" w:hAnsi="Arial"/>
          <w:sz w:val="24"/>
        </w:rPr>
        <w:instrText xml:space="preserve"> DOCPROPERTY DocOwnerInitials \* MERGEFORMAT </w:instrText>
      </w:r>
      <w:r w:rsidRPr="00373B5B">
        <w:rPr>
          <w:rFonts w:ascii="Arial" w:hAnsi="Arial"/>
          <w:sz w:val="24"/>
        </w:rPr>
        <w:fldChar w:fldCharType="separate"/>
      </w:r>
      <w:r>
        <w:rPr>
          <w:rFonts w:ascii="Arial" w:hAnsi="Arial"/>
          <w:sz w:val="24"/>
        </w:rPr>
        <w:t>SMH</w:t>
      </w:r>
      <w:r w:rsidRPr="00373B5B">
        <w:rPr>
          <w:rFonts w:ascii="Arial" w:hAnsi="Arial"/>
          <w:sz w:val="24"/>
        </w:rPr>
        <w:fldChar w:fldCharType="end"/>
      </w:r>
      <w:r w:rsidRPr="00373B5B">
        <w:rPr>
          <w:rFonts w:ascii="Arial" w:hAnsi="Arial"/>
          <w:sz w:val="24"/>
        </w:rPr>
        <w:t>/</w:t>
      </w:r>
      <w:r w:rsidRPr="00373B5B">
        <w:rPr>
          <w:rFonts w:ascii="Arial" w:hAnsi="Arial"/>
          <w:sz w:val="24"/>
        </w:rPr>
        <w:fldChar w:fldCharType="begin"/>
      </w:r>
      <w:r w:rsidRPr="00373B5B">
        <w:rPr>
          <w:rFonts w:ascii="Arial" w:hAnsi="Arial"/>
          <w:sz w:val="24"/>
        </w:rPr>
        <w:instrText xml:space="preserve"> IF </w:instrText>
      </w:r>
      <w:r w:rsidRPr="00373B5B">
        <w:rPr>
          <w:rFonts w:ascii="Arial" w:hAnsi="Arial"/>
          <w:sz w:val="24"/>
        </w:rPr>
        <w:fldChar w:fldCharType="begin"/>
      </w:r>
      <w:r w:rsidRPr="00373B5B">
        <w:rPr>
          <w:rFonts w:ascii="Arial" w:hAnsi="Arial"/>
          <w:sz w:val="24"/>
        </w:rPr>
        <w:instrText xml:space="preserve"> DOCPROPERTY "DocCreatorInitials"  \* MERGEFORMAT </w:instrText>
      </w:r>
      <w:r w:rsidRPr="00373B5B">
        <w:rPr>
          <w:rFonts w:ascii="Arial" w:hAnsi="Arial"/>
          <w:sz w:val="24"/>
        </w:rPr>
        <w:fldChar w:fldCharType="separate"/>
      </w:r>
      <w:r>
        <w:rPr>
          <w:rFonts w:ascii="Arial" w:hAnsi="Arial"/>
          <w:sz w:val="24"/>
        </w:rPr>
        <w:instrText>SMH</w:instrText>
      </w:r>
      <w:r w:rsidRPr="00373B5B">
        <w:rPr>
          <w:rFonts w:ascii="Arial" w:hAnsi="Arial"/>
          <w:sz w:val="24"/>
        </w:rPr>
        <w:fldChar w:fldCharType="end"/>
      </w:r>
      <w:r w:rsidRPr="00373B5B">
        <w:rPr>
          <w:rFonts w:ascii="Arial" w:hAnsi="Arial"/>
          <w:sz w:val="24"/>
        </w:rPr>
        <w:instrText>=</w:instrText>
      </w:r>
      <w:r w:rsidRPr="00373B5B">
        <w:rPr>
          <w:rFonts w:ascii="Arial" w:hAnsi="Arial"/>
          <w:sz w:val="24"/>
        </w:rPr>
        <w:fldChar w:fldCharType="begin"/>
      </w:r>
      <w:r w:rsidRPr="00373B5B">
        <w:rPr>
          <w:rFonts w:ascii="Arial" w:hAnsi="Arial"/>
          <w:sz w:val="24"/>
        </w:rPr>
        <w:instrText xml:space="preserve"> DOCPROPERTY "DocOwnerInitials"  \* MERGEFORMAT </w:instrText>
      </w:r>
      <w:r w:rsidRPr="00373B5B">
        <w:rPr>
          <w:rFonts w:ascii="Arial" w:hAnsi="Arial"/>
          <w:sz w:val="24"/>
        </w:rPr>
        <w:fldChar w:fldCharType="separate"/>
      </w:r>
      <w:r>
        <w:rPr>
          <w:rFonts w:ascii="Arial" w:hAnsi="Arial"/>
          <w:sz w:val="24"/>
        </w:rPr>
        <w:instrText>SMH</w:instrText>
      </w:r>
      <w:r w:rsidRPr="00373B5B">
        <w:rPr>
          <w:rFonts w:ascii="Arial" w:hAnsi="Arial"/>
          <w:sz w:val="24"/>
        </w:rPr>
        <w:fldChar w:fldCharType="end"/>
      </w:r>
      <w:r w:rsidRPr="00373B5B">
        <w:rPr>
          <w:rFonts w:ascii="Arial" w:hAnsi="Arial"/>
          <w:sz w:val="24"/>
        </w:rPr>
        <w:instrText xml:space="preserve"> "" </w:instrText>
      </w:r>
      <w:r w:rsidRPr="00373B5B">
        <w:rPr>
          <w:rFonts w:ascii="Arial" w:hAnsi="Arial"/>
          <w:sz w:val="24"/>
        </w:rPr>
        <w:fldChar w:fldCharType="begin"/>
      </w:r>
      <w:r w:rsidRPr="00373B5B">
        <w:rPr>
          <w:rFonts w:ascii="Arial" w:hAnsi="Arial"/>
          <w:sz w:val="24"/>
        </w:rPr>
        <w:instrText xml:space="preserve"> DOCPROPERTY "DocCreatorInitials"  \* MERGEFORMAT </w:instrText>
      </w:r>
      <w:r w:rsidRPr="00373B5B">
        <w:rPr>
          <w:rFonts w:ascii="Arial" w:hAnsi="Arial"/>
          <w:sz w:val="24"/>
        </w:rPr>
        <w:fldChar w:fldCharType="separate"/>
      </w:r>
      <w:r>
        <w:rPr>
          <w:rFonts w:ascii="Arial" w:hAnsi="Arial"/>
          <w:sz w:val="24"/>
        </w:rPr>
        <w:instrText>DocCreatorInitials</w:instrText>
      </w:r>
      <w:r w:rsidRPr="00373B5B">
        <w:rPr>
          <w:rFonts w:ascii="Arial" w:hAnsi="Arial"/>
          <w:sz w:val="24"/>
        </w:rPr>
        <w:fldChar w:fldCharType="end"/>
      </w:r>
      <w:r w:rsidRPr="00373B5B">
        <w:rPr>
          <w:rFonts w:ascii="Arial" w:hAnsi="Arial"/>
          <w:sz w:val="24"/>
        </w:rPr>
        <w:instrText xml:space="preserve">\* MERGEFORMAT </w:instrText>
      </w:r>
      <w:r w:rsidRPr="00373B5B">
        <w:rPr>
          <w:rFonts w:ascii="Arial" w:hAnsi="Arial"/>
          <w:sz w:val="24"/>
        </w:rPr>
        <w:fldChar w:fldCharType="end"/>
      </w:r>
      <w:r w:rsidRPr="00373B5B">
        <w:rPr>
          <w:rFonts w:ascii="Arial" w:hAnsi="Arial"/>
          <w:sz w:val="24"/>
        </w:rPr>
        <w:fldChar w:fldCharType="begin"/>
      </w:r>
      <w:r w:rsidRPr="00373B5B">
        <w:rPr>
          <w:rFonts w:ascii="Arial" w:hAnsi="Arial"/>
          <w:sz w:val="24"/>
        </w:rPr>
        <w:instrText xml:space="preserve"> IF </w:instrText>
      </w:r>
      <w:r w:rsidRPr="00373B5B">
        <w:rPr>
          <w:rFonts w:ascii="Arial" w:hAnsi="Arial"/>
          <w:sz w:val="24"/>
        </w:rPr>
        <w:fldChar w:fldCharType="begin"/>
      </w:r>
      <w:r w:rsidRPr="00373B5B">
        <w:rPr>
          <w:rFonts w:ascii="Arial" w:hAnsi="Arial"/>
          <w:sz w:val="24"/>
        </w:rPr>
        <w:instrText xml:space="preserve"> DOCPROPERTY "DocCreatorInitials"  \* MERGEFORMAT </w:instrText>
      </w:r>
      <w:r w:rsidRPr="00373B5B">
        <w:rPr>
          <w:rFonts w:ascii="Arial" w:hAnsi="Arial"/>
          <w:sz w:val="24"/>
        </w:rPr>
        <w:fldChar w:fldCharType="separate"/>
      </w:r>
      <w:r>
        <w:rPr>
          <w:rFonts w:ascii="Arial" w:hAnsi="Arial"/>
          <w:sz w:val="24"/>
        </w:rPr>
        <w:instrText>SMH</w:instrText>
      </w:r>
      <w:r w:rsidRPr="00373B5B">
        <w:rPr>
          <w:rFonts w:ascii="Arial" w:hAnsi="Arial"/>
          <w:sz w:val="24"/>
        </w:rPr>
        <w:fldChar w:fldCharType="end"/>
      </w:r>
      <w:r w:rsidRPr="00373B5B">
        <w:rPr>
          <w:rFonts w:ascii="Arial" w:hAnsi="Arial"/>
          <w:sz w:val="24"/>
        </w:rPr>
        <w:instrText>=</w:instrText>
      </w:r>
      <w:r w:rsidRPr="00373B5B">
        <w:rPr>
          <w:rFonts w:ascii="Arial" w:hAnsi="Arial"/>
          <w:sz w:val="24"/>
        </w:rPr>
        <w:fldChar w:fldCharType="begin"/>
      </w:r>
      <w:r w:rsidRPr="00373B5B">
        <w:rPr>
          <w:rFonts w:ascii="Arial" w:hAnsi="Arial"/>
          <w:sz w:val="24"/>
        </w:rPr>
        <w:instrText xml:space="preserve"> DOCPROPERTY "DocOwnerInitials"  \* MERGEFORMAT </w:instrText>
      </w:r>
      <w:r w:rsidRPr="00373B5B">
        <w:rPr>
          <w:rFonts w:ascii="Arial" w:hAnsi="Arial"/>
          <w:sz w:val="24"/>
        </w:rPr>
        <w:fldChar w:fldCharType="separate"/>
      </w:r>
      <w:r>
        <w:rPr>
          <w:rFonts w:ascii="Arial" w:hAnsi="Arial"/>
          <w:sz w:val="24"/>
        </w:rPr>
        <w:instrText>SMH</w:instrText>
      </w:r>
      <w:r w:rsidRPr="00373B5B">
        <w:rPr>
          <w:rFonts w:ascii="Arial" w:hAnsi="Arial"/>
          <w:sz w:val="24"/>
        </w:rPr>
        <w:fldChar w:fldCharType="end"/>
      </w:r>
      <w:r w:rsidRPr="00373B5B">
        <w:rPr>
          <w:rFonts w:ascii="Arial" w:hAnsi="Arial"/>
          <w:sz w:val="24"/>
        </w:rPr>
        <w:instrText xml:space="preserve"> "" "/"\* MERGEFORMAT </w:instrText>
      </w:r>
      <w:r w:rsidRPr="00373B5B">
        <w:rPr>
          <w:rFonts w:ascii="Arial" w:hAnsi="Arial"/>
          <w:sz w:val="24"/>
        </w:rPr>
        <w:fldChar w:fldCharType="end"/>
      </w:r>
      <w:r w:rsidRPr="00373B5B">
        <w:rPr>
          <w:rFonts w:ascii="Arial" w:hAnsi="Arial"/>
          <w:sz w:val="24"/>
        </w:rPr>
        <w:fldChar w:fldCharType="begin"/>
      </w:r>
      <w:r w:rsidRPr="00373B5B">
        <w:rPr>
          <w:rFonts w:ascii="Arial" w:hAnsi="Arial"/>
          <w:sz w:val="24"/>
        </w:rPr>
        <w:instrText xml:space="preserve"> DOCPROPERTY MatterRef \* MERGEFORMAT </w:instrText>
      </w:r>
      <w:r w:rsidRPr="00373B5B">
        <w:rPr>
          <w:rFonts w:ascii="Arial" w:hAnsi="Arial"/>
          <w:sz w:val="24"/>
        </w:rPr>
        <w:fldChar w:fldCharType="separate"/>
      </w:r>
      <w:r>
        <w:rPr>
          <w:rFonts w:ascii="Arial" w:hAnsi="Arial"/>
          <w:sz w:val="24"/>
        </w:rPr>
        <w:t>Zip001134</w:t>
      </w:r>
      <w:r w:rsidRPr="00373B5B">
        <w:rPr>
          <w:rFonts w:ascii="Arial" w:hAnsi="Arial"/>
          <w:sz w:val="24"/>
        </w:rPr>
        <w:fldChar w:fldCharType="end"/>
      </w:r>
      <w:r>
        <w:rPr>
          <w:rFonts w:ascii="Arial" w:hAnsi="Arial"/>
          <w:sz w:val="24"/>
        </w:rPr>
        <w:tab/>
        <w:t xml:space="preserve">Your Ref:  </w:t>
      </w:r>
    </w:p>
    <w:p w14:paraId="6D56FECF" w14:textId="77777777" w:rsidR="00230559" w:rsidRDefault="00230559">
      <w:pPr>
        <w:tabs>
          <w:tab w:val="left" w:pos="4860"/>
          <w:tab w:val="left" w:pos="5529"/>
        </w:tabs>
        <w:jc w:val="both"/>
        <w:rPr>
          <w:rFonts w:ascii="Arial" w:hAnsi="Arial"/>
          <w:sz w:val="24"/>
        </w:rPr>
      </w:pPr>
    </w:p>
    <w:p w14:paraId="3D7A39B8" w14:textId="77777777" w:rsidR="00230559" w:rsidRDefault="00230559" w:rsidP="007E1120">
      <w:pPr>
        <w:tabs>
          <w:tab w:val="left" w:pos="2970"/>
          <w:tab w:val="left" w:pos="4820"/>
          <w:tab w:val="left" w:pos="4860"/>
        </w:tabs>
        <w:jc w:val="both"/>
        <w:rPr>
          <w:rFonts w:ascii="Arial" w:hAnsi="Arial"/>
          <w:sz w:val="24"/>
        </w:rPr>
      </w:pPr>
      <w:r>
        <w:rPr>
          <w:rFonts w:ascii="Arial" w:hAnsi="Arial"/>
          <w:sz w:val="24"/>
        </w:rPr>
        <w:t>(</w:t>
      </w:r>
      <w:r>
        <w:rPr>
          <w:rFonts w:ascii="Arial" w:hAnsi="Arial"/>
          <w:sz w:val="24"/>
        </w:rPr>
        <w:fldChar w:fldCharType="begin"/>
      </w:r>
      <w:r>
        <w:rPr>
          <w:rFonts w:ascii="Arial" w:hAnsi="Arial"/>
          <w:sz w:val="24"/>
        </w:rPr>
        <w:instrText xml:space="preserve"> DOCPROPERTY DocOwnerName \* MERGEFORMAT </w:instrText>
      </w:r>
      <w:r>
        <w:rPr>
          <w:rFonts w:ascii="Arial" w:hAnsi="Arial"/>
          <w:sz w:val="24"/>
        </w:rPr>
        <w:fldChar w:fldCharType="separate"/>
      </w:r>
      <w:r>
        <w:rPr>
          <w:rFonts w:ascii="Arial" w:hAnsi="Arial"/>
          <w:sz w:val="24"/>
        </w:rPr>
        <w:t>Sophie Mcfie-Hyland</w:t>
      </w:r>
      <w:r>
        <w:rPr>
          <w:rFonts w:ascii="Arial" w:hAnsi="Arial"/>
          <w:sz w:val="24"/>
        </w:rPr>
        <w:fldChar w:fldCharType="end"/>
      </w:r>
      <w:r>
        <w:rPr>
          <w:rFonts w:ascii="Arial" w:hAnsi="Arial"/>
          <w:sz w:val="24"/>
        </w:rPr>
        <w:t xml:space="preserve"> – Ext. No. 27</w:t>
      </w:r>
      <w:r>
        <w:rPr>
          <w:rFonts w:ascii="Arial" w:hAnsi="Arial"/>
          <w:sz w:val="24"/>
        </w:rPr>
        <w:fldChar w:fldCharType="begin"/>
      </w:r>
      <w:r>
        <w:rPr>
          <w:rFonts w:ascii="Arial" w:hAnsi="Arial"/>
          <w:sz w:val="24"/>
        </w:rPr>
        <w:instrText xml:space="preserve"> DOCPROPERTY DocOwnerLocation \* MERGEFORMAT </w:instrText>
      </w:r>
      <w:r>
        <w:rPr>
          <w:rFonts w:ascii="Arial" w:hAnsi="Arial"/>
          <w:sz w:val="24"/>
        </w:rPr>
        <w:fldChar w:fldCharType="separate"/>
      </w:r>
      <w:r>
        <w:rPr>
          <w:rFonts w:ascii="Arial" w:hAnsi="Arial"/>
          <w:sz w:val="24"/>
        </w:rPr>
        <w:t>6297</w:t>
      </w:r>
      <w:r>
        <w:rPr>
          <w:rFonts w:ascii="Arial" w:hAnsi="Arial"/>
          <w:sz w:val="24"/>
        </w:rPr>
        <w:fldChar w:fldCharType="end"/>
      </w:r>
      <w:r>
        <w:rPr>
          <w:rFonts w:ascii="Arial" w:hAnsi="Arial"/>
          <w:sz w:val="24"/>
        </w:rPr>
        <w:t xml:space="preserve">)  </w:t>
      </w:r>
      <w:r>
        <w:rPr>
          <w:rFonts w:ascii="Arial" w:hAnsi="Arial"/>
          <w:sz w:val="24"/>
        </w:rPr>
        <w:tab/>
      </w:r>
      <w:r>
        <w:rPr>
          <w:rFonts w:ascii="Arial" w:hAnsi="Arial"/>
          <w:sz w:val="24"/>
        </w:rPr>
        <w:tab/>
        <w:t>Date:   08 May 2012</w:t>
      </w:r>
    </w:p>
    <w:p w14:paraId="15051EB0" w14:textId="77777777" w:rsidR="00230559" w:rsidRDefault="00230559" w:rsidP="005A2E07">
      <w:pPr>
        <w:pStyle w:val="Title"/>
        <w:pBdr>
          <w:bottom w:val="single" w:sz="12" w:space="1" w:color="auto"/>
        </w:pBdr>
        <w:tabs>
          <w:tab w:val="left" w:pos="4860"/>
        </w:tabs>
        <w:rPr>
          <w:rFonts w:ascii="Arial" w:hAnsi="Arial"/>
        </w:rPr>
      </w:pPr>
    </w:p>
    <w:p w14:paraId="00770D6C" w14:textId="77777777" w:rsidR="00230559" w:rsidRDefault="00230559">
      <w:pPr>
        <w:tabs>
          <w:tab w:val="left" w:pos="3402"/>
          <w:tab w:val="left" w:pos="4860"/>
          <w:tab w:val="left" w:pos="5529"/>
        </w:tabs>
        <w:jc w:val="both"/>
        <w:rPr>
          <w:rFonts w:ascii="Arial" w:hAnsi="Arial"/>
          <w:sz w:val="24"/>
        </w:rPr>
      </w:pPr>
    </w:p>
    <w:p w14:paraId="724AA6A6" w14:textId="77777777" w:rsidR="00230559" w:rsidRPr="005A2E07" w:rsidRDefault="00230559" w:rsidP="00E86ABD">
      <w:pPr>
        <w:pStyle w:val="Heading1"/>
        <w:jc w:val="both"/>
        <w:rPr>
          <w:rFonts w:ascii="Arial" w:hAnsi="Arial"/>
          <w:b/>
          <w:bCs/>
          <w:iCs/>
          <w:szCs w:val="24"/>
          <w:u w:val="none"/>
        </w:rPr>
      </w:pPr>
      <w:r>
        <w:rPr>
          <w:rFonts w:ascii="Arial" w:hAnsi="Arial"/>
          <w:b/>
          <w:bCs/>
          <w:iCs/>
          <w:szCs w:val="24"/>
          <w:u w:val="none"/>
        </w:rPr>
        <w:t xml:space="preserve">Local </w:t>
      </w:r>
      <w:smartTag w:uri="urn:schemas-microsoft-com:office:smarttags" w:element="City">
        <w:smartTag w:uri="urn:schemas-microsoft-com:office:smarttags" w:element="place">
          <w:r>
            <w:rPr>
              <w:rFonts w:ascii="Arial" w:hAnsi="Arial"/>
              <w:b/>
              <w:bCs/>
              <w:iCs/>
              <w:szCs w:val="24"/>
              <w:u w:val="none"/>
            </w:rPr>
            <w:t>Enterprise</w:t>
          </w:r>
        </w:smartTag>
      </w:smartTag>
      <w:r>
        <w:rPr>
          <w:rFonts w:ascii="Arial" w:hAnsi="Arial"/>
          <w:b/>
          <w:bCs/>
          <w:iCs/>
          <w:szCs w:val="24"/>
          <w:u w:val="none"/>
        </w:rPr>
        <w:t xml:space="preserve"> Partnership Growing Places Fund – Financial issues</w:t>
      </w:r>
    </w:p>
    <w:p w14:paraId="34E813E9" w14:textId="77777777" w:rsidR="00230559" w:rsidRDefault="00230559" w:rsidP="00E86ABD">
      <w:pPr>
        <w:tabs>
          <w:tab w:val="left" w:pos="4860"/>
        </w:tabs>
        <w:jc w:val="both"/>
        <w:rPr>
          <w:rFonts w:ascii="Arial" w:hAnsi="Arial"/>
          <w:sz w:val="24"/>
        </w:rPr>
      </w:pPr>
    </w:p>
    <w:p w14:paraId="46509C59" w14:textId="77777777" w:rsidR="00230559" w:rsidRPr="00D23E24" w:rsidRDefault="00230559" w:rsidP="00E86ABD">
      <w:pPr>
        <w:tabs>
          <w:tab w:val="left" w:pos="4860"/>
        </w:tabs>
        <w:jc w:val="both"/>
        <w:rPr>
          <w:rFonts w:ascii="Arial" w:hAnsi="Arial"/>
          <w:b/>
          <w:sz w:val="24"/>
          <w:u w:val="single"/>
        </w:rPr>
      </w:pPr>
      <w:r w:rsidRPr="00D23E24">
        <w:rPr>
          <w:rFonts w:ascii="Arial" w:hAnsi="Arial"/>
          <w:b/>
          <w:sz w:val="24"/>
          <w:u w:val="single"/>
        </w:rPr>
        <w:t>Introduction</w:t>
      </w:r>
    </w:p>
    <w:p w14:paraId="1D8ADFD8" w14:textId="77777777" w:rsidR="00230559" w:rsidRDefault="00230559" w:rsidP="00E86ABD">
      <w:pPr>
        <w:pStyle w:val="Heading1"/>
        <w:tabs>
          <w:tab w:val="left" w:pos="4860"/>
        </w:tabs>
        <w:jc w:val="both"/>
      </w:pPr>
    </w:p>
    <w:p w14:paraId="73BA2F51" w14:textId="77777777" w:rsidR="00230559" w:rsidRDefault="00230559" w:rsidP="00E86ABD">
      <w:pPr>
        <w:jc w:val="both"/>
        <w:rPr>
          <w:rFonts w:ascii="Arial" w:hAnsi="Arial" w:cs="Arial"/>
          <w:sz w:val="24"/>
          <w:szCs w:val="24"/>
        </w:rPr>
      </w:pPr>
      <w:r w:rsidRPr="00D23E24">
        <w:rPr>
          <w:rFonts w:ascii="Arial" w:hAnsi="Arial" w:cs="Arial"/>
          <w:sz w:val="24"/>
          <w:szCs w:val="24"/>
        </w:rPr>
        <w:t>In the Stage 2 app</w:t>
      </w:r>
      <w:r>
        <w:rPr>
          <w:rFonts w:ascii="Arial" w:hAnsi="Arial" w:cs="Arial"/>
          <w:sz w:val="24"/>
          <w:szCs w:val="24"/>
        </w:rPr>
        <w:t>lication forms for</w:t>
      </w:r>
      <w:r w:rsidRPr="00D23E24">
        <w:rPr>
          <w:rFonts w:ascii="Arial" w:hAnsi="Arial" w:cs="Arial"/>
          <w:sz w:val="24"/>
          <w:szCs w:val="24"/>
        </w:rPr>
        <w:t xml:space="preserve"> the Growing Places Fund the applicants were asked </w:t>
      </w:r>
      <w:r>
        <w:rPr>
          <w:rFonts w:ascii="Arial" w:hAnsi="Arial" w:cs="Arial"/>
          <w:sz w:val="24"/>
          <w:szCs w:val="24"/>
        </w:rPr>
        <w:t>what security they could provide for the loans.  The security options are as follows:</w:t>
      </w:r>
    </w:p>
    <w:p w14:paraId="48B62C10" w14:textId="77777777" w:rsidR="00230559" w:rsidRDefault="00230559" w:rsidP="00E86ABD">
      <w:pPr>
        <w:jc w:val="both"/>
        <w:rPr>
          <w:rFonts w:ascii="Arial" w:hAnsi="Arial" w:cs="Arial"/>
          <w:sz w:val="24"/>
          <w:szCs w:val="24"/>
        </w:rPr>
      </w:pPr>
    </w:p>
    <w:p w14:paraId="0FC5428C" w14:textId="77777777" w:rsidR="00230559" w:rsidRDefault="00230559" w:rsidP="00230559">
      <w:pPr>
        <w:numPr>
          <w:ilvl w:val="0"/>
          <w:numId w:val="7"/>
        </w:numPr>
        <w:spacing w:after="0" w:line="240" w:lineRule="auto"/>
        <w:jc w:val="both"/>
        <w:rPr>
          <w:rFonts w:ascii="Arial" w:hAnsi="Arial" w:cs="Arial"/>
          <w:sz w:val="24"/>
          <w:szCs w:val="24"/>
        </w:rPr>
      </w:pPr>
      <w:r>
        <w:rPr>
          <w:rFonts w:ascii="Arial" w:hAnsi="Arial" w:cs="Arial"/>
          <w:sz w:val="24"/>
          <w:szCs w:val="24"/>
        </w:rPr>
        <w:t>Bond;</w:t>
      </w:r>
    </w:p>
    <w:p w14:paraId="1D96BB72" w14:textId="77777777" w:rsidR="00230559" w:rsidRDefault="00230559" w:rsidP="00230559">
      <w:pPr>
        <w:numPr>
          <w:ilvl w:val="0"/>
          <w:numId w:val="7"/>
        </w:numPr>
        <w:spacing w:after="0" w:line="240" w:lineRule="auto"/>
        <w:jc w:val="both"/>
        <w:rPr>
          <w:rFonts w:ascii="Arial" w:hAnsi="Arial" w:cs="Arial"/>
          <w:sz w:val="24"/>
          <w:szCs w:val="24"/>
        </w:rPr>
      </w:pPr>
      <w:r>
        <w:rPr>
          <w:rFonts w:ascii="Arial" w:hAnsi="Arial" w:cs="Arial"/>
          <w:sz w:val="24"/>
          <w:szCs w:val="24"/>
        </w:rPr>
        <w:t>Parent company guarantee;</w:t>
      </w:r>
    </w:p>
    <w:p w14:paraId="3AA1BBF0" w14:textId="77777777" w:rsidR="00230559" w:rsidRDefault="00230559" w:rsidP="00230559">
      <w:pPr>
        <w:numPr>
          <w:ilvl w:val="0"/>
          <w:numId w:val="7"/>
        </w:numPr>
        <w:spacing w:after="0" w:line="240" w:lineRule="auto"/>
        <w:jc w:val="both"/>
        <w:rPr>
          <w:rFonts w:ascii="Arial" w:hAnsi="Arial" w:cs="Arial"/>
          <w:sz w:val="24"/>
          <w:szCs w:val="24"/>
        </w:rPr>
      </w:pPr>
      <w:r>
        <w:rPr>
          <w:rFonts w:ascii="Arial" w:hAnsi="Arial" w:cs="Arial"/>
          <w:sz w:val="24"/>
          <w:szCs w:val="24"/>
        </w:rPr>
        <w:t>Lien;</w:t>
      </w:r>
    </w:p>
    <w:p w14:paraId="69B3B084" w14:textId="77777777" w:rsidR="00230559" w:rsidRDefault="00230559" w:rsidP="00230559">
      <w:pPr>
        <w:numPr>
          <w:ilvl w:val="0"/>
          <w:numId w:val="7"/>
        </w:numPr>
        <w:spacing w:after="0" w:line="240" w:lineRule="auto"/>
        <w:jc w:val="both"/>
        <w:rPr>
          <w:rFonts w:ascii="Arial" w:hAnsi="Arial" w:cs="Arial"/>
          <w:sz w:val="24"/>
          <w:szCs w:val="24"/>
        </w:rPr>
      </w:pPr>
      <w:r>
        <w:rPr>
          <w:rFonts w:ascii="Arial" w:hAnsi="Arial" w:cs="Arial"/>
          <w:sz w:val="24"/>
          <w:szCs w:val="24"/>
        </w:rPr>
        <w:t>Pledge;</w:t>
      </w:r>
    </w:p>
    <w:p w14:paraId="2D8798FD" w14:textId="77777777" w:rsidR="00230559" w:rsidRDefault="00230559" w:rsidP="00230559">
      <w:pPr>
        <w:numPr>
          <w:ilvl w:val="0"/>
          <w:numId w:val="7"/>
        </w:numPr>
        <w:spacing w:after="0" w:line="240" w:lineRule="auto"/>
        <w:jc w:val="both"/>
        <w:rPr>
          <w:rFonts w:ascii="Arial" w:hAnsi="Arial" w:cs="Arial"/>
          <w:sz w:val="24"/>
          <w:szCs w:val="24"/>
        </w:rPr>
      </w:pPr>
      <w:r>
        <w:rPr>
          <w:rFonts w:ascii="Arial" w:hAnsi="Arial" w:cs="Arial"/>
          <w:sz w:val="24"/>
          <w:szCs w:val="24"/>
        </w:rPr>
        <w:t>Charge; and</w:t>
      </w:r>
    </w:p>
    <w:p w14:paraId="4604DE01" w14:textId="77777777" w:rsidR="00230559" w:rsidRDefault="00230559" w:rsidP="00230559">
      <w:pPr>
        <w:numPr>
          <w:ilvl w:val="0"/>
          <w:numId w:val="7"/>
        </w:numPr>
        <w:spacing w:after="0" w:line="240" w:lineRule="auto"/>
        <w:jc w:val="both"/>
        <w:rPr>
          <w:rFonts w:ascii="Arial" w:hAnsi="Arial" w:cs="Arial"/>
          <w:sz w:val="24"/>
          <w:szCs w:val="24"/>
        </w:rPr>
      </w:pPr>
      <w:r>
        <w:rPr>
          <w:rFonts w:ascii="Arial" w:hAnsi="Arial" w:cs="Arial"/>
          <w:sz w:val="24"/>
          <w:szCs w:val="24"/>
        </w:rPr>
        <w:t>Mortgage.</w:t>
      </w:r>
    </w:p>
    <w:p w14:paraId="43C599C4" w14:textId="77777777" w:rsidR="00230559" w:rsidRDefault="00230559" w:rsidP="00E86ABD">
      <w:pPr>
        <w:jc w:val="both"/>
        <w:rPr>
          <w:rFonts w:ascii="Arial" w:hAnsi="Arial" w:cs="Arial"/>
          <w:sz w:val="24"/>
          <w:szCs w:val="24"/>
        </w:rPr>
      </w:pPr>
    </w:p>
    <w:p w14:paraId="0EA8C009" w14:textId="77777777" w:rsidR="00230559" w:rsidRDefault="00230559" w:rsidP="00E86ABD">
      <w:pPr>
        <w:jc w:val="both"/>
        <w:rPr>
          <w:rFonts w:ascii="Arial" w:hAnsi="Arial" w:cs="Arial"/>
          <w:sz w:val="24"/>
          <w:szCs w:val="24"/>
        </w:rPr>
      </w:pPr>
      <w:r>
        <w:rPr>
          <w:rFonts w:ascii="Arial" w:hAnsi="Arial" w:cs="Arial"/>
          <w:sz w:val="24"/>
          <w:szCs w:val="24"/>
        </w:rPr>
        <w:t>Blackburn House and Beacons Business Park Projects have offered parent company guarantees which do not appear to be sufficient</w:t>
      </w:r>
    </w:p>
    <w:p w14:paraId="7ADBC5D9" w14:textId="77777777" w:rsidR="00230559" w:rsidRPr="00D23E24" w:rsidRDefault="00230559" w:rsidP="00E86ABD">
      <w:pPr>
        <w:jc w:val="both"/>
        <w:rPr>
          <w:rFonts w:ascii="Arial" w:hAnsi="Arial" w:cs="Arial"/>
          <w:sz w:val="24"/>
          <w:szCs w:val="24"/>
        </w:rPr>
      </w:pPr>
    </w:p>
    <w:p w14:paraId="5C4218F5" w14:textId="77777777" w:rsidR="00230559" w:rsidRPr="007E1120" w:rsidRDefault="00230559" w:rsidP="00E86ABD">
      <w:pPr>
        <w:jc w:val="both"/>
        <w:rPr>
          <w:rFonts w:ascii="Arial" w:hAnsi="Arial" w:cs="Arial"/>
          <w:b/>
          <w:sz w:val="24"/>
          <w:szCs w:val="24"/>
          <w:u w:val="single"/>
        </w:rPr>
      </w:pPr>
      <w:r w:rsidRPr="007E1120">
        <w:rPr>
          <w:rFonts w:ascii="Arial" w:hAnsi="Arial" w:cs="Arial"/>
          <w:b/>
          <w:sz w:val="24"/>
          <w:szCs w:val="24"/>
          <w:u w:val="single"/>
        </w:rPr>
        <w:t>Security options</w:t>
      </w:r>
    </w:p>
    <w:p w14:paraId="6EC4440C" w14:textId="77777777" w:rsidR="00230559" w:rsidRDefault="00230559" w:rsidP="00E86ABD">
      <w:pPr>
        <w:jc w:val="both"/>
      </w:pPr>
    </w:p>
    <w:p w14:paraId="7A73606A" w14:textId="77777777" w:rsidR="00230559" w:rsidRPr="000C60AC" w:rsidRDefault="00230559" w:rsidP="00E86ABD">
      <w:pPr>
        <w:jc w:val="both"/>
        <w:rPr>
          <w:rFonts w:ascii="Arial" w:hAnsi="Arial" w:cs="Arial"/>
          <w:b/>
          <w:sz w:val="24"/>
          <w:szCs w:val="24"/>
        </w:rPr>
      </w:pPr>
      <w:r w:rsidRPr="000C60AC">
        <w:rPr>
          <w:rFonts w:ascii="Arial" w:hAnsi="Arial" w:cs="Arial"/>
          <w:b/>
          <w:sz w:val="24"/>
          <w:szCs w:val="24"/>
        </w:rPr>
        <w:lastRenderedPageBreak/>
        <w:t>Guarantee or Bond</w:t>
      </w:r>
    </w:p>
    <w:p w14:paraId="3746BD9E" w14:textId="77777777" w:rsidR="00230559" w:rsidRDefault="00230559" w:rsidP="00E86ABD">
      <w:pPr>
        <w:jc w:val="both"/>
        <w:rPr>
          <w:rFonts w:ascii="Arial" w:hAnsi="Arial" w:cs="Arial"/>
          <w:sz w:val="24"/>
          <w:szCs w:val="24"/>
        </w:rPr>
      </w:pPr>
    </w:p>
    <w:p w14:paraId="2FE51AA9" w14:textId="77777777" w:rsidR="00230559" w:rsidRDefault="00230559" w:rsidP="00E86ABD">
      <w:pPr>
        <w:jc w:val="both"/>
        <w:rPr>
          <w:rFonts w:ascii="Arial" w:hAnsi="Arial" w:cs="Arial"/>
          <w:sz w:val="24"/>
          <w:szCs w:val="24"/>
        </w:rPr>
      </w:pPr>
      <w:r>
        <w:rPr>
          <w:rFonts w:ascii="Arial" w:hAnsi="Arial" w:cs="Arial"/>
          <w:sz w:val="24"/>
          <w:szCs w:val="24"/>
        </w:rPr>
        <w:t>The guarantor’s obligation under the guarantee or bond will depend on whether the document operates as a “guarantee” or as an “on demand” payment obligation.   On demand bonds (like an indemnity) impose a primary obligation on the issuer to pay in the circumstances where one party fails to perform the contract</w:t>
      </w:r>
    </w:p>
    <w:p w14:paraId="033C8B15" w14:textId="77777777" w:rsidR="00230559" w:rsidRDefault="00230559" w:rsidP="00E86ABD">
      <w:pPr>
        <w:jc w:val="both"/>
        <w:rPr>
          <w:rFonts w:ascii="Arial" w:hAnsi="Arial" w:cs="Arial"/>
          <w:sz w:val="24"/>
          <w:szCs w:val="24"/>
        </w:rPr>
      </w:pPr>
    </w:p>
    <w:p w14:paraId="44B05542" w14:textId="77777777" w:rsidR="00230559" w:rsidRDefault="00230559" w:rsidP="00E86ABD">
      <w:pPr>
        <w:jc w:val="both"/>
        <w:rPr>
          <w:rFonts w:ascii="Arial" w:hAnsi="Arial" w:cs="Arial"/>
          <w:sz w:val="24"/>
          <w:szCs w:val="24"/>
        </w:rPr>
      </w:pPr>
      <w:r>
        <w:rPr>
          <w:rFonts w:ascii="Arial" w:hAnsi="Arial" w:cs="Arial"/>
          <w:sz w:val="24"/>
          <w:szCs w:val="24"/>
        </w:rPr>
        <w:t xml:space="preserve">The traditional form of bond operates as a guarantee: the guarantor promises to be directly answerable for the payment of a debt owed by one person to another or the fulfilment of a person’s contractual obligation owed to another in the event of the debtor (or principal’s) default.  Its basic function is to provide security for performance, particularly where the debtor becomes insolvent.  </w:t>
      </w:r>
    </w:p>
    <w:p w14:paraId="3BC39A66" w14:textId="77777777" w:rsidR="00230559" w:rsidRDefault="00230559" w:rsidP="00E86ABD">
      <w:pPr>
        <w:jc w:val="both"/>
        <w:rPr>
          <w:rFonts w:ascii="Arial" w:hAnsi="Arial" w:cs="Arial"/>
          <w:sz w:val="24"/>
          <w:szCs w:val="24"/>
        </w:rPr>
      </w:pPr>
    </w:p>
    <w:p w14:paraId="5A07083B" w14:textId="77777777" w:rsidR="00230559" w:rsidRDefault="00230559" w:rsidP="00E86ABD">
      <w:pPr>
        <w:jc w:val="both"/>
        <w:rPr>
          <w:rFonts w:ascii="Arial" w:hAnsi="Arial" w:cs="Arial"/>
          <w:sz w:val="24"/>
          <w:szCs w:val="24"/>
        </w:rPr>
      </w:pPr>
      <w:r>
        <w:rPr>
          <w:rFonts w:ascii="Arial" w:hAnsi="Arial" w:cs="Arial"/>
          <w:sz w:val="24"/>
          <w:szCs w:val="24"/>
        </w:rPr>
        <w:t>On demand bonds (like an indemnity) impose a primary obligation on the issuer to pay in the circumstances where one party (the principal or seller) fails to perform the contract, without the other party (the beneficiary or buyer) having to sue the defaulting party and prove breach of contract.  In contrast, the obligation to make payment under a guarantee is dependent on the buyer establishing a liability on the part of the seller in respect of the underlying contract.</w:t>
      </w:r>
    </w:p>
    <w:p w14:paraId="5AD39CB8" w14:textId="77777777" w:rsidR="00230559" w:rsidRDefault="00230559" w:rsidP="00E86ABD">
      <w:pPr>
        <w:jc w:val="both"/>
        <w:rPr>
          <w:rFonts w:ascii="Arial" w:hAnsi="Arial" w:cs="Arial"/>
          <w:sz w:val="24"/>
          <w:szCs w:val="24"/>
        </w:rPr>
      </w:pPr>
    </w:p>
    <w:p w14:paraId="03301E28" w14:textId="77777777" w:rsidR="00230559" w:rsidRPr="007E1120" w:rsidRDefault="00230559" w:rsidP="00E86ABD">
      <w:pPr>
        <w:jc w:val="both"/>
        <w:rPr>
          <w:rFonts w:ascii="Arial" w:hAnsi="Arial" w:cs="Arial"/>
          <w:sz w:val="24"/>
          <w:szCs w:val="24"/>
        </w:rPr>
      </w:pPr>
      <w:r>
        <w:rPr>
          <w:rFonts w:ascii="Arial" w:hAnsi="Arial" w:cs="Arial"/>
          <w:sz w:val="24"/>
          <w:szCs w:val="24"/>
        </w:rPr>
        <w:t>The effect and commercial purpose of an on demand bond is quite different to a guarantee.  On demand bonds impose a primary contractual obligation on the issuer to pay a specified sum, of money on the happening of a specified event or events.  The bond is normally expressed to be payable “on demand” or “on your first demand” and the buyer is entitled to payment under an on demand bond simply on submitting a statement that the applicant is in default of the contract and a loss has been suffered.</w:t>
      </w:r>
    </w:p>
    <w:p w14:paraId="680199CE" w14:textId="77777777" w:rsidR="00230559" w:rsidRDefault="00230559" w:rsidP="00E86ABD">
      <w:pPr>
        <w:jc w:val="both"/>
      </w:pPr>
    </w:p>
    <w:p w14:paraId="2076534D" w14:textId="77777777" w:rsidR="00230559" w:rsidRDefault="00230559" w:rsidP="00E86ABD">
      <w:pPr>
        <w:jc w:val="both"/>
      </w:pPr>
    </w:p>
    <w:p w14:paraId="766664D2" w14:textId="77777777" w:rsidR="00230559" w:rsidRDefault="00230559" w:rsidP="00E86ABD">
      <w:pPr>
        <w:jc w:val="both"/>
        <w:rPr>
          <w:rFonts w:ascii="Arial" w:hAnsi="Arial" w:cs="Arial"/>
          <w:sz w:val="24"/>
          <w:szCs w:val="24"/>
        </w:rPr>
      </w:pPr>
      <w:r>
        <w:rPr>
          <w:rFonts w:ascii="Arial" w:hAnsi="Arial" w:cs="Arial"/>
          <w:sz w:val="24"/>
          <w:szCs w:val="24"/>
        </w:rPr>
        <w:t xml:space="preserve">As a local authority the risk to the applicant and the bank to the bond being unfairly called is minimal or non-existent.   </w:t>
      </w:r>
    </w:p>
    <w:p w14:paraId="5136C0CD" w14:textId="77777777" w:rsidR="00230559" w:rsidRDefault="00230559" w:rsidP="00E86ABD">
      <w:pPr>
        <w:jc w:val="both"/>
        <w:rPr>
          <w:rFonts w:ascii="Arial" w:hAnsi="Arial" w:cs="Arial"/>
          <w:sz w:val="24"/>
          <w:szCs w:val="24"/>
        </w:rPr>
      </w:pPr>
    </w:p>
    <w:p w14:paraId="3C8F63B2" w14:textId="77777777" w:rsidR="00230559" w:rsidRDefault="00230559" w:rsidP="00E86ABD">
      <w:pPr>
        <w:jc w:val="both"/>
        <w:rPr>
          <w:rFonts w:ascii="Arial" w:hAnsi="Arial" w:cs="Arial"/>
          <w:sz w:val="24"/>
          <w:szCs w:val="24"/>
        </w:rPr>
      </w:pPr>
      <w:r>
        <w:rPr>
          <w:rFonts w:ascii="Arial" w:hAnsi="Arial" w:cs="Arial"/>
          <w:sz w:val="24"/>
          <w:szCs w:val="24"/>
        </w:rPr>
        <w:t xml:space="preserve">Despite the very different nature of a guarantee and an on demand payment obligation, the terms “performance guarantee” and “performance bond” have been applied to both and often interchangeably.  Confusingly instruments issued by insurance and surety companies are commonly referred to as bonds, but are usually guarantees, and instruments issued by banks, commonly referred to as guarantees, are often on demand bonds.  </w:t>
      </w:r>
    </w:p>
    <w:p w14:paraId="63F07ABB" w14:textId="77777777" w:rsidR="00230559" w:rsidRDefault="00230559" w:rsidP="00E86ABD">
      <w:pPr>
        <w:jc w:val="both"/>
        <w:rPr>
          <w:rFonts w:ascii="Arial" w:hAnsi="Arial" w:cs="Arial"/>
          <w:sz w:val="24"/>
          <w:szCs w:val="24"/>
        </w:rPr>
      </w:pPr>
    </w:p>
    <w:p w14:paraId="1BA13453" w14:textId="77777777" w:rsidR="00230559" w:rsidRDefault="00230559" w:rsidP="00E86ABD">
      <w:pPr>
        <w:jc w:val="both"/>
        <w:rPr>
          <w:rFonts w:ascii="Arial" w:hAnsi="Arial" w:cs="Arial"/>
          <w:sz w:val="24"/>
          <w:szCs w:val="24"/>
        </w:rPr>
      </w:pPr>
    </w:p>
    <w:p w14:paraId="12610635" w14:textId="77777777" w:rsidR="00230559" w:rsidRPr="000C60AC" w:rsidRDefault="00230559" w:rsidP="00E86ABD">
      <w:pPr>
        <w:jc w:val="both"/>
        <w:rPr>
          <w:rFonts w:ascii="Arial" w:hAnsi="Arial" w:cs="Arial"/>
          <w:b/>
          <w:sz w:val="24"/>
          <w:szCs w:val="24"/>
        </w:rPr>
      </w:pPr>
      <w:r w:rsidRPr="000C60AC">
        <w:rPr>
          <w:rFonts w:ascii="Arial" w:hAnsi="Arial" w:cs="Arial"/>
          <w:b/>
          <w:sz w:val="24"/>
          <w:szCs w:val="24"/>
        </w:rPr>
        <w:t>Lien</w:t>
      </w:r>
    </w:p>
    <w:p w14:paraId="2F37DF9E" w14:textId="77777777" w:rsidR="00230559" w:rsidRDefault="00230559" w:rsidP="00E86ABD">
      <w:pPr>
        <w:jc w:val="both"/>
        <w:rPr>
          <w:rFonts w:ascii="Arial" w:hAnsi="Arial" w:cs="Arial"/>
          <w:sz w:val="24"/>
          <w:szCs w:val="24"/>
        </w:rPr>
      </w:pPr>
    </w:p>
    <w:p w14:paraId="0D8A8B5D" w14:textId="77777777" w:rsidR="00230559" w:rsidRDefault="00230559" w:rsidP="00E86ABD">
      <w:pPr>
        <w:jc w:val="both"/>
        <w:rPr>
          <w:rFonts w:ascii="Arial" w:hAnsi="Arial" w:cs="Arial"/>
          <w:sz w:val="24"/>
          <w:szCs w:val="24"/>
        </w:rPr>
      </w:pPr>
      <w:r>
        <w:rPr>
          <w:rFonts w:ascii="Arial" w:hAnsi="Arial" w:cs="Arial"/>
          <w:sz w:val="24"/>
          <w:szCs w:val="24"/>
        </w:rPr>
        <w:t>There are three main types of lien that may arise:</w:t>
      </w:r>
    </w:p>
    <w:p w14:paraId="171135E5" w14:textId="77777777" w:rsidR="00230559" w:rsidRDefault="00230559" w:rsidP="00E86ABD">
      <w:pPr>
        <w:jc w:val="both"/>
        <w:rPr>
          <w:rFonts w:ascii="Arial" w:hAnsi="Arial" w:cs="Arial"/>
          <w:sz w:val="24"/>
          <w:szCs w:val="24"/>
        </w:rPr>
      </w:pPr>
    </w:p>
    <w:p w14:paraId="0A4D5422" w14:textId="77777777" w:rsidR="00230559" w:rsidRDefault="00230559" w:rsidP="00230559">
      <w:pPr>
        <w:numPr>
          <w:ilvl w:val="0"/>
          <w:numId w:val="8"/>
        </w:numPr>
        <w:spacing w:after="0" w:line="240" w:lineRule="auto"/>
        <w:jc w:val="both"/>
        <w:rPr>
          <w:rFonts w:ascii="Arial" w:hAnsi="Arial" w:cs="Arial"/>
          <w:sz w:val="24"/>
          <w:szCs w:val="24"/>
        </w:rPr>
      </w:pPr>
      <w:r>
        <w:rPr>
          <w:rFonts w:ascii="Arial" w:hAnsi="Arial" w:cs="Arial"/>
          <w:sz w:val="24"/>
          <w:szCs w:val="24"/>
        </w:rPr>
        <w:t>Common law lien (also known as a legal lien);</w:t>
      </w:r>
    </w:p>
    <w:p w14:paraId="53A149D5" w14:textId="77777777" w:rsidR="00230559" w:rsidRDefault="00230559" w:rsidP="00230559">
      <w:pPr>
        <w:numPr>
          <w:ilvl w:val="0"/>
          <w:numId w:val="8"/>
        </w:numPr>
        <w:spacing w:after="0" w:line="240" w:lineRule="auto"/>
        <w:jc w:val="both"/>
        <w:rPr>
          <w:rFonts w:ascii="Arial" w:hAnsi="Arial" w:cs="Arial"/>
          <w:sz w:val="24"/>
          <w:szCs w:val="24"/>
        </w:rPr>
      </w:pPr>
      <w:r>
        <w:rPr>
          <w:rFonts w:ascii="Arial" w:hAnsi="Arial" w:cs="Arial"/>
          <w:sz w:val="24"/>
          <w:szCs w:val="24"/>
        </w:rPr>
        <w:t>Equitable lien; and</w:t>
      </w:r>
    </w:p>
    <w:p w14:paraId="6D9A5408" w14:textId="77777777" w:rsidR="00230559" w:rsidRDefault="00230559" w:rsidP="00230559">
      <w:pPr>
        <w:numPr>
          <w:ilvl w:val="0"/>
          <w:numId w:val="8"/>
        </w:numPr>
        <w:spacing w:after="0" w:line="240" w:lineRule="auto"/>
        <w:jc w:val="both"/>
        <w:rPr>
          <w:rFonts w:ascii="Arial" w:hAnsi="Arial" w:cs="Arial"/>
          <w:sz w:val="24"/>
          <w:szCs w:val="24"/>
        </w:rPr>
      </w:pPr>
      <w:r>
        <w:rPr>
          <w:rFonts w:ascii="Arial" w:hAnsi="Arial" w:cs="Arial"/>
          <w:sz w:val="24"/>
          <w:szCs w:val="24"/>
        </w:rPr>
        <w:t>Statutory lien.</w:t>
      </w:r>
    </w:p>
    <w:p w14:paraId="5496A713" w14:textId="77777777" w:rsidR="00230559" w:rsidRDefault="00230559" w:rsidP="00E86ABD">
      <w:pPr>
        <w:jc w:val="both"/>
        <w:rPr>
          <w:rFonts w:ascii="Arial" w:hAnsi="Arial" w:cs="Arial"/>
          <w:sz w:val="24"/>
          <w:szCs w:val="24"/>
        </w:rPr>
      </w:pPr>
    </w:p>
    <w:p w14:paraId="32945A98" w14:textId="77777777" w:rsidR="00230559" w:rsidRDefault="00230559" w:rsidP="00E86ABD">
      <w:pPr>
        <w:jc w:val="both"/>
        <w:rPr>
          <w:rFonts w:ascii="Arial" w:hAnsi="Arial" w:cs="Arial"/>
          <w:sz w:val="24"/>
          <w:szCs w:val="24"/>
        </w:rPr>
      </w:pPr>
      <w:r>
        <w:rPr>
          <w:rFonts w:ascii="Arial" w:hAnsi="Arial" w:cs="Arial"/>
          <w:sz w:val="24"/>
          <w:szCs w:val="24"/>
        </w:rPr>
        <w:t>In addition, a fourth type of lien is often referred to: a contractual lien.  Rather than creating a lien, a contractual lien normally extends, by way of contract between the parties, a common law lien by providing for enforcement rights (such as a power of sale over the goods) if there is a default.  However, a contract could also be used to create a lien in favour of a creditor who would not otherwise be entitled to a lien under a general law.  A contractual lien is more akin to a pledge.  The distinction between a contractual lien and a pledge is that, unlike a pledge, the creditor under a contractual lien has possession of the goods for a purpose other than that of the taking of security.</w:t>
      </w:r>
    </w:p>
    <w:p w14:paraId="00645922" w14:textId="77777777" w:rsidR="00230559" w:rsidRDefault="00230559" w:rsidP="00E86ABD">
      <w:pPr>
        <w:jc w:val="both"/>
        <w:rPr>
          <w:rFonts w:ascii="Arial" w:hAnsi="Arial" w:cs="Arial"/>
          <w:sz w:val="24"/>
          <w:szCs w:val="24"/>
        </w:rPr>
      </w:pPr>
    </w:p>
    <w:p w14:paraId="24BC0DA6" w14:textId="77777777" w:rsidR="00230559" w:rsidRDefault="00230559" w:rsidP="00E86ABD">
      <w:pPr>
        <w:jc w:val="both"/>
        <w:rPr>
          <w:rFonts w:ascii="Arial" w:hAnsi="Arial" w:cs="Arial"/>
          <w:sz w:val="24"/>
          <w:szCs w:val="24"/>
        </w:rPr>
      </w:pPr>
      <w:r>
        <w:rPr>
          <w:rFonts w:ascii="Arial" w:hAnsi="Arial" w:cs="Arial"/>
          <w:sz w:val="24"/>
          <w:szCs w:val="24"/>
        </w:rPr>
        <w:t>A common law lien (also known as a legal lien) is a creditor’s right to retain possession of a debtor’s property until the debt has been repaid.  This is merely a passive right to retain the property and gives the creditor no right to sell the asset, and use the proceeds of sale to pay the outstanding debt.  The right to retain the property is a form of legal “arm twisting”, hopefully forcing the debtor to pay up, rather than security against payment not being made.</w:t>
      </w:r>
    </w:p>
    <w:p w14:paraId="5D6457CB" w14:textId="77777777" w:rsidR="00230559" w:rsidRDefault="00230559" w:rsidP="00E86ABD">
      <w:pPr>
        <w:jc w:val="both"/>
        <w:rPr>
          <w:rFonts w:ascii="Arial" w:hAnsi="Arial" w:cs="Arial"/>
          <w:sz w:val="24"/>
          <w:szCs w:val="24"/>
        </w:rPr>
      </w:pPr>
    </w:p>
    <w:p w14:paraId="6D8901B3" w14:textId="77777777" w:rsidR="00230559" w:rsidRDefault="00230559" w:rsidP="00E86ABD">
      <w:pPr>
        <w:jc w:val="both"/>
        <w:rPr>
          <w:rFonts w:ascii="Arial" w:hAnsi="Arial" w:cs="Arial"/>
          <w:sz w:val="24"/>
          <w:szCs w:val="24"/>
        </w:rPr>
      </w:pPr>
      <w:r>
        <w:rPr>
          <w:rFonts w:ascii="Arial" w:hAnsi="Arial" w:cs="Arial"/>
          <w:sz w:val="24"/>
          <w:szCs w:val="24"/>
        </w:rPr>
        <w:t>An equitable lien arises where a court has created a proprietary security interest in an asset without agreement between the parties.  Accordingly an equitable lien is not dependent on the creditor having possession of the asset.</w:t>
      </w:r>
    </w:p>
    <w:p w14:paraId="3C133301" w14:textId="77777777" w:rsidR="00230559" w:rsidRDefault="00230559" w:rsidP="00E86ABD">
      <w:pPr>
        <w:jc w:val="both"/>
        <w:rPr>
          <w:rFonts w:ascii="Arial" w:hAnsi="Arial" w:cs="Arial"/>
          <w:sz w:val="24"/>
          <w:szCs w:val="24"/>
        </w:rPr>
      </w:pPr>
    </w:p>
    <w:p w14:paraId="47987452" w14:textId="77777777" w:rsidR="00230559" w:rsidRDefault="00230559" w:rsidP="00E86ABD">
      <w:pPr>
        <w:jc w:val="both"/>
        <w:rPr>
          <w:rFonts w:ascii="Arial" w:hAnsi="Arial" w:cs="Arial"/>
          <w:sz w:val="24"/>
          <w:szCs w:val="24"/>
        </w:rPr>
      </w:pPr>
      <w:r>
        <w:rPr>
          <w:rFonts w:ascii="Arial" w:hAnsi="Arial" w:cs="Arial"/>
          <w:sz w:val="24"/>
          <w:szCs w:val="24"/>
        </w:rPr>
        <w:t>A statutory lien is created by a statute and the rights which it covers depend on the terms of the relevant statute.</w:t>
      </w:r>
    </w:p>
    <w:p w14:paraId="3EB34827" w14:textId="77777777" w:rsidR="00230559" w:rsidRDefault="00230559" w:rsidP="00E86ABD">
      <w:pPr>
        <w:jc w:val="both"/>
        <w:rPr>
          <w:rFonts w:ascii="Arial" w:hAnsi="Arial" w:cs="Arial"/>
          <w:b/>
          <w:sz w:val="24"/>
          <w:szCs w:val="24"/>
        </w:rPr>
      </w:pPr>
    </w:p>
    <w:p w14:paraId="7EE3DC40" w14:textId="77777777" w:rsidR="00230559" w:rsidRDefault="00230559" w:rsidP="00E86ABD">
      <w:pPr>
        <w:jc w:val="both"/>
        <w:rPr>
          <w:rFonts w:ascii="Arial" w:hAnsi="Arial" w:cs="Arial"/>
          <w:b/>
          <w:sz w:val="24"/>
          <w:szCs w:val="24"/>
        </w:rPr>
      </w:pPr>
      <w:r w:rsidRPr="000C60AC">
        <w:rPr>
          <w:rFonts w:ascii="Arial" w:hAnsi="Arial" w:cs="Arial"/>
          <w:b/>
          <w:sz w:val="24"/>
          <w:szCs w:val="24"/>
        </w:rPr>
        <w:t>Pledge</w:t>
      </w:r>
    </w:p>
    <w:p w14:paraId="06858C86" w14:textId="77777777" w:rsidR="00230559" w:rsidRDefault="00230559" w:rsidP="00E86ABD">
      <w:pPr>
        <w:jc w:val="both"/>
        <w:rPr>
          <w:rFonts w:ascii="Arial" w:hAnsi="Arial" w:cs="Arial"/>
          <w:b/>
          <w:sz w:val="24"/>
          <w:szCs w:val="24"/>
        </w:rPr>
      </w:pPr>
    </w:p>
    <w:p w14:paraId="4C6C9B2A" w14:textId="77777777" w:rsidR="00230559" w:rsidRDefault="00230559" w:rsidP="00E86ABD">
      <w:pPr>
        <w:jc w:val="both"/>
        <w:rPr>
          <w:rFonts w:ascii="Arial" w:hAnsi="Arial" w:cs="Arial"/>
          <w:sz w:val="24"/>
          <w:szCs w:val="24"/>
        </w:rPr>
      </w:pPr>
      <w:r>
        <w:rPr>
          <w:rFonts w:ascii="Arial" w:hAnsi="Arial" w:cs="Arial"/>
          <w:sz w:val="24"/>
          <w:szCs w:val="24"/>
        </w:rPr>
        <w:t xml:space="preserve">A pledge is the delivery of possession of an asset to the creditor by way of security but with ownership of the asset remaining with the pledgor.  This contrasts with a mortgage </w:t>
      </w:r>
      <w:r>
        <w:rPr>
          <w:rFonts w:ascii="Arial" w:hAnsi="Arial" w:cs="Arial"/>
          <w:sz w:val="24"/>
          <w:szCs w:val="24"/>
        </w:rPr>
        <w:lastRenderedPageBreak/>
        <w:t>where ownership in the asset is usually passed to the mortgagee and possession remains with the mortgagor.</w:t>
      </w:r>
    </w:p>
    <w:p w14:paraId="7D8973B8" w14:textId="77777777" w:rsidR="00230559" w:rsidRDefault="00230559" w:rsidP="00E86ABD">
      <w:pPr>
        <w:jc w:val="both"/>
        <w:rPr>
          <w:rFonts w:ascii="Arial" w:hAnsi="Arial" w:cs="Arial"/>
          <w:sz w:val="24"/>
          <w:szCs w:val="24"/>
        </w:rPr>
      </w:pPr>
    </w:p>
    <w:p w14:paraId="1D295567" w14:textId="77777777" w:rsidR="00230559" w:rsidRDefault="00230559" w:rsidP="00E86ABD">
      <w:pPr>
        <w:jc w:val="both"/>
        <w:rPr>
          <w:rFonts w:ascii="Arial" w:hAnsi="Arial" w:cs="Arial"/>
          <w:sz w:val="24"/>
          <w:szCs w:val="24"/>
        </w:rPr>
      </w:pPr>
      <w:r>
        <w:rPr>
          <w:rFonts w:ascii="Arial" w:hAnsi="Arial" w:cs="Arial"/>
          <w:sz w:val="24"/>
          <w:szCs w:val="24"/>
        </w:rPr>
        <w:t xml:space="preserve">At common law, the creditor can sell the pledges asset if the pledgor defaults on payment, provided the creditor gives due notice to the pledgor.  </w:t>
      </w:r>
    </w:p>
    <w:p w14:paraId="55BE1820" w14:textId="77777777" w:rsidR="00230559" w:rsidRDefault="00230559" w:rsidP="00E86ABD">
      <w:pPr>
        <w:jc w:val="both"/>
        <w:rPr>
          <w:rFonts w:ascii="Arial" w:hAnsi="Arial" w:cs="Arial"/>
          <w:sz w:val="24"/>
          <w:szCs w:val="24"/>
        </w:rPr>
      </w:pPr>
    </w:p>
    <w:p w14:paraId="78B056F1" w14:textId="77777777" w:rsidR="00230559" w:rsidRDefault="00230559" w:rsidP="00E86ABD">
      <w:pPr>
        <w:jc w:val="both"/>
        <w:rPr>
          <w:rFonts w:ascii="Arial" w:hAnsi="Arial" w:cs="Arial"/>
          <w:sz w:val="24"/>
          <w:szCs w:val="24"/>
        </w:rPr>
      </w:pPr>
      <w:r>
        <w:rPr>
          <w:rFonts w:ascii="Arial" w:hAnsi="Arial" w:cs="Arial"/>
          <w:sz w:val="24"/>
          <w:szCs w:val="24"/>
        </w:rPr>
        <w:t>Only items capable of being delivered (including documents of title to property, such as bills of lading, and bearer securities) can be pledged.  Due to the necessity of delivery to effect a pledge, a debt cannot be pledged.  Delivery may be actual or constructive, for example, handing over keys to the warehouse where the pledges goods are kept.  The pledge is rarely used in practice, but in specialised transactions or in different jurisdictions it may have an important role.</w:t>
      </w:r>
    </w:p>
    <w:p w14:paraId="20045B28" w14:textId="77777777" w:rsidR="00230559" w:rsidRDefault="00230559" w:rsidP="00E86ABD">
      <w:pPr>
        <w:jc w:val="both"/>
        <w:rPr>
          <w:rFonts w:ascii="Arial" w:hAnsi="Arial" w:cs="Arial"/>
          <w:sz w:val="24"/>
          <w:szCs w:val="24"/>
        </w:rPr>
      </w:pPr>
    </w:p>
    <w:p w14:paraId="6229CDE5" w14:textId="77777777" w:rsidR="00230559" w:rsidRDefault="00230559" w:rsidP="00E86ABD">
      <w:pPr>
        <w:jc w:val="both"/>
        <w:rPr>
          <w:rFonts w:ascii="Arial" w:hAnsi="Arial" w:cs="Arial"/>
          <w:b/>
          <w:sz w:val="24"/>
          <w:szCs w:val="24"/>
        </w:rPr>
      </w:pPr>
      <w:r w:rsidRPr="00D65569">
        <w:rPr>
          <w:rFonts w:ascii="Arial" w:hAnsi="Arial" w:cs="Arial"/>
          <w:b/>
          <w:sz w:val="24"/>
          <w:szCs w:val="24"/>
        </w:rPr>
        <w:t>Charge</w:t>
      </w:r>
    </w:p>
    <w:p w14:paraId="78CCA527" w14:textId="77777777" w:rsidR="00230559" w:rsidRDefault="00230559" w:rsidP="00E86ABD">
      <w:pPr>
        <w:jc w:val="both"/>
        <w:rPr>
          <w:rFonts w:ascii="Arial" w:hAnsi="Arial" w:cs="Arial"/>
          <w:b/>
          <w:sz w:val="24"/>
          <w:szCs w:val="24"/>
        </w:rPr>
      </w:pPr>
    </w:p>
    <w:p w14:paraId="5DE8B6A3" w14:textId="77777777" w:rsidR="00230559" w:rsidRDefault="00230559" w:rsidP="00E86ABD">
      <w:pPr>
        <w:jc w:val="both"/>
        <w:rPr>
          <w:rFonts w:ascii="Arial" w:hAnsi="Arial" w:cs="Arial"/>
          <w:sz w:val="24"/>
          <w:szCs w:val="24"/>
        </w:rPr>
      </w:pPr>
      <w:r>
        <w:rPr>
          <w:rFonts w:ascii="Arial" w:hAnsi="Arial" w:cs="Arial"/>
          <w:sz w:val="24"/>
          <w:szCs w:val="24"/>
        </w:rPr>
        <w:t>For practical reasons, most lenders will not want to take possession of a debtor’s assets and debtor will not want to lose control of its assets, especially if they are used in the day-to-day running of its business.  Accordingly, a lender will want to take security by obtaining rights over, but not necessarily possession of, specific assets of the debtor as security of the loan.</w:t>
      </w:r>
    </w:p>
    <w:p w14:paraId="43B37397" w14:textId="77777777" w:rsidR="00230559" w:rsidRDefault="00230559" w:rsidP="00E86ABD">
      <w:pPr>
        <w:jc w:val="both"/>
        <w:rPr>
          <w:rFonts w:ascii="Arial" w:hAnsi="Arial" w:cs="Arial"/>
          <w:sz w:val="24"/>
          <w:szCs w:val="24"/>
        </w:rPr>
      </w:pPr>
    </w:p>
    <w:p w14:paraId="566642AB" w14:textId="77777777" w:rsidR="00230559" w:rsidRDefault="00230559" w:rsidP="00E86ABD">
      <w:pPr>
        <w:jc w:val="both"/>
        <w:rPr>
          <w:rFonts w:ascii="Arial" w:hAnsi="Arial" w:cs="Arial"/>
          <w:sz w:val="24"/>
          <w:szCs w:val="24"/>
        </w:rPr>
      </w:pPr>
      <w:r>
        <w:rPr>
          <w:rFonts w:ascii="Arial" w:hAnsi="Arial" w:cs="Arial"/>
          <w:sz w:val="24"/>
          <w:szCs w:val="24"/>
        </w:rPr>
        <w:t>A charge represents an agreement between a creditor (</w:t>
      </w:r>
      <w:proofErr w:type="spellStart"/>
      <w:r>
        <w:rPr>
          <w:rFonts w:ascii="Arial" w:hAnsi="Arial" w:cs="Arial"/>
          <w:sz w:val="24"/>
          <w:szCs w:val="24"/>
        </w:rPr>
        <w:t>chargee</w:t>
      </w:r>
      <w:proofErr w:type="spellEnd"/>
      <w:r>
        <w:rPr>
          <w:rFonts w:ascii="Arial" w:hAnsi="Arial" w:cs="Arial"/>
          <w:sz w:val="24"/>
          <w:szCs w:val="24"/>
        </w:rPr>
        <w:t>) and a debtor (</w:t>
      </w:r>
      <w:proofErr w:type="spellStart"/>
      <w:r>
        <w:rPr>
          <w:rFonts w:ascii="Arial" w:hAnsi="Arial" w:cs="Arial"/>
          <w:sz w:val="24"/>
          <w:szCs w:val="24"/>
        </w:rPr>
        <w:t>chargor</w:t>
      </w:r>
      <w:proofErr w:type="spellEnd"/>
      <w:r>
        <w:rPr>
          <w:rFonts w:ascii="Arial" w:hAnsi="Arial" w:cs="Arial"/>
          <w:sz w:val="24"/>
          <w:szCs w:val="24"/>
        </w:rPr>
        <w:t xml:space="preserve">) by which a particular asst is appropriated by the </w:t>
      </w:r>
      <w:proofErr w:type="spellStart"/>
      <w:r>
        <w:rPr>
          <w:rFonts w:ascii="Arial" w:hAnsi="Arial" w:cs="Arial"/>
          <w:sz w:val="24"/>
          <w:szCs w:val="24"/>
        </w:rPr>
        <w:t>chargor</w:t>
      </w:r>
      <w:proofErr w:type="spellEnd"/>
      <w:r>
        <w:rPr>
          <w:rFonts w:ascii="Arial" w:hAnsi="Arial" w:cs="Arial"/>
          <w:sz w:val="24"/>
          <w:szCs w:val="24"/>
        </w:rPr>
        <w:t xml:space="preserve"> to the satisfaction of a debt owed to the creditor.  Strictly speaking, charges do not transfer to the </w:t>
      </w:r>
      <w:proofErr w:type="spellStart"/>
      <w:r>
        <w:rPr>
          <w:rFonts w:ascii="Arial" w:hAnsi="Arial" w:cs="Arial"/>
          <w:sz w:val="24"/>
          <w:szCs w:val="24"/>
        </w:rPr>
        <w:t>chargee</w:t>
      </w:r>
      <w:proofErr w:type="spellEnd"/>
      <w:r>
        <w:rPr>
          <w:rFonts w:ascii="Arial" w:hAnsi="Arial" w:cs="Arial"/>
          <w:sz w:val="24"/>
          <w:szCs w:val="24"/>
        </w:rPr>
        <w:t xml:space="preserve"> legal or beneficial interest in an asset, nor do they confer a right to possession.  Instead, the </w:t>
      </w:r>
      <w:proofErr w:type="spellStart"/>
      <w:r>
        <w:rPr>
          <w:rFonts w:ascii="Arial" w:hAnsi="Arial" w:cs="Arial"/>
          <w:sz w:val="24"/>
          <w:szCs w:val="24"/>
        </w:rPr>
        <w:t>chargee</w:t>
      </w:r>
      <w:proofErr w:type="spellEnd"/>
      <w:r>
        <w:rPr>
          <w:rFonts w:ascii="Arial" w:hAnsi="Arial" w:cs="Arial"/>
          <w:sz w:val="24"/>
          <w:szCs w:val="24"/>
        </w:rPr>
        <w:t xml:space="preserve"> has a right to resort to the asset to realise it towards the payment of the debt; it can be thought of as an encumbrance over the asset.</w:t>
      </w:r>
    </w:p>
    <w:p w14:paraId="2C1879A8" w14:textId="77777777" w:rsidR="00230559" w:rsidRDefault="00230559" w:rsidP="00E86ABD">
      <w:pPr>
        <w:jc w:val="both"/>
        <w:rPr>
          <w:rFonts w:ascii="Arial" w:hAnsi="Arial" w:cs="Arial"/>
          <w:sz w:val="24"/>
          <w:szCs w:val="24"/>
        </w:rPr>
      </w:pPr>
    </w:p>
    <w:p w14:paraId="41FFEC36" w14:textId="77777777" w:rsidR="00230559" w:rsidRDefault="00230559" w:rsidP="00E86ABD">
      <w:pPr>
        <w:jc w:val="both"/>
        <w:rPr>
          <w:rFonts w:ascii="Arial" w:hAnsi="Arial" w:cs="Arial"/>
          <w:sz w:val="24"/>
          <w:szCs w:val="24"/>
        </w:rPr>
      </w:pPr>
      <w:r>
        <w:rPr>
          <w:rFonts w:ascii="Arial" w:hAnsi="Arial" w:cs="Arial"/>
          <w:sz w:val="24"/>
          <w:szCs w:val="24"/>
        </w:rPr>
        <w:t>A charge, in its strict sense, exists only in equity, except in the case of land where a charge must be expressed by way of a legal mortgage.</w:t>
      </w:r>
    </w:p>
    <w:p w14:paraId="1215A6B7" w14:textId="77777777" w:rsidR="00230559" w:rsidRDefault="00230559" w:rsidP="00E86ABD">
      <w:pPr>
        <w:jc w:val="both"/>
        <w:rPr>
          <w:rFonts w:ascii="Arial" w:hAnsi="Arial" w:cs="Arial"/>
          <w:sz w:val="24"/>
          <w:szCs w:val="24"/>
        </w:rPr>
      </w:pPr>
    </w:p>
    <w:p w14:paraId="63A97ED0" w14:textId="77777777" w:rsidR="00230559" w:rsidRDefault="00230559" w:rsidP="00E86ABD">
      <w:pPr>
        <w:jc w:val="both"/>
        <w:rPr>
          <w:rFonts w:ascii="Arial" w:hAnsi="Arial" w:cs="Arial"/>
          <w:sz w:val="24"/>
          <w:szCs w:val="24"/>
        </w:rPr>
      </w:pPr>
      <w:r>
        <w:rPr>
          <w:rFonts w:ascii="Arial" w:hAnsi="Arial" w:cs="Arial"/>
          <w:sz w:val="24"/>
          <w:szCs w:val="24"/>
        </w:rPr>
        <w:t xml:space="preserve">Charges can either be fixed or floating.  The question of a charge’s status can become particularly important on the </w:t>
      </w:r>
      <w:proofErr w:type="spellStart"/>
      <w:r>
        <w:rPr>
          <w:rFonts w:ascii="Arial" w:hAnsi="Arial" w:cs="Arial"/>
          <w:sz w:val="24"/>
          <w:szCs w:val="24"/>
        </w:rPr>
        <w:t>chargor’s</w:t>
      </w:r>
      <w:proofErr w:type="spellEnd"/>
      <w:r>
        <w:rPr>
          <w:rFonts w:ascii="Arial" w:hAnsi="Arial" w:cs="Arial"/>
          <w:sz w:val="24"/>
          <w:szCs w:val="24"/>
        </w:rPr>
        <w:t xml:space="preserve"> insolvency.  </w:t>
      </w:r>
    </w:p>
    <w:p w14:paraId="7872E493" w14:textId="77777777" w:rsidR="00230559" w:rsidRDefault="00230559" w:rsidP="00E86ABD">
      <w:pPr>
        <w:jc w:val="both"/>
        <w:rPr>
          <w:rFonts w:ascii="Arial" w:hAnsi="Arial" w:cs="Arial"/>
          <w:sz w:val="24"/>
          <w:szCs w:val="24"/>
        </w:rPr>
      </w:pPr>
    </w:p>
    <w:p w14:paraId="6AB7D4A2" w14:textId="77777777" w:rsidR="00230559" w:rsidRDefault="00230559" w:rsidP="00E86ABD">
      <w:pPr>
        <w:jc w:val="both"/>
        <w:rPr>
          <w:rFonts w:ascii="Arial" w:hAnsi="Arial" w:cs="Arial"/>
          <w:sz w:val="24"/>
          <w:szCs w:val="24"/>
        </w:rPr>
      </w:pPr>
      <w:r>
        <w:rPr>
          <w:rFonts w:ascii="Arial" w:hAnsi="Arial" w:cs="Arial"/>
          <w:sz w:val="24"/>
          <w:szCs w:val="24"/>
        </w:rPr>
        <w:lastRenderedPageBreak/>
        <w:t xml:space="preserve">Fixed charges attach immediately to the charged asset (provided that the asset is, or is capable of being, ascertained and definite) and can be granted by anyone, including companies, LLP’s, traditional partnerships and individuals.  </w:t>
      </w:r>
    </w:p>
    <w:p w14:paraId="29654729" w14:textId="77777777" w:rsidR="00230559" w:rsidRDefault="00230559" w:rsidP="00E86ABD">
      <w:pPr>
        <w:jc w:val="both"/>
        <w:rPr>
          <w:rFonts w:ascii="Arial" w:hAnsi="Arial" w:cs="Arial"/>
          <w:sz w:val="24"/>
          <w:szCs w:val="24"/>
        </w:rPr>
      </w:pPr>
    </w:p>
    <w:p w14:paraId="2D67B07C" w14:textId="77777777" w:rsidR="00230559" w:rsidRDefault="00230559" w:rsidP="00E86ABD">
      <w:pPr>
        <w:jc w:val="both"/>
        <w:rPr>
          <w:rFonts w:ascii="Arial" w:hAnsi="Arial" w:cs="Arial"/>
          <w:sz w:val="24"/>
          <w:szCs w:val="24"/>
        </w:rPr>
      </w:pPr>
      <w:r>
        <w:rPr>
          <w:rFonts w:ascii="Arial" w:hAnsi="Arial" w:cs="Arial"/>
          <w:sz w:val="24"/>
          <w:szCs w:val="24"/>
        </w:rPr>
        <w:t xml:space="preserve">The key characteristic of a fixed charge is that it gives the lender control over the charged asset.  This control is crucial to the nature of the fixed charge.  Without sufficient control by the lender over the asset, the charge will be floating and not fixed.  </w:t>
      </w:r>
    </w:p>
    <w:p w14:paraId="7DEA4E8C" w14:textId="77777777" w:rsidR="00230559" w:rsidRDefault="00230559" w:rsidP="00E86ABD">
      <w:pPr>
        <w:jc w:val="both"/>
        <w:rPr>
          <w:rFonts w:ascii="Arial" w:hAnsi="Arial" w:cs="Arial"/>
          <w:sz w:val="24"/>
          <w:szCs w:val="24"/>
        </w:rPr>
      </w:pPr>
    </w:p>
    <w:p w14:paraId="20D45855" w14:textId="77777777" w:rsidR="00230559" w:rsidRDefault="00230559" w:rsidP="00E86ABD">
      <w:pPr>
        <w:jc w:val="both"/>
        <w:rPr>
          <w:rFonts w:ascii="Arial" w:hAnsi="Arial" w:cs="Arial"/>
          <w:sz w:val="24"/>
          <w:szCs w:val="24"/>
        </w:rPr>
      </w:pPr>
      <w:r>
        <w:rPr>
          <w:rFonts w:ascii="Arial" w:hAnsi="Arial" w:cs="Arial"/>
          <w:sz w:val="24"/>
          <w:szCs w:val="24"/>
        </w:rPr>
        <w:t>Typically, a document under which a lender takes a fixed charge will give the lender the right to:</w:t>
      </w:r>
    </w:p>
    <w:p w14:paraId="0D4D77F1" w14:textId="77777777" w:rsidR="00230559" w:rsidRDefault="00230559" w:rsidP="00230559">
      <w:pPr>
        <w:numPr>
          <w:ilvl w:val="0"/>
          <w:numId w:val="9"/>
        </w:numPr>
        <w:spacing w:after="0" w:line="240" w:lineRule="auto"/>
        <w:jc w:val="both"/>
        <w:rPr>
          <w:rFonts w:ascii="Arial" w:hAnsi="Arial" w:cs="Arial"/>
          <w:sz w:val="24"/>
          <w:szCs w:val="24"/>
        </w:rPr>
      </w:pPr>
      <w:r>
        <w:rPr>
          <w:rFonts w:ascii="Arial" w:hAnsi="Arial" w:cs="Arial"/>
          <w:sz w:val="24"/>
          <w:szCs w:val="24"/>
        </w:rPr>
        <w:t>Prevent the charger from disposing of the asset without the lender’s consent.</w:t>
      </w:r>
    </w:p>
    <w:p w14:paraId="6FFF21D4" w14:textId="77777777" w:rsidR="00230559" w:rsidRDefault="00230559" w:rsidP="00230559">
      <w:pPr>
        <w:numPr>
          <w:ilvl w:val="0"/>
          <w:numId w:val="9"/>
        </w:numPr>
        <w:spacing w:after="0" w:line="240" w:lineRule="auto"/>
        <w:jc w:val="both"/>
        <w:rPr>
          <w:rFonts w:ascii="Arial" w:hAnsi="Arial" w:cs="Arial"/>
          <w:sz w:val="24"/>
          <w:szCs w:val="24"/>
        </w:rPr>
      </w:pPr>
      <w:r>
        <w:rPr>
          <w:rFonts w:ascii="Arial" w:hAnsi="Arial" w:cs="Arial"/>
          <w:sz w:val="24"/>
          <w:szCs w:val="24"/>
        </w:rPr>
        <w:t xml:space="preserve">Sell the asset if the </w:t>
      </w:r>
      <w:proofErr w:type="spellStart"/>
      <w:r>
        <w:rPr>
          <w:rFonts w:ascii="Arial" w:hAnsi="Arial" w:cs="Arial"/>
          <w:sz w:val="24"/>
          <w:szCs w:val="24"/>
        </w:rPr>
        <w:t>chargor</w:t>
      </w:r>
      <w:proofErr w:type="spellEnd"/>
      <w:r>
        <w:rPr>
          <w:rFonts w:ascii="Arial" w:hAnsi="Arial" w:cs="Arial"/>
          <w:sz w:val="24"/>
          <w:szCs w:val="24"/>
        </w:rPr>
        <w:t xml:space="preserve"> defaults </w:t>
      </w:r>
      <w:proofErr w:type="spellStart"/>
      <w:r>
        <w:rPr>
          <w:rFonts w:ascii="Arial" w:hAnsi="Arial" w:cs="Arial"/>
          <w:sz w:val="24"/>
          <w:szCs w:val="24"/>
        </w:rPr>
        <w:t>udner</w:t>
      </w:r>
      <w:proofErr w:type="spellEnd"/>
      <w:r>
        <w:rPr>
          <w:rFonts w:ascii="Arial" w:hAnsi="Arial" w:cs="Arial"/>
          <w:sz w:val="24"/>
          <w:szCs w:val="24"/>
        </w:rPr>
        <w:t xml:space="preserve"> the loan.</w:t>
      </w:r>
    </w:p>
    <w:p w14:paraId="29C1B495" w14:textId="77777777" w:rsidR="00230559" w:rsidRDefault="00230559" w:rsidP="00230559">
      <w:pPr>
        <w:numPr>
          <w:ilvl w:val="0"/>
          <w:numId w:val="9"/>
        </w:numPr>
        <w:spacing w:after="0" w:line="240" w:lineRule="auto"/>
        <w:jc w:val="both"/>
        <w:rPr>
          <w:rFonts w:ascii="Arial" w:hAnsi="Arial" w:cs="Arial"/>
          <w:sz w:val="24"/>
          <w:szCs w:val="24"/>
        </w:rPr>
      </w:pPr>
      <w:r>
        <w:rPr>
          <w:rFonts w:ascii="Arial" w:hAnsi="Arial" w:cs="Arial"/>
          <w:sz w:val="24"/>
          <w:szCs w:val="24"/>
        </w:rPr>
        <w:t xml:space="preserve">Require the </w:t>
      </w:r>
      <w:proofErr w:type="spellStart"/>
      <w:r>
        <w:rPr>
          <w:rFonts w:ascii="Arial" w:hAnsi="Arial" w:cs="Arial"/>
          <w:sz w:val="24"/>
          <w:szCs w:val="24"/>
        </w:rPr>
        <w:t>chargor</w:t>
      </w:r>
      <w:proofErr w:type="spellEnd"/>
      <w:r>
        <w:rPr>
          <w:rFonts w:ascii="Arial" w:hAnsi="Arial" w:cs="Arial"/>
          <w:sz w:val="24"/>
          <w:szCs w:val="24"/>
        </w:rPr>
        <w:t xml:space="preserve"> to maintain the asset in priority to other creditors and thereby satisfy the purpose of taking security.</w:t>
      </w:r>
    </w:p>
    <w:p w14:paraId="073987A2" w14:textId="77777777" w:rsidR="00230559" w:rsidRDefault="00230559" w:rsidP="00E86ABD">
      <w:pPr>
        <w:jc w:val="both"/>
        <w:rPr>
          <w:rFonts w:ascii="Arial" w:hAnsi="Arial" w:cs="Arial"/>
          <w:sz w:val="24"/>
          <w:szCs w:val="24"/>
        </w:rPr>
      </w:pPr>
    </w:p>
    <w:p w14:paraId="4514FA9D" w14:textId="77777777" w:rsidR="00230559" w:rsidRDefault="00230559" w:rsidP="00E86ABD">
      <w:pPr>
        <w:jc w:val="both"/>
        <w:rPr>
          <w:rFonts w:ascii="Arial" w:hAnsi="Arial" w:cs="Arial"/>
          <w:sz w:val="24"/>
          <w:szCs w:val="24"/>
        </w:rPr>
      </w:pPr>
      <w:r>
        <w:rPr>
          <w:rFonts w:ascii="Arial" w:hAnsi="Arial" w:cs="Arial"/>
          <w:sz w:val="24"/>
          <w:szCs w:val="24"/>
        </w:rPr>
        <w:t>It is important for the effectiveness of the fixed charge that the charges assets are identified as precisely as possible.</w:t>
      </w:r>
    </w:p>
    <w:p w14:paraId="50DF2BAE" w14:textId="77777777" w:rsidR="00230559" w:rsidRDefault="00230559" w:rsidP="00E86ABD">
      <w:pPr>
        <w:jc w:val="both"/>
        <w:rPr>
          <w:rFonts w:ascii="Arial" w:hAnsi="Arial" w:cs="Arial"/>
          <w:sz w:val="24"/>
          <w:szCs w:val="24"/>
        </w:rPr>
      </w:pPr>
    </w:p>
    <w:p w14:paraId="1C9B9977" w14:textId="77777777" w:rsidR="00230559" w:rsidRDefault="00230559" w:rsidP="00E86ABD">
      <w:pPr>
        <w:jc w:val="both"/>
        <w:rPr>
          <w:rFonts w:ascii="Arial" w:hAnsi="Arial" w:cs="Arial"/>
          <w:sz w:val="24"/>
          <w:szCs w:val="24"/>
        </w:rPr>
      </w:pPr>
      <w:r>
        <w:rPr>
          <w:rFonts w:ascii="Arial" w:hAnsi="Arial" w:cs="Arial"/>
          <w:sz w:val="24"/>
          <w:szCs w:val="24"/>
        </w:rPr>
        <w:t>Floating charges hover above a shifting pool of assets.  While fixed charges can be created by anyone floating charges can only by created by companies, LLP’s and over certain assets.</w:t>
      </w:r>
    </w:p>
    <w:p w14:paraId="185B293F" w14:textId="77777777" w:rsidR="00230559" w:rsidRDefault="00230559" w:rsidP="00E86ABD">
      <w:pPr>
        <w:jc w:val="both"/>
        <w:rPr>
          <w:rFonts w:ascii="Arial" w:hAnsi="Arial" w:cs="Arial"/>
          <w:sz w:val="24"/>
          <w:szCs w:val="24"/>
        </w:rPr>
      </w:pPr>
    </w:p>
    <w:p w14:paraId="7C4A2682" w14:textId="77777777" w:rsidR="00230559" w:rsidRDefault="00230559" w:rsidP="00E86ABD">
      <w:pPr>
        <w:jc w:val="both"/>
        <w:rPr>
          <w:rFonts w:ascii="Arial" w:hAnsi="Arial" w:cs="Arial"/>
          <w:sz w:val="24"/>
          <w:szCs w:val="24"/>
        </w:rPr>
      </w:pPr>
      <w:r>
        <w:rPr>
          <w:rFonts w:ascii="Arial" w:hAnsi="Arial" w:cs="Arial"/>
          <w:sz w:val="24"/>
          <w:szCs w:val="24"/>
        </w:rPr>
        <w:t xml:space="preserve">A floating charge is a charge on a class of assets, present and future, belonging to a </w:t>
      </w:r>
      <w:proofErr w:type="spellStart"/>
      <w:r>
        <w:rPr>
          <w:rFonts w:ascii="Arial" w:hAnsi="Arial" w:cs="Arial"/>
          <w:sz w:val="24"/>
          <w:szCs w:val="24"/>
        </w:rPr>
        <w:t>chargor</w:t>
      </w:r>
      <w:proofErr w:type="spellEnd"/>
      <w:r>
        <w:rPr>
          <w:rFonts w:ascii="Arial" w:hAnsi="Arial" w:cs="Arial"/>
          <w:sz w:val="24"/>
          <w:szCs w:val="24"/>
        </w:rPr>
        <w:t xml:space="preserve">.  That class of assets is one which, in the ordinary course of the </w:t>
      </w:r>
      <w:proofErr w:type="spellStart"/>
      <w:r>
        <w:rPr>
          <w:rFonts w:ascii="Arial" w:hAnsi="Arial" w:cs="Arial"/>
          <w:sz w:val="24"/>
          <w:szCs w:val="24"/>
        </w:rPr>
        <w:t>chargor’s</w:t>
      </w:r>
      <w:proofErr w:type="spellEnd"/>
      <w:r>
        <w:rPr>
          <w:rFonts w:ascii="Arial" w:hAnsi="Arial" w:cs="Arial"/>
          <w:sz w:val="24"/>
          <w:szCs w:val="24"/>
        </w:rPr>
        <w:t xml:space="preserve"> business changes from time to time so when a floating charge is taken, it is contemplated that until some future step is taken by, or on behalf of those interested in the charge, the charger will carry on its business in the ordinary way in relation to that class of assets (including disposing of those assets) without the consent of the </w:t>
      </w:r>
      <w:proofErr w:type="spellStart"/>
      <w:r>
        <w:rPr>
          <w:rFonts w:ascii="Arial" w:hAnsi="Arial" w:cs="Arial"/>
          <w:sz w:val="24"/>
          <w:szCs w:val="24"/>
        </w:rPr>
        <w:t>chargeholder</w:t>
      </w:r>
      <w:proofErr w:type="spellEnd"/>
      <w:r>
        <w:rPr>
          <w:rFonts w:ascii="Arial" w:hAnsi="Arial" w:cs="Arial"/>
          <w:sz w:val="24"/>
          <w:szCs w:val="24"/>
        </w:rPr>
        <w:t>.</w:t>
      </w:r>
    </w:p>
    <w:p w14:paraId="43B43426" w14:textId="77777777" w:rsidR="00230559" w:rsidRDefault="00230559" w:rsidP="00E86ABD">
      <w:pPr>
        <w:jc w:val="both"/>
        <w:rPr>
          <w:rFonts w:ascii="Arial" w:hAnsi="Arial" w:cs="Arial"/>
          <w:sz w:val="24"/>
          <w:szCs w:val="24"/>
        </w:rPr>
      </w:pPr>
    </w:p>
    <w:p w14:paraId="7341776F" w14:textId="77777777" w:rsidR="00230559" w:rsidRDefault="00230559" w:rsidP="00E86ABD">
      <w:pPr>
        <w:jc w:val="both"/>
        <w:rPr>
          <w:rFonts w:ascii="Arial" w:hAnsi="Arial" w:cs="Arial"/>
          <w:sz w:val="24"/>
          <w:szCs w:val="24"/>
        </w:rPr>
      </w:pPr>
      <w:r>
        <w:rPr>
          <w:rFonts w:ascii="Arial" w:hAnsi="Arial" w:cs="Arial"/>
          <w:sz w:val="24"/>
          <w:szCs w:val="24"/>
        </w:rPr>
        <w:t>The holder of a fixed charge enjoys considerable advantage, in terms of priority of distribution.</w:t>
      </w:r>
    </w:p>
    <w:p w14:paraId="318FD12A" w14:textId="77777777" w:rsidR="00230559" w:rsidRDefault="00230559" w:rsidP="00E86ABD">
      <w:pPr>
        <w:jc w:val="both"/>
        <w:rPr>
          <w:rFonts w:ascii="Arial" w:hAnsi="Arial" w:cs="Arial"/>
          <w:sz w:val="24"/>
          <w:szCs w:val="24"/>
        </w:rPr>
      </w:pPr>
    </w:p>
    <w:p w14:paraId="75580B33" w14:textId="77777777" w:rsidR="00230559" w:rsidRDefault="00230559" w:rsidP="00E86ABD">
      <w:pPr>
        <w:jc w:val="both"/>
        <w:rPr>
          <w:rFonts w:ascii="Arial" w:hAnsi="Arial" w:cs="Arial"/>
          <w:sz w:val="24"/>
          <w:szCs w:val="24"/>
        </w:rPr>
      </w:pPr>
      <w:r>
        <w:rPr>
          <w:rFonts w:ascii="Arial" w:hAnsi="Arial" w:cs="Arial"/>
          <w:sz w:val="24"/>
          <w:szCs w:val="24"/>
        </w:rPr>
        <w:t>Charges can also be taken against book debts (unpaid invoices) and bank accounts.</w:t>
      </w:r>
    </w:p>
    <w:p w14:paraId="4DB2A6A7" w14:textId="77777777" w:rsidR="00230559" w:rsidRDefault="00230559" w:rsidP="00E86ABD">
      <w:pPr>
        <w:jc w:val="both"/>
        <w:rPr>
          <w:rFonts w:ascii="Arial" w:hAnsi="Arial" w:cs="Arial"/>
          <w:sz w:val="24"/>
          <w:szCs w:val="24"/>
        </w:rPr>
      </w:pPr>
    </w:p>
    <w:p w14:paraId="59B029B6" w14:textId="77777777" w:rsidR="00230559" w:rsidRPr="00281E48" w:rsidRDefault="00230559" w:rsidP="00E86ABD">
      <w:pPr>
        <w:jc w:val="both"/>
        <w:rPr>
          <w:rFonts w:ascii="Arial" w:hAnsi="Arial" w:cs="Arial"/>
          <w:b/>
          <w:sz w:val="24"/>
          <w:szCs w:val="24"/>
        </w:rPr>
      </w:pPr>
      <w:r w:rsidRPr="00281E48">
        <w:rPr>
          <w:rFonts w:ascii="Arial" w:hAnsi="Arial" w:cs="Arial"/>
          <w:b/>
          <w:sz w:val="24"/>
          <w:szCs w:val="24"/>
        </w:rPr>
        <w:t>Mortgage</w:t>
      </w:r>
    </w:p>
    <w:p w14:paraId="563D0B2D" w14:textId="77777777" w:rsidR="00230559" w:rsidRDefault="00230559" w:rsidP="00E86ABD">
      <w:pPr>
        <w:jc w:val="both"/>
        <w:rPr>
          <w:rFonts w:ascii="Arial" w:hAnsi="Arial" w:cs="Arial"/>
          <w:sz w:val="24"/>
          <w:szCs w:val="24"/>
        </w:rPr>
      </w:pPr>
    </w:p>
    <w:p w14:paraId="7EE291F0" w14:textId="77777777" w:rsidR="00230559" w:rsidRDefault="00230559" w:rsidP="00E86ABD">
      <w:pPr>
        <w:jc w:val="both"/>
        <w:rPr>
          <w:rFonts w:ascii="Arial" w:hAnsi="Arial" w:cs="Arial"/>
          <w:sz w:val="24"/>
          <w:szCs w:val="24"/>
        </w:rPr>
      </w:pPr>
      <w:r>
        <w:rPr>
          <w:rFonts w:ascii="Arial" w:hAnsi="Arial" w:cs="Arial"/>
          <w:sz w:val="24"/>
          <w:szCs w:val="24"/>
        </w:rPr>
        <w:t xml:space="preserve">A mortgage involves transfer of title to an asset by way of security for particular obligations on the express or implied condition that it will be re-transferred when the secured obligations are discharged.    What distinguishes a mortgage from an outright sale with a right of repurchase is the intention that the transfer is to secure the performance of obligations, for example, the repayment of a debt.  The transfer of title enhances the lender’s ability to realise the security, and prevents the mortgagor from disposing of the asset.  </w:t>
      </w:r>
    </w:p>
    <w:p w14:paraId="5505A729" w14:textId="77777777" w:rsidR="00230559" w:rsidRDefault="00230559" w:rsidP="00E86ABD">
      <w:pPr>
        <w:jc w:val="both"/>
        <w:rPr>
          <w:rFonts w:ascii="Arial" w:hAnsi="Arial" w:cs="Arial"/>
          <w:sz w:val="24"/>
          <w:szCs w:val="24"/>
        </w:rPr>
      </w:pPr>
    </w:p>
    <w:p w14:paraId="54EABD37" w14:textId="77777777" w:rsidR="00230559" w:rsidRDefault="00230559" w:rsidP="00E86ABD">
      <w:pPr>
        <w:jc w:val="both"/>
        <w:rPr>
          <w:rFonts w:ascii="Arial" w:hAnsi="Arial" w:cs="Arial"/>
          <w:sz w:val="24"/>
          <w:szCs w:val="24"/>
        </w:rPr>
      </w:pPr>
      <w:r>
        <w:rPr>
          <w:rFonts w:ascii="Arial" w:hAnsi="Arial" w:cs="Arial"/>
          <w:sz w:val="24"/>
          <w:szCs w:val="24"/>
        </w:rPr>
        <w:t xml:space="preserve">A mortgage is an enhanced type of charge because it gives the security holder rights over the asset backed up with a transfer of title. Possession of the secured asset is not required and mortgages can be applied to tangible and intangible assets. </w:t>
      </w:r>
    </w:p>
    <w:p w14:paraId="4C69C158" w14:textId="77777777" w:rsidR="00230559" w:rsidRDefault="00230559" w:rsidP="00E86ABD">
      <w:pPr>
        <w:jc w:val="both"/>
        <w:rPr>
          <w:rFonts w:ascii="Arial" w:hAnsi="Arial" w:cs="Arial"/>
          <w:sz w:val="24"/>
          <w:szCs w:val="24"/>
        </w:rPr>
      </w:pPr>
    </w:p>
    <w:p w14:paraId="102B290F" w14:textId="77777777" w:rsidR="00230559" w:rsidRDefault="00230559" w:rsidP="00E86ABD">
      <w:pPr>
        <w:jc w:val="both"/>
        <w:rPr>
          <w:rFonts w:ascii="Arial" w:hAnsi="Arial" w:cs="Arial"/>
          <w:sz w:val="24"/>
          <w:szCs w:val="24"/>
        </w:rPr>
      </w:pPr>
      <w:r>
        <w:rPr>
          <w:rFonts w:ascii="Arial" w:hAnsi="Arial" w:cs="Arial"/>
          <w:sz w:val="24"/>
          <w:szCs w:val="24"/>
        </w:rPr>
        <w:t>There are two types of mortgage:</w:t>
      </w:r>
    </w:p>
    <w:p w14:paraId="62D2E0FD" w14:textId="77777777" w:rsidR="00230559" w:rsidRDefault="00230559" w:rsidP="00E86ABD">
      <w:pPr>
        <w:jc w:val="both"/>
        <w:rPr>
          <w:rFonts w:ascii="Arial" w:hAnsi="Arial" w:cs="Arial"/>
          <w:sz w:val="24"/>
          <w:szCs w:val="24"/>
        </w:rPr>
      </w:pPr>
    </w:p>
    <w:p w14:paraId="4F0E411F" w14:textId="77777777" w:rsidR="00230559" w:rsidRDefault="00230559" w:rsidP="00230559">
      <w:pPr>
        <w:numPr>
          <w:ilvl w:val="0"/>
          <w:numId w:val="10"/>
        </w:numPr>
        <w:spacing w:after="0" w:line="240" w:lineRule="auto"/>
        <w:jc w:val="both"/>
        <w:rPr>
          <w:rFonts w:ascii="Arial" w:hAnsi="Arial" w:cs="Arial"/>
          <w:sz w:val="24"/>
          <w:szCs w:val="24"/>
        </w:rPr>
      </w:pPr>
      <w:r>
        <w:rPr>
          <w:rFonts w:ascii="Arial" w:hAnsi="Arial" w:cs="Arial"/>
          <w:sz w:val="24"/>
          <w:szCs w:val="24"/>
        </w:rPr>
        <w:t>Legal mortgage.</w:t>
      </w:r>
    </w:p>
    <w:p w14:paraId="70E51BB9" w14:textId="77777777" w:rsidR="00230559" w:rsidRDefault="00230559" w:rsidP="00230559">
      <w:pPr>
        <w:numPr>
          <w:ilvl w:val="0"/>
          <w:numId w:val="10"/>
        </w:numPr>
        <w:spacing w:after="0" w:line="240" w:lineRule="auto"/>
        <w:jc w:val="both"/>
        <w:rPr>
          <w:rFonts w:ascii="Arial" w:hAnsi="Arial" w:cs="Arial"/>
          <w:sz w:val="24"/>
          <w:szCs w:val="24"/>
        </w:rPr>
      </w:pPr>
      <w:r>
        <w:rPr>
          <w:rFonts w:ascii="Arial" w:hAnsi="Arial" w:cs="Arial"/>
          <w:sz w:val="24"/>
          <w:szCs w:val="24"/>
        </w:rPr>
        <w:t>Equitable mortgage.</w:t>
      </w:r>
    </w:p>
    <w:p w14:paraId="206583C4" w14:textId="77777777" w:rsidR="00230559" w:rsidRDefault="00230559" w:rsidP="00E86ABD">
      <w:pPr>
        <w:jc w:val="both"/>
        <w:rPr>
          <w:rFonts w:ascii="Arial" w:hAnsi="Arial" w:cs="Arial"/>
          <w:sz w:val="24"/>
          <w:szCs w:val="24"/>
        </w:rPr>
      </w:pPr>
    </w:p>
    <w:p w14:paraId="717CBDE8" w14:textId="77777777" w:rsidR="00230559" w:rsidRDefault="00230559" w:rsidP="00E86ABD">
      <w:pPr>
        <w:jc w:val="both"/>
        <w:rPr>
          <w:rFonts w:ascii="Arial" w:hAnsi="Arial" w:cs="Arial"/>
          <w:sz w:val="24"/>
          <w:szCs w:val="24"/>
        </w:rPr>
      </w:pPr>
      <w:r>
        <w:rPr>
          <w:rFonts w:ascii="Arial" w:hAnsi="Arial" w:cs="Arial"/>
          <w:sz w:val="24"/>
          <w:szCs w:val="24"/>
        </w:rPr>
        <w:t>The legal mortgage is the most secure and comprehensive form of security interest.  Its transfers legal title to the lender (the mortgagee) and prevents the mortgagor from dealing with the mortgaged asset while it is subject to the mortgage.  A legal mortgage of land does not get a legal estate in the land, but it is put in the same position as if he had been granted a lease for 3,000 years.</w:t>
      </w:r>
    </w:p>
    <w:p w14:paraId="598E66F7" w14:textId="77777777" w:rsidR="00230559" w:rsidRDefault="00230559" w:rsidP="00E86ABD">
      <w:pPr>
        <w:jc w:val="both"/>
        <w:rPr>
          <w:rFonts w:ascii="Arial" w:hAnsi="Arial" w:cs="Arial"/>
          <w:sz w:val="24"/>
          <w:szCs w:val="24"/>
        </w:rPr>
      </w:pPr>
    </w:p>
    <w:p w14:paraId="4710EAF8" w14:textId="77777777" w:rsidR="00230559" w:rsidRDefault="00230559" w:rsidP="00E86ABD">
      <w:pPr>
        <w:jc w:val="both"/>
        <w:rPr>
          <w:rFonts w:ascii="Arial" w:hAnsi="Arial" w:cs="Arial"/>
          <w:sz w:val="24"/>
          <w:szCs w:val="24"/>
        </w:rPr>
      </w:pPr>
      <w:r>
        <w:rPr>
          <w:rFonts w:ascii="Arial" w:hAnsi="Arial" w:cs="Arial"/>
          <w:sz w:val="24"/>
          <w:szCs w:val="24"/>
        </w:rPr>
        <w:t>An equitable mortgage involved the transfer of beneficial title in an asset to the creditor by way of security for the discharge of a liability.  There must be evidence that the mortgagor intends to transfer beneficial title to the creditor by way of security, and the assets which are to be the subject of the security must be sufficiently identified.  In general, an equitable mortgage arises where one of the following applies:</w:t>
      </w:r>
    </w:p>
    <w:p w14:paraId="6F1312BE" w14:textId="77777777" w:rsidR="00230559" w:rsidRDefault="00230559" w:rsidP="00E86ABD">
      <w:pPr>
        <w:jc w:val="both"/>
        <w:rPr>
          <w:rFonts w:ascii="Arial" w:hAnsi="Arial" w:cs="Arial"/>
          <w:sz w:val="24"/>
          <w:szCs w:val="24"/>
        </w:rPr>
      </w:pPr>
    </w:p>
    <w:p w14:paraId="49C2FD62" w14:textId="77777777" w:rsidR="00230559" w:rsidRDefault="00230559" w:rsidP="00230559">
      <w:pPr>
        <w:numPr>
          <w:ilvl w:val="0"/>
          <w:numId w:val="11"/>
        </w:numPr>
        <w:spacing w:after="0" w:line="240" w:lineRule="auto"/>
        <w:jc w:val="both"/>
        <w:rPr>
          <w:rFonts w:ascii="Arial" w:hAnsi="Arial" w:cs="Arial"/>
          <w:sz w:val="24"/>
          <w:szCs w:val="24"/>
        </w:rPr>
      </w:pPr>
      <w:r>
        <w:rPr>
          <w:rFonts w:ascii="Arial" w:hAnsi="Arial" w:cs="Arial"/>
          <w:sz w:val="24"/>
          <w:szCs w:val="24"/>
        </w:rPr>
        <w:t>The formalities necessary to create a legal mortgage have not been complied with.</w:t>
      </w:r>
    </w:p>
    <w:p w14:paraId="587F63E7" w14:textId="77777777" w:rsidR="00230559" w:rsidRDefault="00230559" w:rsidP="00230559">
      <w:pPr>
        <w:numPr>
          <w:ilvl w:val="0"/>
          <w:numId w:val="11"/>
        </w:numPr>
        <w:spacing w:after="0" w:line="240" w:lineRule="auto"/>
        <w:jc w:val="both"/>
        <w:rPr>
          <w:rFonts w:ascii="Arial" w:hAnsi="Arial" w:cs="Arial"/>
          <w:sz w:val="24"/>
          <w:szCs w:val="24"/>
        </w:rPr>
      </w:pPr>
      <w:r>
        <w:rPr>
          <w:rFonts w:ascii="Arial" w:hAnsi="Arial" w:cs="Arial"/>
          <w:sz w:val="24"/>
          <w:szCs w:val="24"/>
        </w:rPr>
        <w:t>The parties merely entered into an agreement to create a legal mortgage in the future over the asset in question.</w:t>
      </w:r>
    </w:p>
    <w:p w14:paraId="2A2883D0" w14:textId="77777777" w:rsidR="00230559" w:rsidRDefault="00230559" w:rsidP="00230559">
      <w:pPr>
        <w:numPr>
          <w:ilvl w:val="0"/>
          <w:numId w:val="11"/>
        </w:numPr>
        <w:spacing w:after="0" w:line="240" w:lineRule="auto"/>
        <w:jc w:val="both"/>
        <w:rPr>
          <w:rFonts w:ascii="Arial" w:hAnsi="Arial" w:cs="Arial"/>
          <w:sz w:val="24"/>
          <w:szCs w:val="24"/>
        </w:rPr>
      </w:pPr>
      <w:r>
        <w:rPr>
          <w:rFonts w:ascii="Arial" w:hAnsi="Arial" w:cs="Arial"/>
          <w:sz w:val="24"/>
          <w:szCs w:val="24"/>
        </w:rPr>
        <w:t>The property to be mortgaged is recognised only in equity.</w:t>
      </w:r>
    </w:p>
    <w:p w14:paraId="6F5595CE" w14:textId="77777777" w:rsidR="00230559" w:rsidRDefault="00230559" w:rsidP="00E86ABD">
      <w:pPr>
        <w:jc w:val="both"/>
        <w:rPr>
          <w:rFonts w:ascii="Arial" w:hAnsi="Arial" w:cs="Arial"/>
          <w:sz w:val="24"/>
          <w:szCs w:val="24"/>
        </w:rPr>
      </w:pPr>
    </w:p>
    <w:p w14:paraId="4160F879" w14:textId="77777777" w:rsidR="00230559" w:rsidRDefault="00230559" w:rsidP="00E86ABD">
      <w:pPr>
        <w:jc w:val="both"/>
        <w:rPr>
          <w:rFonts w:ascii="Arial" w:hAnsi="Arial" w:cs="Arial"/>
          <w:b/>
          <w:sz w:val="24"/>
          <w:szCs w:val="24"/>
        </w:rPr>
      </w:pPr>
      <w:r w:rsidRPr="00185A44">
        <w:rPr>
          <w:rFonts w:ascii="Arial" w:hAnsi="Arial" w:cs="Arial"/>
          <w:b/>
          <w:sz w:val="24"/>
          <w:szCs w:val="24"/>
        </w:rPr>
        <w:t>Issues to be aware of when taking security</w:t>
      </w:r>
    </w:p>
    <w:p w14:paraId="4028FE84" w14:textId="77777777" w:rsidR="00230559" w:rsidRDefault="00230559" w:rsidP="00E86ABD">
      <w:pPr>
        <w:jc w:val="both"/>
        <w:rPr>
          <w:rFonts w:ascii="Arial" w:hAnsi="Arial" w:cs="Arial"/>
          <w:b/>
          <w:sz w:val="24"/>
          <w:szCs w:val="24"/>
        </w:rPr>
      </w:pPr>
    </w:p>
    <w:p w14:paraId="7FB8EF82" w14:textId="77777777" w:rsidR="00230559" w:rsidRDefault="00230559" w:rsidP="00E86ABD">
      <w:pPr>
        <w:jc w:val="both"/>
        <w:rPr>
          <w:rFonts w:ascii="Arial" w:hAnsi="Arial" w:cs="Arial"/>
          <w:sz w:val="24"/>
          <w:szCs w:val="24"/>
        </w:rPr>
      </w:pPr>
      <w:r>
        <w:rPr>
          <w:rFonts w:ascii="Arial" w:hAnsi="Arial" w:cs="Arial"/>
          <w:sz w:val="24"/>
          <w:szCs w:val="24"/>
        </w:rPr>
        <w:lastRenderedPageBreak/>
        <w:t xml:space="preserve">When taking security it is important to consider both what and whose liabilities the security will secure.  </w:t>
      </w:r>
    </w:p>
    <w:p w14:paraId="74C93B18" w14:textId="77777777" w:rsidR="00230559" w:rsidRDefault="00230559" w:rsidP="00E86ABD">
      <w:pPr>
        <w:jc w:val="both"/>
        <w:rPr>
          <w:rFonts w:ascii="Arial" w:hAnsi="Arial" w:cs="Arial"/>
          <w:sz w:val="24"/>
          <w:szCs w:val="24"/>
        </w:rPr>
      </w:pPr>
    </w:p>
    <w:p w14:paraId="66ED0512" w14:textId="77777777" w:rsidR="00230559" w:rsidRDefault="00230559" w:rsidP="00E86ABD">
      <w:pPr>
        <w:jc w:val="both"/>
        <w:rPr>
          <w:rFonts w:ascii="Arial" w:hAnsi="Arial" w:cs="Arial"/>
          <w:sz w:val="24"/>
          <w:szCs w:val="24"/>
        </w:rPr>
      </w:pPr>
      <w:r>
        <w:rPr>
          <w:rFonts w:ascii="Arial" w:hAnsi="Arial" w:cs="Arial"/>
          <w:sz w:val="24"/>
          <w:szCs w:val="24"/>
        </w:rPr>
        <w:t xml:space="preserve">Under English law, all present and future monetary claims can be secured whether they are actual or contingent claims.  There is no need </w:t>
      </w:r>
      <w:proofErr w:type="spellStart"/>
      <w:r>
        <w:rPr>
          <w:rFonts w:ascii="Arial" w:hAnsi="Arial" w:cs="Arial"/>
          <w:sz w:val="24"/>
          <w:szCs w:val="24"/>
        </w:rPr>
        <w:t>t</w:t>
      </w:r>
      <w:proofErr w:type="spellEnd"/>
      <w:r>
        <w:rPr>
          <w:rFonts w:ascii="Arial" w:hAnsi="Arial" w:cs="Arial"/>
          <w:sz w:val="24"/>
          <w:szCs w:val="24"/>
        </w:rPr>
        <w:t xml:space="preserve"> specify a maximum amount or a maturity date.</w:t>
      </w:r>
    </w:p>
    <w:p w14:paraId="2DE87F66" w14:textId="77777777" w:rsidR="00230559" w:rsidRDefault="00230559" w:rsidP="00E86ABD">
      <w:pPr>
        <w:jc w:val="both"/>
        <w:rPr>
          <w:rFonts w:ascii="Arial" w:hAnsi="Arial" w:cs="Arial"/>
          <w:sz w:val="24"/>
          <w:szCs w:val="24"/>
        </w:rPr>
      </w:pPr>
    </w:p>
    <w:p w14:paraId="4B6C2932" w14:textId="77777777" w:rsidR="00230559" w:rsidRDefault="00230559" w:rsidP="00E86ABD">
      <w:pPr>
        <w:jc w:val="both"/>
        <w:rPr>
          <w:rFonts w:ascii="Arial" w:hAnsi="Arial" w:cs="Arial"/>
          <w:sz w:val="24"/>
          <w:szCs w:val="24"/>
        </w:rPr>
      </w:pPr>
      <w:r>
        <w:rPr>
          <w:rFonts w:ascii="Arial" w:hAnsi="Arial" w:cs="Arial"/>
          <w:sz w:val="24"/>
          <w:szCs w:val="24"/>
        </w:rPr>
        <w:t>The liabilities secured (commonly known as secured liabilities) will be one of the following:</w:t>
      </w:r>
    </w:p>
    <w:p w14:paraId="0F754566" w14:textId="77777777" w:rsidR="00230559" w:rsidRDefault="00230559" w:rsidP="00230559">
      <w:pPr>
        <w:numPr>
          <w:ilvl w:val="0"/>
          <w:numId w:val="12"/>
        </w:numPr>
        <w:spacing w:after="0" w:line="240" w:lineRule="auto"/>
        <w:jc w:val="both"/>
        <w:rPr>
          <w:rFonts w:ascii="Arial" w:hAnsi="Arial" w:cs="Arial"/>
          <w:sz w:val="24"/>
          <w:szCs w:val="24"/>
        </w:rPr>
      </w:pPr>
      <w:r>
        <w:rPr>
          <w:rFonts w:ascii="Arial" w:hAnsi="Arial" w:cs="Arial"/>
          <w:sz w:val="24"/>
          <w:szCs w:val="24"/>
        </w:rPr>
        <w:t>All monies</w:t>
      </w:r>
    </w:p>
    <w:p w14:paraId="20F4128E" w14:textId="77777777" w:rsidR="00230559" w:rsidRDefault="00230559" w:rsidP="00230559">
      <w:pPr>
        <w:numPr>
          <w:ilvl w:val="0"/>
          <w:numId w:val="12"/>
        </w:numPr>
        <w:spacing w:after="0" w:line="240" w:lineRule="auto"/>
        <w:jc w:val="both"/>
        <w:rPr>
          <w:rFonts w:ascii="Arial" w:hAnsi="Arial" w:cs="Arial"/>
          <w:sz w:val="24"/>
          <w:szCs w:val="24"/>
        </w:rPr>
      </w:pPr>
      <w:r>
        <w:rPr>
          <w:rFonts w:ascii="Arial" w:hAnsi="Arial" w:cs="Arial"/>
          <w:sz w:val="24"/>
          <w:szCs w:val="24"/>
        </w:rPr>
        <w:t>Specific liabilities.</w:t>
      </w:r>
    </w:p>
    <w:p w14:paraId="4E78836A" w14:textId="77777777" w:rsidR="00230559" w:rsidRDefault="00230559" w:rsidP="00E86ABD">
      <w:pPr>
        <w:jc w:val="both"/>
        <w:rPr>
          <w:rFonts w:ascii="Arial" w:hAnsi="Arial" w:cs="Arial"/>
          <w:sz w:val="24"/>
          <w:szCs w:val="24"/>
        </w:rPr>
      </w:pPr>
    </w:p>
    <w:p w14:paraId="00564B55" w14:textId="77777777" w:rsidR="00230559" w:rsidRDefault="00230559" w:rsidP="00E86ABD">
      <w:pPr>
        <w:jc w:val="both"/>
        <w:rPr>
          <w:rFonts w:ascii="Arial" w:hAnsi="Arial" w:cs="Arial"/>
          <w:sz w:val="24"/>
          <w:szCs w:val="24"/>
        </w:rPr>
      </w:pPr>
      <w:r>
        <w:rPr>
          <w:rFonts w:ascii="Arial" w:hAnsi="Arial" w:cs="Arial"/>
          <w:sz w:val="24"/>
          <w:szCs w:val="24"/>
        </w:rPr>
        <w:t>If the security is all monies, this means that all liabilities and obligations owned by the security provider (and/or a third party) to the lender will be secured by the security.</w:t>
      </w:r>
    </w:p>
    <w:p w14:paraId="0994BCD8" w14:textId="77777777" w:rsidR="00230559" w:rsidRDefault="00230559" w:rsidP="00E86ABD">
      <w:pPr>
        <w:jc w:val="both"/>
        <w:rPr>
          <w:rFonts w:ascii="Arial" w:hAnsi="Arial" w:cs="Arial"/>
          <w:sz w:val="24"/>
          <w:szCs w:val="24"/>
        </w:rPr>
      </w:pPr>
    </w:p>
    <w:p w14:paraId="2A1D7074" w14:textId="77777777" w:rsidR="00230559" w:rsidRPr="00185A44" w:rsidRDefault="00230559" w:rsidP="00E86ABD">
      <w:pPr>
        <w:jc w:val="both"/>
        <w:rPr>
          <w:rFonts w:ascii="Arial" w:hAnsi="Arial" w:cs="Arial"/>
          <w:sz w:val="24"/>
          <w:szCs w:val="24"/>
        </w:rPr>
      </w:pPr>
      <w:r>
        <w:rPr>
          <w:rFonts w:ascii="Arial" w:hAnsi="Arial" w:cs="Arial"/>
          <w:sz w:val="24"/>
          <w:szCs w:val="24"/>
        </w:rPr>
        <w:t>If, however, the security is for specific liabilities, this means that only certain liabilities and obligations (as defined in the relevant security document) owed by the security provider (and./or a third party) to the lender will be secured by that security.  For example, the liabilities secured may be those owing under a facility agreement, a bond issue or an indemnity.</w:t>
      </w:r>
    </w:p>
    <w:p w14:paraId="466FED05" w14:textId="77777777" w:rsidR="00230559" w:rsidRDefault="00230559" w:rsidP="00E86ABD">
      <w:pPr>
        <w:jc w:val="both"/>
        <w:rPr>
          <w:rFonts w:ascii="Arial" w:hAnsi="Arial" w:cs="Arial"/>
          <w:sz w:val="24"/>
          <w:szCs w:val="24"/>
        </w:rPr>
      </w:pPr>
    </w:p>
    <w:p w14:paraId="4EE4B012" w14:textId="77777777" w:rsidR="00230559" w:rsidRPr="00824F91" w:rsidRDefault="00230559" w:rsidP="00E86ABD">
      <w:pPr>
        <w:jc w:val="both"/>
        <w:rPr>
          <w:rFonts w:ascii="Arial" w:hAnsi="Arial" w:cs="Arial"/>
          <w:b/>
          <w:sz w:val="24"/>
          <w:szCs w:val="24"/>
        </w:rPr>
      </w:pPr>
      <w:r w:rsidRPr="00824F91">
        <w:rPr>
          <w:rFonts w:ascii="Arial" w:hAnsi="Arial" w:cs="Arial"/>
          <w:b/>
          <w:sz w:val="24"/>
          <w:szCs w:val="24"/>
        </w:rPr>
        <w:t>Recommendation</w:t>
      </w:r>
    </w:p>
    <w:p w14:paraId="36437D34" w14:textId="77777777" w:rsidR="00230559" w:rsidRDefault="00230559" w:rsidP="00E86ABD">
      <w:pPr>
        <w:jc w:val="both"/>
        <w:rPr>
          <w:rFonts w:ascii="Arial" w:hAnsi="Arial" w:cs="Arial"/>
          <w:sz w:val="24"/>
          <w:szCs w:val="24"/>
        </w:rPr>
      </w:pPr>
    </w:p>
    <w:p w14:paraId="5627057D" w14:textId="77777777" w:rsidR="00230559" w:rsidRDefault="00230559" w:rsidP="00E86ABD">
      <w:pPr>
        <w:jc w:val="both"/>
        <w:rPr>
          <w:rFonts w:ascii="Arial" w:hAnsi="Arial" w:cs="Arial"/>
          <w:sz w:val="24"/>
          <w:szCs w:val="24"/>
        </w:rPr>
      </w:pPr>
      <w:r>
        <w:rPr>
          <w:rFonts w:ascii="Arial" w:hAnsi="Arial" w:cs="Arial"/>
          <w:sz w:val="24"/>
          <w:szCs w:val="24"/>
        </w:rPr>
        <w:t xml:space="preserve">A bond which is drafted sufficiently precisely would be the preferred option for security repayment of the loan in the event that the applicant is in default of the contract. </w:t>
      </w:r>
      <w:r w:rsidRPr="0015572D">
        <w:rPr>
          <w:rFonts w:ascii="Arial" w:hAnsi="Arial" w:cs="Arial"/>
          <w:color w:val="FF0000"/>
          <w:sz w:val="24"/>
          <w:szCs w:val="24"/>
        </w:rPr>
        <w:t xml:space="preserve"> </w:t>
      </w:r>
      <w:r>
        <w:rPr>
          <w:rFonts w:ascii="Arial" w:hAnsi="Arial" w:cs="Arial"/>
          <w:color w:val="FF0000"/>
          <w:sz w:val="24"/>
          <w:szCs w:val="24"/>
        </w:rPr>
        <w:t>.</w:t>
      </w:r>
      <w:r>
        <w:rPr>
          <w:rFonts w:ascii="Arial" w:hAnsi="Arial" w:cs="Arial"/>
          <w:sz w:val="24"/>
          <w:szCs w:val="24"/>
        </w:rPr>
        <w:t>If the applicant went into administration then a demand can be made on the bond and the money would be paid.  If one of the other options were used there may be a waiting period for the return of the money while the assets are dealt with.  However, with security we have a greater priority than those creditors who do not have any security.</w:t>
      </w:r>
    </w:p>
    <w:p w14:paraId="320A5ED5" w14:textId="77777777" w:rsidR="00230559" w:rsidRDefault="00230559" w:rsidP="00E86ABD">
      <w:pPr>
        <w:jc w:val="both"/>
        <w:rPr>
          <w:rFonts w:ascii="Arial" w:hAnsi="Arial" w:cs="Arial"/>
          <w:sz w:val="24"/>
          <w:szCs w:val="24"/>
        </w:rPr>
      </w:pPr>
    </w:p>
    <w:p w14:paraId="52E4E3B9" w14:textId="77777777" w:rsidR="00230559" w:rsidRDefault="00230559" w:rsidP="00E86ABD">
      <w:pPr>
        <w:jc w:val="both"/>
        <w:rPr>
          <w:rFonts w:ascii="Arial" w:hAnsi="Arial" w:cs="Arial"/>
          <w:sz w:val="24"/>
          <w:szCs w:val="24"/>
        </w:rPr>
      </w:pPr>
      <w:r>
        <w:rPr>
          <w:rFonts w:ascii="Arial" w:hAnsi="Arial" w:cs="Arial"/>
          <w:sz w:val="24"/>
          <w:szCs w:val="24"/>
        </w:rPr>
        <w:t>If the bond is not viable for the applicant due to the expense then a legal mortgage would be the preferred second option as it is the most secure and comprehensive form of security interest as the lender will obtain legal title and enhances the lender’s ability to realise the security.  We would need to know that the asset is sufficiently valuable to cover the loan amount.</w:t>
      </w:r>
    </w:p>
    <w:p w14:paraId="320121F3" w14:textId="77777777" w:rsidR="00230559" w:rsidRDefault="00230559" w:rsidP="001372D9">
      <w:pPr>
        <w:rPr>
          <w:rFonts w:ascii="Arial" w:hAnsi="Arial" w:cs="Arial"/>
          <w:sz w:val="24"/>
          <w:szCs w:val="24"/>
        </w:rPr>
      </w:pPr>
    </w:p>
    <w:p w14:paraId="708036C6" w14:textId="77777777" w:rsidR="00230559" w:rsidRDefault="00230559" w:rsidP="001372D9">
      <w:pPr>
        <w:rPr>
          <w:rFonts w:ascii="Arial" w:hAnsi="Arial" w:cs="Arial"/>
          <w:sz w:val="24"/>
          <w:szCs w:val="24"/>
        </w:rPr>
      </w:pPr>
    </w:p>
    <w:sectPr w:rsidR="002305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22419" w14:textId="77777777" w:rsidR="00007366" w:rsidRDefault="00007366" w:rsidP="00907EE6">
      <w:pPr>
        <w:spacing w:after="0" w:line="240" w:lineRule="auto"/>
      </w:pPr>
      <w:r>
        <w:separator/>
      </w:r>
    </w:p>
  </w:endnote>
  <w:endnote w:type="continuationSeparator" w:id="0">
    <w:p w14:paraId="522F861A" w14:textId="77777777" w:rsidR="00007366" w:rsidRDefault="00007366" w:rsidP="0090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86CE" w14:textId="77777777" w:rsidR="005978B6" w:rsidRDefault="00597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773154"/>
      <w:docPartObj>
        <w:docPartGallery w:val="Page Numbers (Bottom of Page)"/>
        <w:docPartUnique/>
      </w:docPartObj>
    </w:sdtPr>
    <w:sdtEndPr>
      <w:rPr>
        <w:noProof/>
      </w:rPr>
    </w:sdtEndPr>
    <w:sdtContent>
      <w:p w14:paraId="22898DA5" w14:textId="7A973D59" w:rsidR="00907EE6" w:rsidRDefault="00907EE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8</w:t>
        </w:r>
      </w:p>
    </w:sdtContent>
  </w:sdt>
  <w:p w14:paraId="56130A41" w14:textId="77777777" w:rsidR="00907EE6" w:rsidRDefault="00907E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9DCA" w14:textId="77777777" w:rsidR="005978B6" w:rsidRDefault="0059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5A46D" w14:textId="77777777" w:rsidR="00007366" w:rsidRDefault="00007366" w:rsidP="00907EE6">
      <w:pPr>
        <w:spacing w:after="0" w:line="240" w:lineRule="auto"/>
      </w:pPr>
      <w:r>
        <w:separator/>
      </w:r>
    </w:p>
  </w:footnote>
  <w:footnote w:type="continuationSeparator" w:id="0">
    <w:p w14:paraId="17A75478" w14:textId="77777777" w:rsidR="00007366" w:rsidRDefault="00007366" w:rsidP="00907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3860" w14:textId="77777777" w:rsidR="005978B6" w:rsidRDefault="00597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D8EB" w14:textId="540F64CF" w:rsidR="005978B6" w:rsidRPr="005978B6" w:rsidRDefault="005978B6" w:rsidP="005978B6">
    <w:pPr>
      <w:pStyle w:val="Header"/>
      <w:rPr>
        <w:sz w:val="20"/>
        <w:szCs w:val="20"/>
      </w:rPr>
    </w:pPr>
    <w:r>
      <w:tab/>
      <w:t xml:space="preserve"> </w:t>
    </w:r>
    <w:r w:rsidRPr="005978B6">
      <w:rPr>
        <w:sz w:val="20"/>
        <w:szCs w:val="20"/>
      </w:rPr>
      <w:t xml:space="preserve">Agenda Item </w:t>
    </w:r>
    <w:r w:rsidRPr="005978B6">
      <w:rPr>
        <w:rFonts w:ascii="Arial" w:eastAsia="Times New Roman" w:hAnsi="Arial" w:cs="Arial"/>
        <w:sz w:val="20"/>
        <w:szCs w:val="20"/>
      </w:rPr>
      <w:t>10 appendix 1 GPF Loan Securities</w:t>
    </w:r>
  </w:p>
  <w:p w14:paraId="12A40762" w14:textId="77777777" w:rsidR="005978B6" w:rsidRDefault="005978B6" w:rsidP="001C5A5E">
    <w:pPr>
      <w:pStyle w:val="Header"/>
    </w:pPr>
  </w:p>
  <w:p w14:paraId="78AC5251" w14:textId="77777777" w:rsidR="005978B6" w:rsidRDefault="005978B6" w:rsidP="001C5A5E">
    <w:pPr>
      <w:pStyle w:val="Header"/>
    </w:pPr>
  </w:p>
  <w:p w14:paraId="08C7768A" w14:textId="39BBE77C" w:rsidR="001C5A5E" w:rsidRPr="001C5A5E" w:rsidRDefault="001C5A5E" w:rsidP="001C5A5E">
    <w:pPr>
      <w:pStyle w:val="Header"/>
    </w:pPr>
    <w:r>
      <w:rPr>
        <w:noProof/>
      </w:rPr>
      <w:drawing>
        <wp:anchor distT="0" distB="0" distL="114300" distR="114300" simplePos="0" relativeHeight="251658240" behindDoc="1" locked="0" layoutInCell="1" allowOverlap="1" wp14:anchorId="21E3D271" wp14:editId="7FF4B0CE">
          <wp:simplePos x="0" y="0"/>
          <wp:positionH relativeFrom="column">
            <wp:posOffset>-237333</wp:posOffset>
          </wp:positionH>
          <wp:positionV relativeFrom="paragraph">
            <wp:posOffset>-201930</wp:posOffset>
          </wp:positionV>
          <wp:extent cx="1816061" cy="647560"/>
          <wp:effectExtent l="0" t="0" r="0" b="63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6061" cy="647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77F37DA" wp14:editId="53F2D405">
          <wp:simplePos x="0" y="0"/>
          <wp:positionH relativeFrom="column">
            <wp:posOffset>3705225</wp:posOffset>
          </wp:positionH>
          <wp:positionV relativeFrom="paragraph">
            <wp:posOffset>-344805</wp:posOffset>
          </wp:positionV>
          <wp:extent cx="2589530" cy="863600"/>
          <wp:effectExtent l="0" t="0" r="1270" b="0"/>
          <wp:wrapTight wrapText="bothSides">
            <wp:wrapPolygon edited="0">
              <wp:start x="0" y="0"/>
              <wp:lineTo x="0" y="20965"/>
              <wp:lineTo x="21452" y="2096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589530" cy="863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D3E0" w14:textId="77777777" w:rsidR="005978B6" w:rsidRDefault="00597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648D"/>
    <w:multiLevelType w:val="hybridMultilevel"/>
    <w:tmpl w:val="8DBE4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55B8B"/>
    <w:multiLevelType w:val="hybridMultilevel"/>
    <w:tmpl w:val="53065E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4254A"/>
    <w:multiLevelType w:val="hybridMultilevel"/>
    <w:tmpl w:val="7A78C1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86E1D"/>
    <w:multiLevelType w:val="hybridMultilevel"/>
    <w:tmpl w:val="295653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86CAC"/>
    <w:multiLevelType w:val="hybridMultilevel"/>
    <w:tmpl w:val="8E34E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3134C"/>
    <w:multiLevelType w:val="hybridMultilevel"/>
    <w:tmpl w:val="D8B888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647BF"/>
    <w:multiLevelType w:val="hybridMultilevel"/>
    <w:tmpl w:val="4F049A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2"/>
  </w:num>
  <w:num w:numId="8">
    <w:abstractNumId w:val="5"/>
  </w:num>
  <w:num w:numId="9">
    <w:abstractNumId w:val="4"/>
  </w:num>
  <w:num w:numId="10">
    <w:abstractNumId w:val="1"/>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AC"/>
    <w:rsid w:val="00007366"/>
    <w:rsid w:val="0001256C"/>
    <w:rsid w:val="00041FB6"/>
    <w:rsid w:val="001C5A5E"/>
    <w:rsid w:val="001E67C6"/>
    <w:rsid w:val="00230559"/>
    <w:rsid w:val="003C0448"/>
    <w:rsid w:val="00402B54"/>
    <w:rsid w:val="00420462"/>
    <w:rsid w:val="00461183"/>
    <w:rsid w:val="00477BF5"/>
    <w:rsid w:val="004C36AC"/>
    <w:rsid w:val="0059118E"/>
    <w:rsid w:val="005978B6"/>
    <w:rsid w:val="005B0E21"/>
    <w:rsid w:val="006139D9"/>
    <w:rsid w:val="007E7A26"/>
    <w:rsid w:val="00907EE6"/>
    <w:rsid w:val="0092634C"/>
    <w:rsid w:val="0094548E"/>
    <w:rsid w:val="00992A73"/>
    <w:rsid w:val="009B10BE"/>
    <w:rsid w:val="00B73811"/>
    <w:rsid w:val="00C3289F"/>
    <w:rsid w:val="00C52953"/>
    <w:rsid w:val="00CF757E"/>
    <w:rsid w:val="00D0379B"/>
    <w:rsid w:val="00EC109E"/>
    <w:rsid w:val="00F72FE4"/>
    <w:rsid w:val="00FF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EE7D61"/>
  <w15:chartTrackingRefBased/>
  <w15:docId w15:val="{B70A9C3B-FA6E-44F8-A03E-CEC1F3B3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36AC"/>
    <w:pPr>
      <w:keepNext/>
      <w:tabs>
        <w:tab w:val="left" w:pos="3402"/>
        <w:tab w:val="left" w:pos="5529"/>
      </w:tabs>
      <w:spacing w:after="0" w:line="240" w:lineRule="auto"/>
      <w:jc w:val="center"/>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6AC"/>
    <w:rPr>
      <w:rFonts w:ascii="Times New Roman" w:eastAsia="Times New Roman" w:hAnsi="Times New Roman" w:cs="Times New Roman"/>
      <w:sz w:val="24"/>
      <w:szCs w:val="20"/>
      <w:u w:val="single"/>
      <w:lang w:eastAsia="en-GB"/>
    </w:rPr>
  </w:style>
  <w:style w:type="paragraph" w:styleId="Title">
    <w:name w:val="Title"/>
    <w:basedOn w:val="Normal"/>
    <w:link w:val="TitleChar"/>
    <w:qFormat/>
    <w:rsid w:val="004C36AC"/>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4C36AC"/>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907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E6"/>
  </w:style>
  <w:style w:type="paragraph" w:styleId="Footer">
    <w:name w:val="footer"/>
    <w:basedOn w:val="Normal"/>
    <w:link w:val="FooterChar"/>
    <w:uiPriority w:val="99"/>
    <w:unhideWhenUsed/>
    <w:rsid w:val="00907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E6"/>
  </w:style>
  <w:style w:type="paragraph" w:styleId="ListParagraph">
    <w:name w:val="List Paragraph"/>
    <w:basedOn w:val="Normal"/>
    <w:uiPriority w:val="34"/>
    <w:qFormat/>
    <w:rsid w:val="0092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111653">
      <w:bodyDiv w:val="1"/>
      <w:marLeft w:val="0"/>
      <w:marRight w:val="0"/>
      <w:marTop w:val="0"/>
      <w:marBottom w:val="0"/>
      <w:divBdr>
        <w:top w:val="none" w:sz="0" w:space="0" w:color="auto"/>
        <w:left w:val="none" w:sz="0" w:space="0" w:color="auto"/>
        <w:bottom w:val="none" w:sz="0" w:space="0" w:color="auto"/>
        <w:right w:val="none" w:sz="0" w:space="0" w:color="auto"/>
      </w:divBdr>
    </w:div>
    <w:div w:id="1468816582">
      <w:bodyDiv w:val="1"/>
      <w:marLeft w:val="0"/>
      <w:marRight w:val="0"/>
      <w:marTop w:val="0"/>
      <w:marBottom w:val="0"/>
      <w:divBdr>
        <w:top w:val="none" w:sz="0" w:space="0" w:color="auto"/>
        <w:left w:val="none" w:sz="0" w:space="0" w:color="auto"/>
        <w:bottom w:val="none" w:sz="0" w:space="0" w:color="auto"/>
        <w:right w:val="none" w:sz="0" w:space="0" w:color="auto"/>
      </w:divBdr>
    </w:div>
    <w:div w:id="189557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Sarah (E,I&amp;S)</dc:creator>
  <cp:keywords/>
  <dc:description/>
  <cp:lastModifiedBy>Kemp, Joanne (EnterpriseStokeStaffs)</cp:lastModifiedBy>
  <cp:revision>2</cp:revision>
  <dcterms:created xsi:type="dcterms:W3CDTF">2021-11-11T17:15:00Z</dcterms:created>
  <dcterms:modified xsi:type="dcterms:W3CDTF">2021-11-11T17:15:00Z</dcterms:modified>
</cp:coreProperties>
</file>