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4DBD" w14:textId="77777777" w:rsidR="00E64C57" w:rsidRDefault="00155F1D" w:rsidP="00394DCB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 November</w:t>
      </w:r>
      <w:r w:rsidRPr="00FD2200">
        <w:rPr>
          <w:rFonts w:ascii="Arial" w:hAnsi="Arial" w:cs="Arial"/>
          <w:b/>
          <w:bCs/>
        </w:rPr>
        <w:t xml:space="preserve"> 2021</w:t>
      </w:r>
      <w:r w:rsidR="00E64C57">
        <w:rPr>
          <w:rFonts w:ascii="Arial" w:hAnsi="Arial" w:cs="Arial"/>
          <w:b/>
          <w:bCs/>
        </w:rPr>
        <w:t xml:space="preserve"> </w:t>
      </w:r>
    </w:p>
    <w:p w14:paraId="4907F25F" w14:textId="2F0C74BE" w:rsidR="002E410C" w:rsidRDefault="002E410C" w:rsidP="00394DCB">
      <w:pPr>
        <w:spacing w:after="120"/>
        <w:rPr>
          <w:rFonts w:ascii="Arial" w:hAnsi="Arial" w:cs="Arial"/>
          <w:b/>
          <w:bCs/>
        </w:rPr>
      </w:pPr>
      <w:r w:rsidRPr="00ED7657">
        <w:rPr>
          <w:rFonts w:ascii="Arial" w:hAnsi="Arial" w:cs="Arial"/>
        </w:rPr>
        <w:t xml:space="preserve">Report of </w:t>
      </w:r>
      <w:r w:rsidR="00E64C57" w:rsidRPr="00E64C57">
        <w:rPr>
          <w:rFonts w:ascii="Arial" w:hAnsi="Arial" w:cs="Arial"/>
          <w:b/>
          <w:bCs/>
        </w:rPr>
        <w:t xml:space="preserve">Delegated </w:t>
      </w:r>
      <w:r w:rsidR="00544627">
        <w:rPr>
          <w:rFonts w:ascii="Arial" w:hAnsi="Arial" w:cs="Arial"/>
          <w:b/>
          <w:bCs/>
        </w:rPr>
        <w:t>Authority</w:t>
      </w:r>
      <w:r w:rsidR="00E64C57">
        <w:rPr>
          <w:rFonts w:ascii="Arial" w:hAnsi="Arial" w:cs="Arial"/>
        </w:rPr>
        <w:t xml:space="preserve"> </w:t>
      </w:r>
      <w:r w:rsidRPr="009973D3">
        <w:rPr>
          <w:rFonts w:ascii="Arial" w:hAnsi="Arial" w:cs="Arial"/>
          <w:b/>
          <w:bCs/>
        </w:rPr>
        <w:t xml:space="preserve">Subgroup </w:t>
      </w:r>
      <w:r w:rsidR="00ED7657">
        <w:rPr>
          <w:rFonts w:ascii="Arial" w:hAnsi="Arial" w:cs="Arial"/>
        </w:rPr>
        <w:t xml:space="preserve">in relation to </w:t>
      </w:r>
      <w:r w:rsidR="0000101A">
        <w:rPr>
          <w:rFonts w:ascii="Arial" w:hAnsi="Arial" w:cs="Arial"/>
        </w:rPr>
        <w:t xml:space="preserve">the </w:t>
      </w:r>
      <w:r w:rsidR="008D2D60">
        <w:rPr>
          <w:rFonts w:ascii="Arial" w:hAnsi="Arial" w:cs="Arial"/>
        </w:rPr>
        <w:t>meeting</w:t>
      </w:r>
      <w:r w:rsidR="00CC1792">
        <w:rPr>
          <w:rFonts w:ascii="Arial" w:hAnsi="Arial" w:cs="Arial"/>
        </w:rPr>
        <w:t xml:space="preserve"> of </w:t>
      </w:r>
      <w:r w:rsidR="00CC1792" w:rsidRPr="00CC1792">
        <w:rPr>
          <w:rFonts w:ascii="Arial" w:hAnsi="Arial" w:cs="Arial"/>
          <w:b/>
          <w:bCs/>
        </w:rPr>
        <w:t>4</w:t>
      </w:r>
      <w:r w:rsidR="00CC1792" w:rsidRPr="00CC1792">
        <w:rPr>
          <w:rFonts w:ascii="Arial" w:hAnsi="Arial" w:cs="Arial"/>
          <w:b/>
          <w:bCs/>
          <w:vertAlign w:val="superscript"/>
        </w:rPr>
        <w:t>th</w:t>
      </w:r>
      <w:r w:rsidR="00CC1792" w:rsidRPr="00CC1792">
        <w:rPr>
          <w:rFonts w:ascii="Arial" w:hAnsi="Arial" w:cs="Arial"/>
          <w:b/>
          <w:bCs/>
        </w:rPr>
        <w:t xml:space="preserve"> November</w:t>
      </w:r>
      <w:r w:rsidR="00CC1792">
        <w:rPr>
          <w:rFonts w:ascii="Arial" w:hAnsi="Arial" w:cs="Arial"/>
        </w:rPr>
        <w:t xml:space="preserve"> </w:t>
      </w:r>
      <w:r w:rsidR="00CC1792" w:rsidRPr="00CC1792">
        <w:rPr>
          <w:rFonts w:ascii="Arial" w:hAnsi="Arial" w:cs="Arial"/>
          <w:b/>
          <w:bCs/>
        </w:rPr>
        <w:t>2021</w:t>
      </w:r>
      <w:r w:rsidR="0000101A" w:rsidRPr="00CC1792">
        <w:rPr>
          <w:rFonts w:ascii="Arial" w:hAnsi="Arial" w:cs="Arial"/>
          <w:b/>
          <w:bCs/>
        </w:rPr>
        <w:t xml:space="preserve">  </w:t>
      </w:r>
      <w:r w:rsidR="0000101A">
        <w:rPr>
          <w:rFonts w:ascii="Arial" w:hAnsi="Arial" w:cs="Arial"/>
        </w:rPr>
        <w:t xml:space="preserve">                                                                                 </w:t>
      </w:r>
    </w:p>
    <w:p w14:paraId="7A796F53" w14:textId="726D38E8" w:rsidR="00FD2200" w:rsidRDefault="003A18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For: </w:t>
      </w:r>
      <w:r w:rsidR="00E86903" w:rsidRPr="00172DA6">
        <w:rPr>
          <w:rFonts w:ascii="Arial" w:hAnsi="Arial" w:cs="Arial"/>
          <w:color w:val="C00000"/>
          <w:sz w:val="28"/>
          <w:szCs w:val="28"/>
        </w:rPr>
        <w:t>(I)</w:t>
      </w:r>
      <w:r w:rsidRPr="00172DA6">
        <w:rPr>
          <w:rFonts w:ascii="Arial" w:hAnsi="Arial" w:cs="Arial"/>
          <w:color w:val="C00000"/>
        </w:rPr>
        <w:t xml:space="preserve"> Information</w:t>
      </w:r>
      <w:r w:rsidR="009F73E8" w:rsidRPr="00172DA6">
        <w:rPr>
          <w:rFonts w:ascii="Arial" w:hAnsi="Arial" w:cs="Arial"/>
          <w:color w:val="C00000"/>
        </w:rPr>
        <w:tab/>
      </w:r>
      <w:r w:rsidR="00617C44">
        <w:rPr>
          <w:rFonts w:ascii="Arial" w:hAnsi="Arial" w:cs="Arial"/>
        </w:rPr>
        <w:tab/>
      </w:r>
      <w:r w:rsidR="00D75FAA" w:rsidRPr="0000101A">
        <w:rPr>
          <w:rFonts w:ascii="Arial" w:hAnsi="Arial" w:cs="Arial"/>
          <w:sz w:val="28"/>
          <w:szCs w:val="28"/>
        </w:rPr>
        <w:t>(R)</w:t>
      </w:r>
      <w:r w:rsidR="009F73E8" w:rsidRPr="0000101A">
        <w:rPr>
          <w:rFonts w:ascii="Arial" w:hAnsi="Arial" w:cs="Arial"/>
        </w:rPr>
        <w:t xml:space="preserve"> Ratification</w:t>
      </w:r>
      <w:r w:rsidR="00617C44" w:rsidRPr="002A780D">
        <w:rPr>
          <w:rFonts w:ascii="Arial" w:hAnsi="Arial" w:cs="Arial"/>
          <w:color w:val="FF0000"/>
        </w:rPr>
        <w:tab/>
      </w:r>
      <w:r w:rsidR="00617C44">
        <w:rPr>
          <w:rFonts w:ascii="Arial" w:hAnsi="Arial" w:cs="Arial"/>
        </w:rPr>
        <w:tab/>
      </w:r>
      <w:r w:rsidR="00455A4D">
        <w:rPr>
          <w:rFonts w:ascii="Arial" w:hAnsi="Arial" w:cs="Arial"/>
          <w:sz w:val="28"/>
          <w:szCs w:val="28"/>
        </w:rPr>
        <w:t>(D)</w:t>
      </w:r>
      <w:r w:rsidR="00617C44" w:rsidRPr="003A18F6">
        <w:rPr>
          <w:rFonts w:ascii="Arial" w:hAnsi="Arial" w:cs="Arial"/>
        </w:rPr>
        <w:t xml:space="preserve"> </w:t>
      </w:r>
      <w:r w:rsidR="00617C44">
        <w:rPr>
          <w:rFonts w:ascii="Arial" w:hAnsi="Arial" w:cs="Arial"/>
        </w:rPr>
        <w:t>Discussion and decision</w:t>
      </w:r>
    </w:p>
    <w:p w14:paraId="1E2AB00E" w14:textId="77777777" w:rsidR="00377E00" w:rsidRDefault="00377E00" w:rsidP="00377E00">
      <w:pPr>
        <w:spacing w:after="0" w:line="240" w:lineRule="auto"/>
        <w:rPr>
          <w:rFonts w:ascii="Arial" w:hAnsi="Arial" w:cs="Arial"/>
          <w:b/>
          <w:bCs/>
        </w:rPr>
      </w:pPr>
      <w:r w:rsidRPr="00E944EB">
        <w:rPr>
          <w:rFonts w:ascii="Arial" w:hAnsi="Arial" w:cs="Arial"/>
          <w:b/>
          <w:bCs/>
          <w:u w:val="single"/>
        </w:rPr>
        <w:t>SPMG did not meet in November.</w:t>
      </w:r>
      <w:r>
        <w:rPr>
          <w:rFonts w:ascii="Arial" w:hAnsi="Arial" w:cs="Arial"/>
          <w:b/>
          <w:bCs/>
        </w:rPr>
        <w:t xml:space="preserve">  This is a report of the Delegated Authority Subgroup.</w:t>
      </w:r>
    </w:p>
    <w:p w14:paraId="26724426" w14:textId="77777777" w:rsidR="00377E00" w:rsidRDefault="00377E00" w:rsidP="00377E00">
      <w:pPr>
        <w:spacing w:after="0"/>
        <w:rPr>
          <w:rFonts w:ascii="Arial" w:hAnsi="Arial" w:cs="Arial"/>
          <w:b/>
          <w:bCs/>
        </w:rPr>
      </w:pPr>
    </w:p>
    <w:p w14:paraId="3E0069BE" w14:textId="66B0C494" w:rsidR="009F05AB" w:rsidRDefault="009F05AB" w:rsidP="00377E00">
      <w:pPr>
        <w:spacing w:after="0"/>
        <w:rPr>
          <w:rFonts w:ascii="Arial" w:hAnsi="Arial" w:cs="Arial"/>
          <w:b/>
          <w:bCs/>
        </w:rPr>
      </w:pPr>
      <w:r w:rsidRPr="009F05AB">
        <w:rPr>
          <w:rFonts w:ascii="Arial" w:hAnsi="Arial" w:cs="Arial"/>
          <w:b/>
          <w:bCs/>
        </w:rPr>
        <w:t xml:space="preserve">On 21/10/21 SSLEP Executive Board </w:t>
      </w:r>
      <w:r w:rsidR="00F84FDC">
        <w:rPr>
          <w:rFonts w:ascii="Arial" w:hAnsi="Arial" w:cs="Arial"/>
          <w:b/>
          <w:bCs/>
        </w:rPr>
        <w:t>appr</w:t>
      </w:r>
      <w:r w:rsidR="00F45E9E">
        <w:rPr>
          <w:rFonts w:ascii="Arial" w:hAnsi="Arial" w:cs="Arial"/>
          <w:b/>
          <w:bCs/>
        </w:rPr>
        <w:t xml:space="preserve">oved </w:t>
      </w:r>
      <w:r w:rsidRPr="009F05AB">
        <w:rPr>
          <w:rFonts w:ascii="Arial" w:hAnsi="Arial" w:cs="Arial"/>
          <w:b/>
          <w:bCs/>
        </w:rPr>
        <w:t xml:space="preserve">delegated authority to a sub-group to progress </w:t>
      </w:r>
      <w:r w:rsidR="00377E00">
        <w:rPr>
          <w:rFonts w:ascii="Arial" w:hAnsi="Arial" w:cs="Arial"/>
          <w:b/>
          <w:bCs/>
        </w:rPr>
        <w:t xml:space="preserve">challenges presented by </w:t>
      </w:r>
      <w:r w:rsidR="00F13E10">
        <w:rPr>
          <w:rFonts w:ascii="Arial" w:hAnsi="Arial" w:cs="Arial"/>
          <w:b/>
          <w:bCs/>
        </w:rPr>
        <w:t>B</w:t>
      </w:r>
      <w:r w:rsidRPr="009F05AB">
        <w:rPr>
          <w:rFonts w:ascii="Arial" w:hAnsi="Arial" w:cs="Arial"/>
          <w:b/>
          <w:bCs/>
        </w:rPr>
        <w:t>lythe Park Extension scheme and Cornhill Small Business Units scheme</w:t>
      </w:r>
      <w:r w:rsidR="00B17929">
        <w:rPr>
          <w:rFonts w:ascii="Arial" w:hAnsi="Arial" w:cs="Arial"/>
          <w:b/>
          <w:bCs/>
        </w:rPr>
        <w:t>.</w:t>
      </w:r>
      <w:r w:rsidRPr="009F05AB">
        <w:rPr>
          <w:rFonts w:ascii="Arial" w:hAnsi="Arial" w:cs="Arial"/>
          <w:b/>
          <w:bCs/>
        </w:rPr>
        <w:t xml:space="preserve"> </w:t>
      </w:r>
    </w:p>
    <w:p w14:paraId="35E63BF5" w14:textId="77777777" w:rsidR="00C27DBD" w:rsidRDefault="00C27DBD" w:rsidP="00377E00">
      <w:pPr>
        <w:spacing w:after="0" w:line="240" w:lineRule="auto"/>
        <w:rPr>
          <w:rFonts w:ascii="Arial" w:hAnsi="Arial" w:cs="Arial"/>
          <w:b/>
          <w:bCs/>
        </w:rPr>
      </w:pPr>
    </w:p>
    <w:p w14:paraId="5AB39245" w14:textId="271DD7F2" w:rsidR="00FD2200" w:rsidRDefault="00FD2200" w:rsidP="00377E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agenda items discussed</w:t>
      </w:r>
      <w:r w:rsidR="0000101A">
        <w:rPr>
          <w:rFonts w:ascii="Arial" w:hAnsi="Arial" w:cs="Arial"/>
          <w:b/>
          <w:bCs/>
        </w:rPr>
        <w:t xml:space="preserve"> by</w:t>
      </w:r>
      <w:r w:rsidR="00533394">
        <w:rPr>
          <w:rFonts w:ascii="Arial" w:hAnsi="Arial" w:cs="Arial"/>
          <w:b/>
          <w:bCs/>
        </w:rPr>
        <w:t xml:space="preserve"> </w:t>
      </w:r>
      <w:r w:rsidR="0060066F">
        <w:rPr>
          <w:rFonts w:ascii="Arial" w:hAnsi="Arial" w:cs="Arial"/>
          <w:b/>
          <w:bCs/>
        </w:rPr>
        <w:t xml:space="preserve">the </w:t>
      </w:r>
      <w:r w:rsidR="00544627">
        <w:rPr>
          <w:rFonts w:ascii="Arial" w:hAnsi="Arial" w:cs="Arial"/>
          <w:b/>
          <w:bCs/>
        </w:rPr>
        <w:t>Delegate</w:t>
      </w:r>
      <w:r w:rsidR="00377E00">
        <w:rPr>
          <w:rFonts w:ascii="Arial" w:hAnsi="Arial" w:cs="Arial"/>
          <w:b/>
          <w:bCs/>
        </w:rPr>
        <w:t>d</w:t>
      </w:r>
      <w:r w:rsidR="00544627">
        <w:rPr>
          <w:rFonts w:ascii="Arial" w:hAnsi="Arial" w:cs="Arial"/>
          <w:b/>
          <w:bCs/>
        </w:rPr>
        <w:t xml:space="preserve"> Authority </w:t>
      </w:r>
      <w:r w:rsidR="00C27DBD">
        <w:rPr>
          <w:rFonts w:ascii="Arial" w:hAnsi="Arial" w:cs="Arial"/>
          <w:b/>
          <w:bCs/>
        </w:rPr>
        <w:t>S</w:t>
      </w:r>
      <w:r w:rsidR="00533394">
        <w:rPr>
          <w:rFonts w:ascii="Arial" w:hAnsi="Arial" w:cs="Arial"/>
          <w:b/>
          <w:bCs/>
        </w:rPr>
        <w:t>ub-</w:t>
      </w:r>
      <w:r w:rsidR="0060066F">
        <w:rPr>
          <w:rFonts w:ascii="Arial" w:hAnsi="Arial" w:cs="Arial"/>
          <w:b/>
          <w:bCs/>
        </w:rPr>
        <w:t>g</w:t>
      </w:r>
      <w:r w:rsidR="00533394">
        <w:rPr>
          <w:rFonts w:ascii="Arial" w:hAnsi="Arial" w:cs="Arial"/>
          <w:b/>
          <w:bCs/>
        </w:rPr>
        <w:t>roup on 04/11/2021</w:t>
      </w:r>
      <w:r>
        <w:rPr>
          <w:rFonts w:ascii="Arial" w:hAnsi="Arial" w:cs="Arial"/>
          <w:b/>
          <w:bCs/>
        </w:rPr>
        <w:t>:</w:t>
      </w:r>
    </w:p>
    <w:p w14:paraId="5B458992" w14:textId="77777777" w:rsidR="009C71FB" w:rsidRDefault="009C71FB" w:rsidP="00C27DB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3569C2EC" w14:textId="77777777" w:rsidTr="00181AB0">
        <w:tc>
          <w:tcPr>
            <w:tcW w:w="9322" w:type="dxa"/>
          </w:tcPr>
          <w:p w14:paraId="6D90F4DE" w14:textId="77777777" w:rsidR="00AC423B" w:rsidRDefault="00AC423B" w:rsidP="0060066F">
            <w:pPr>
              <w:rPr>
                <w:rFonts w:ascii="Verdana" w:hAnsi="Verdana" w:cs="Arial"/>
                <w:bCs/>
              </w:rPr>
            </w:pPr>
          </w:p>
          <w:p w14:paraId="3E946C90" w14:textId="343A1213" w:rsidR="00925DC8" w:rsidRPr="009C46EE" w:rsidRDefault="00F13E10" w:rsidP="00FF227F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bCs/>
              </w:rPr>
            </w:pPr>
            <w:r w:rsidRPr="00377E00">
              <w:rPr>
                <w:rFonts w:ascii="Verdana" w:hAnsi="Verdana" w:cs="Arial"/>
                <w:b/>
              </w:rPr>
              <w:t>Blythe Park Extension scheme</w:t>
            </w:r>
            <w:r w:rsidR="0024533B" w:rsidRPr="00377E00">
              <w:rPr>
                <w:rFonts w:ascii="Verdana" w:hAnsi="Verdana" w:cs="Arial"/>
                <w:b/>
              </w:rPr>
              <w:t xml:space="preserve"> </w:t>
            </w:r>
            <w:r w:rsidR="0024533B" w:rsidRPr="009C46EE">
              <w:rPr>
                <w:rFonts w:ascii="Verdana" w:hAnsi="Verdana" w:cs="Arial"/>
                <w:bCs/>
              </w:rPr>
              <w:t>(</w:t>
            </w:r>
            <w:r w:rsidR="006C6E01" w:rsidRPr="009C46EE">
              <w:rPr>
                <w:rFonts w:ascii="Verdana" w:hAnsi="Verdana" w:cs="Arial"/>
                <w:bCs/>
              </w:rPr>
              <w:t xml:space="preserve">£1.25m </w:t>
            </w:r>
            <w:r w:rsidR="0024533B" w:rsidRPr="009C46EE">
              <w:rPr>
                <w:rFonts w:ascii="Verdana" w:hAnsi="Verdana" w:cs="Arial"/>
                <w:bCs/>
              </w:rPr>
              <w:t>LGD grant</w:t>
            </w:r>
            <w:r w:rsidR="00A82036">
              <w:rPr>
                <w:rFonts w:ascii="Verdana" w:hAnsi="Verdana" w:cs="Arial"/>
                <w:bCs/>
              </w:rPr>
              <w:t xml:space="preserve">, </w:t>
            </w:r>
            <w:r w:rsidR="009C46EE" w:rsidRPr="009C46EE">
              <w:rPr>
                <w:rFonts w:ascii="Verdana" w:hAnsi="Verdana" w:cs="Arial"/>
                <w:bCs/>
              </w:rPr>
              <w:t xml:space="preserve">£1.4m </w:t>
            </w:r>
            <w:r w:rsidR="0024533B" w:rsidRPr="009C46EE">
              <w:rPr>
                <w:rFonts w:ascii="Verdana" w:hAnsi="Verdana" w:cs="Arial"/>
                <w:bCs/>
              </w:rPr>
              <w:t>GPF loan)</w:t>
            </w:r>
          </w:p>
          <w:p w14:paraId="3FB48F83" w14:textId="40B10267" w:rsidR="00CC1A2F" w:rsidRPr="00F13E10" w:rsidRDefault="00F13E10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Cs/>
              </w:rPr>
            </w:pPr>
            <w:r>
              <w:rPr>
                <w:rFonts w:ascii="Verdana" w:hAnsi="Verdana" w:cs="Arial"/>
                <w:bCs/>
              </w:rPr>
              <w:t>Scheme</w:t>
            </w:r>
            <w:r w:rsidR="00CC1A2F" w:rsidRPr="00F13E10">
              <w:rPr>
                <w:rFonts w:ascii="Verdana" w:hAnsi="Verdana" w:cs="Arial"/>
                <w:bCs/>
              </w:rPr>
              <w:t xml:space="preserve"> sponsor has confirmed that they wish to progress with the </w:t>
            </w:r>
            <w:r>
              <w:rPr>
                <w:rFonts w:ascii="Verdana" w:hAnsi="Verdana" w:cs="Arial"/>
                <w:bCs/>
              </w:rPr>
              <w:t>new</w:t>
            </w:r>
            <w:r w:rsidR="00CC1A2F" w:rsidRPr="00F13E10">
              <w:rPr>
                <w:rFonts w:ascii="Verdana" w:hAnsi="Verdana" w:cs="Arial"/>
                <w:bCs/>
              </w:rPr>
              <w:t xml:space="preserve"> scheme </w:t>
            </w:r>
          </w:p>
          <w:p w14:paraId="0CF257F4" w14:textId="77777777" w:rsidR="00CC1A2F" w:rsidRPr="00175564" w:rsidRDefault="00CC1A2F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Cs/>
              </w:rPr>
            </w:pPr>
            <w:r w:rsidRPr="00175564">
              <w:rPr>
                <w:rFonts w:ascii="Verdana" w:hAnsi="Verdana"/>
                <w:bCs/>
              </w:rPr>
              <w:t xml:space="preserve">Much-needed scheme – employment </w:t>
            </w:r>
            <w:r>
              <w:rPr>
                <w:rFonts w:ascii="Verdana" w:hAnsi="Verdana"/>
                <w:bCs/>
              </w:rPr>
              <w:t xml:space="preserve">is </w:t>
            </w:r>
            <w:r w:rsidRPr="00175564">
              <w:rPr>
                <w:rFonts w:ascii="Verdana" w:hAnsi="Verdana"/>
                <w:bCs/>
              </w:rPr>
              <w:t>needed in this area. Logical site to bring forwards; jobs and housing outputs.</w:t>
            </w:r>
          </w:p>
          <w:p w14:paraId="4824EA6E" w14:textId="162AA16F" w:rsidR="00CC1A2F" w:rsidRPr="00175564" w:rsidRDefault="00CC1A2F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Cs/>
              </w:rPr>
            </w:pPr>
            <w:r w:rsidRPr="00175564">
              <w:rPr>
                <w:rFonts w:ascii="Verdana" w:hAnsi="Verdana" w:cs="Arial"/>
                <w:bCs/>
              </w:rPr>
              <w:t xml:space="preserve">The original design </w:t>
            </w:r>
            <w:r w:rsidR="00192076">
              <w:rPr>
                <w:rFonts w:ascii="Verdana" w:hAnsi="Verdana" w:cs="Arial"/>
                <w:bCs/>
              </w:rPr>
              <w:t xml:space="preserve">(2 roundabouts) </w:t>
            </w:r>
            <w:r w:rsidRPr="00175564">
              <w:rPr>
                <w:rFonts w:ascii="Verdana" w:hAnsi="Verdana" w:cs="Arial"/>
                <w:bCs/>
              </w:rPr>
              <w:t xml:space="preserve">was proposed by SCC Highways </w:t>
            </w:r>
            <w:r w:rsidR="00192076">
              <w:rPr>
                <w:rFonts w:ascii="Verdana" w:hAnsi="Verdana" w:cs="Arial"/>
                <w:bCs/>
              </w:rPr>
              <w:t>to</w:t>
            </w:r>
            <w:r w:rsidRPr="00175564">
              <w:rPr>
                <w:rFonts w:ascii="Verdana" w:hAnsi="Verdana" w:cs="Arial"/>
                <w:bCs/>
              </w:rPr>
              <w:t xml:space="preserve"> aid traffic flow; the new design </w:t>
            </w:r>
            <w:r>
              <w:rPr>
                <w:rFonts w:ascii="Verdana" w:hAnsi="Verdana" w:cs="Arial"/>
                <w:bCs/>
              </w:rPr>
              <w:t>(T-junction</w:t>
            </w:r>
            <w:r w:rsidR="00192076">
              <w:rPr>
                <w:rFonts w:ascii="Verdana" w:hAnsi="Verdana" w:cs="Arial"/>
                <w:bCs/>
              </w:rPr>
              <w:t>s</w:t>
            </w:r>
            <w:r>
              <w:rPr>
                <w:rFonts w:ascii="Verdana" w:hAnsi="Verdana" w:cs="Arial"/>
                <w:bCs/>
              </w:rPr>
              <w:t xml:space="preserve">) </w:t>
            </w:r>
            <w:r w:rsidRPr="00175564">
              <w:rPr>
                <w:rFonts w:ascii="Verdana" w:hAnsi="Verdana" w:cs="Arial"/>
                <w:bCs/>
              </w:rPr>
              <w:t>requires less land and less cost.</w:t>
            </w:r>
          </w:p>
          <w:p w14:paraId="4C6B56EB" w14:textId="77777777" w:rsidR="00CC1A2F" w:rsidRPr="00175564" w:rsidRDefault="00CC1A2F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</w:rPr>
            </w:pPr>
            <w:r w:rsidRPr="00175564">
              <w:rPr>
                <w:rFonts w:ascii="Verdana" w:hAnsi="Verdana"/>
              </w:rPr>
              <w:t xml:space="preserve">Spend timescale: the LGF grant is already considered as “spent” by BEIS as monies were paid over to SCC Highways at the end of March 2021 under the conditions of the </w:t>
            </w:r>
            <w:r>
              <w:rPr>
                <w:rFonts w:ascii="Verdana" w:hAnsi="Verdana"/>
              </w:rPr>
              <w:t>s</w:t>
            </w:r>
            <w:r w:rsidRPr="00175564">
              <w:rPr>
                <w:rFonts w:ascii="Verdana" w:hAnsi="Verdana"/>
              </w:rPr>
              <w:t>278</w:t>
            </w:r>
            <w:r>
              <w:rPr>
                <w:rFonts w:ascii="Verdana" w:hAnsi="Verdana"/>
              </w:rPr>
              <w:t xml:space="preserve"> contract</w:t>
            </w:r>
            <w:r w:rsidRPr="00175564">
              <w:rPr>
                <w:rFonts w:ascii="Verdana" w:hAnsi="Verdana"/>
              </w:rPr>
              <w:t>.</w:t>
            </w:r>
          </w:p>
          <w:p w14:paraId="091A863F" w14:textId="2119B788" w:rsidR="001C5047" w:rsidRPr="009F36EA" w:rsidRDefault="00CC1A2F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</w:rPr>
            </w:pPr>
            <w:r w:rsidRPr="00175564">
              <w:rPr>
                <w:rFonts w:ascii="Verdana" w:hAnsi="Verdana"/>
              </w:rPr>
              <w:t xml:space="preserve">A cost reduction of </w:t>
            </w:r>
            <w:r>
              <w:rPr>
                <w:rFonts w:ascii="Verdana" w:hAnsi="Verdana"/>
              </w:rPr>
              <w:t>c.</w:t>
            </w:r>
            <w:r w:rsidRPr="00175564">
              <w:rPr>
                <w:rFonts w:ascii="Verdana" w:hAnsi="Verdana"/>
              </w:rPr>
              <w:t xml:space="preserve">£1m is mooted under the new proposals; however, </w:t>
            </w:r>
            <w:r>
              <w:rPr>
                <w:rFonts w:ascii="Verdana" w:hAnsi="Verdana"/>
              </w:rPr>
              <w:t xml:space="preserve">it should be noted </w:t>
            </w:r>
            <w:r w:rsidRPr="00175564">
              <w:rPr>
                <w:rFonts w:ascii="Verdana" w:hAnsi="Verdana"/>
              </w:rPr>
              <w:t>this is not a</w:t>
            </w:r>
            <w:r w:rsidR="008942F4">
              <w:rPr>
                <w:rFonts w:ascii="Verdana" w:hAnsi="Verdana"/>
              </w:rPr>
              <w:t xml:space="preserve"> </w:t>
            </w:r>
            <w:r w:rsidRPr="00175564">
              <w:rPr>
                <w:rFonts w:ascii="Verdana" w:hAnsi="Verdana"/>
              </w:rPr>
              <w:t xml:space="preserve">saving </w:t>
            </w:r>
            <w:r w:rsidR="008942F4">
              <w:rPr>
                <w:rFonts w:ascii="Verdana" w:hAnsi="Verdana"/>
              </w:rPr>
              <w:t xml:space="preserve">as such </w:t>
            </w:r>
            <w:r w:rsidRPr="00175564">
              <w:rPr>
                <w:rFonts w:ascii="Verdana" w:hAnsi="Verdana"/>
              </w:rPr>
              <w:t xml:space="preserve">but will </w:t>
            </w:r>
            <w:r>
              <w:rPr>
                <w:rFonts w:ascii="Verdana" w:hAnsi="Verdana"/>
              </w:rPr>
              <w:t xml:space="preserve">simply </w:t>
            </w:r>
            <w:r w:rsidRPr="00175564">
              <w:rPr>
                <w:rFonts w:ascii="Verdana" w:hAnsi="Verdana"/>
              </w:rPr>
              <w:t xml:space="preserve">bring </w:t>
            </w:r>
            <w:r>
              <w:rPr>
                <w:rFonts w:ascii="Verdana" w:hAnsi="Verdana"/>
              </w:rPr>
              <w:t>costs</w:t>
            </w:r>
            <w:r w:rsidRPr="00175564">
              <w:rPr>
                <w:rFonts w:ascii="Verdana" w:hAnsi="Verdana"/>
              </w:rPr>
              <w:t xml:space="preserve"> back in line with the spend package/profile originally approved for grant </w:t>
            </w:r>
            <w:r>
              <w:rPr>
                <w:rFonts w:ascii="Verdana" w:hAnsi="Verdana"/>
              </w:rPr>
              <w:t xml:space="preserve">and </w:t>
            </w:r>
            <w:r w:rsidRPr="00175564">
              <w:rPr>
                <w:rFonts w:ascii="Verdana" w:hAnsi="Verdana"/>
              </w:rPr>
              <w:t xml:space="preserve">loan (SCC costs had increased by £1m </w:t>
            </w:r>
            <w:r w:rsidR="00B27BC6">
              <w:rPr>
                <w:rFonts w:ascii="Verdana" w:hAnsi="Verdana"/>
              </w:rPr>
              <w:t>during time taken to contract).</w:t>
            </w:r>
          </w:p>
          <w:p w14:paraId="72A29ABE" w14:textId="77777777" w:rsidR="009F36EA" w:rsidRPr="008942F4" w:rsidRDefault="009F36EA" w:rsidP="009F36EA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2FA2E6C8" w14:textId="77777777" w:rsidR="008942F4" w:rsidRDefault="008942F4" w:rsidP="009F36EA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Risks: </w:t>
            </w:r>
          </w:p>
          <w:p w14:paraId="22B3D85A" w14:textId="77777777" w:rsidR="008942F4" w:rsidRPr="00175564" w:rsidRDefault="008942F4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175564">
              <w:rPr>
                <w:rFonts w:ascii="Verdana" w:hAnsi="Verdana"/>
              </w:rPr>
              <w:t>Governance issue: it is a different design.  We have committed to one thing but now it is something else.</w:t>
            </w:r>
          </w:p>
          <w:p w14:paraId="687FA7F2" w14:textId="6E4309B1" w:rsidR="008942F4" w:rsidRPr="00175564" w:rsidRDefault="008942F4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p</w:t>
            </w:r>
            <w:r w:rsidRPr="00175564">
              <w:rPr>
                <w:rFonts w:ascii="Verdana" w:hAnsi="Verdana"/>
              </w:rPr>
              <w:t>aperwork does not match</w:t>
            </w:r>
            <w:r>
              <w:rPr>
                <w:rFonts w:ascii="Verdana" w:hAnsi="Verdana"/>
              </w:rPr>
              <w:t xml:space="preserve">. </w:t>
            </w:r>
            <w:r w:rsidRPr="00175564">
              <w:rPr>
                <w:rFonts w:ascii="Verdana" w:hAnsi="Verdana"/>
              </w:rPr>
              <w:t xml:space="preserve">Changes will need to be made to the current SSLEP contracts (grant, loan </w:t>
            </w:r>
            <w:r>
              <w:rPr>
                <w:rFonts w:ascii="Verdana" w:hAnsi="Verdana"/>
              </w:rPr>
              <w:t xml:space="preserve">and </w:t>
            </w:r>
            <w:r w:rsidRPr="00175564">
              <w:rPr>
                <w:rFonts w:ascii="Verdana" w:hAnsi="Verdana"/>
              </w:rPr>
              <w:t>Flow of Funds letter)</w:t>
            </w:r>
          </w:p>
          <w:p w14:paraId="045AD20C" w14:textId="3195CDBE" w:rsidR="008942F4" w:rsidRPr="00175564" w:rsidRDefault="008942F4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175564">
              <w:rPr>
                <w:rFonts w:ascii="Verdana" w:hAnsi="Verdana"/>
              </w:rPr>
              <w:t>The LEP has committed an amount of grant/loan</w:t>
            </w:r>
            <w:r>
              <w:rPr>
                <w:rFonts w:ascii="Verdana" w:hAnsi="Verdana"/>
              </w:rPr>
              <w:t>;</w:t>
            </w:r>
            <w:r w:rsidRPr="00175564">
              <w:rPr>
                <w:rFonts w:ascii="Verdana" w:hAnsi="Verdana"/>
              </w:rPr>
              <w:t xml:space="preserve"> £ amounts and/or the mix of grant/loan may change.</w:t>
            </w:r>
            <w:r w:rsidR="007D7930">
              <w:rPr>
                <w:rFonts w:ascii="Verdana" w:hAnsi="Verdana"/>
              </w:rPr>
              <w:t xml:space="preserve">  </w:t>
            </w:r>
          </w:p>
          <w:p w14:paraId="74B6320D" w14:textId="4A83C0A7" w:rsidR="005E208A" w:rsidRPr="003C34F6" w:rsidRDefault="008942F4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</w:rPr>
            </w:pPr>
            <w:r w:rsidRPr="00175564">
              <w:rPr>
                <w:rFonts w:ascii="Verdana" w:hAnsi="Verdana"/>
              </w:rPr>
              <w:t>Risk of monies not being utilised/goals not being achieved with</w:t>
            </w:r>
            <w:r w:rsidR="00796027">
              <w:rPr>
                <w:rFonts w:ascii="Verdana" w:hAnsi="Verdana"/>
              </w:rPr>
              <w:t>in</w:t>
            </w:r>
            <w:r w:rsidRPr="00175564">
              <w:rPr>
                <w:rFonts w:ascii="Verdana" w:hAnsi="Verdana"/>
              </w:rPr>
              <w:t xml:space="preserve"> reasonable timescale</w:t>
            </w:r>
            <w:r w:rsidR="00796027">
              <w:rPr>
                <w:rFonts w:ascii="Verdana" w:hAnsi="Verdana"/>
              </w:rPr>
              <w:t xml:space="preserve">. </w:t>
            </w:r>
          </w:p>
          <w:p w14:paraId="3B82968B" w14:textId="1BD61E1A" w:rsidR="003C34F6" w:rsidRDefault="003C34F6" w:rsidP="003C34F6">
            <w:pPr>
              <w:pStyle w:val="ListParagraph"/>
              <w:rPr>
                <w:rFonts w:ascii="Verdana" w:hAnsi="Verdana"/>
              </w:rPr>
            </w:pPr>
          </w:p>
          <w:p w14:paraId="004D897D" w14:textId="7C5817A4" w:rsidR="003C34F6" w:rsidRPr="003C34F6" w:rsidRDefault="003C34F6" w:rsidP="003C34F6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Conclusio</w:t>
            </w:r>
            <w:r w:rsidR="002E4614">
              <w:rPr>
                <w:rFonts w:ascii="Verdana" w:hAnsi="Verdana" w:cs="Arial"/>
                <w:b/>
              </w:rPr>
              <w:t>n</w:t>
            </w:r>
            <w:r w:rsidR="00DD365D">
              <w:rPr>
                <w:rFonts w:ascii="Verdana" w:hAnsi="Verdana" w:cs="Arial"/>
                <w:b/>
              </w:rPr>
              <w:t>:</w:t>
            </w:r>
          </w:p>
          <w:p w14:paraId="409ADE19" w14:textId="77777777" w:rsidR="00061DB3" w:rsidRDefault="00061DB3" w:rsidP="009B1CB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061DB3">
              <w:rPr>
                <w:rFonts w:ascii="Verdana" w:hAnsi="Verdana"/>
              </w:rPr>
              <w:t xml:space="preserve">SSLEP is keen to support the scheme </w:t>
            </w:r>
          </w:p>
          <w:p w14:paraId="7EAC5065" w14:textId="14271AC5" w:rsidR="00061DB3" w:rsidRPr="00061DB3" w:rsidRDefault="00061DB3" w:rsidP="009B1CB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</w:t>
            </w:r>
            <w:r w:rsidRPr="00061DB3">
              <w:rPr>
                <w:rFonts w:ascii="Verdana" w:hAnsi="Verdana"/>
              </w:rPr>
              <w:t xml:space="preserve"> is now a different scheme, so a new business case needs to be submitted for appraisal, to include </w:t>
            </w:r>
            <w:r>
              <w:rPr>
                <w:rFonts w:ascii="Verdana" w:hAnsi="Verdana"/>
              </w:rPr>
              <w:t xml:space="preserve">full </w:t>
            </w:r>
            <w:r w:rsidRPr="00061DB3">
              <w:rPr>
                <w:rFonts w:ascii="Verdana" w:hAnsi="Verdana"/>
              </w:rPr>
              <w:t>details</w:t>
            </w:r>
            <w:r>
              <w:rPr>
                <w:rFonts w:ascii="Verdana" w:hAnsi="Verdana"/>
              </w:rPr>
              <w:t>, timescale and costings.</w:t>
            </w:r>
            <w:r w:rsidRPr="00061DB3">
              <w:rPr>
                <w:rFonts w:ascii="Verdana" w:hAnsi="Verdana"/>
              </w:rPr>
              <w:t xml:space="preserve">. </w:t>
            </w:r>
          </w:p>
          <w:p w14:paraId="33952555" w14:textId="3B3AB59C" w:rsidR="00061DB3" w:rsidRPr="00175564" w:rsidRDefault="00061DB3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175564">
              <w:rPr>
                <w:rFonts w:ascii="Verdana" w:hAnsi="Verdana"/>
              </w:rPr>
              <w:t xml:space="preserve">hanges to the legal documentation will be required, or new documentation put in place, so that it relates to the new scheme. </w:t>
            </w:r>
          </w:p>
          <w:p w14:paraId="7BC6046B" w14:textId="77777777" w:rsidR="00061DB3" w:rsidRPr="00175564" w:rsidRDefault="00061DB3" w:rsidP="00061DB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175564">
              <w:rPr>
                <w:rFonts w:ascii="Verdana" w:hAnsi="Verdana"/>
              </w:rPr>
              <w:t xml:space="preserve">Costs of the changes/new paperwork </w:t>
            </w:r>
            <w:r>
              <w:rPr>
                <w:rFonts w:ascii="Verdana" w:hAnsi="Verdana"/>
              </w:rPr>
              <w:t>will need to</w:t>
            </w:r>
            <w:r w:rsidRPr="00175564">
              <w:rPr>
                <w:rFonts w:ascii="Verdana" w:hAnsi="Verdana"/>
              </w:rPr>
              <w:t xml:space="preserve"> be met by </w:t>
            </w:r>
            <w:r>
              <w:rPr>
                <w:rFonts w:ascii="Verdana" w:hAnsi="Verdana"/>
              </w:rPr>
              <w:t>the scheme sponsor.</w:t>
            </w:r>
          </w:p>
          <w:p w14:paraId="7BAD1930" w14:textId="77777777" w:rsidR="005620FD" w:rsidRDefault="005620FD" w:rsidP="00A07C1C">
            <w:pPr>
              <w:rPr>
                <w:rFonts w:ascii="Verdana" w:hAnsi="Verdana" w:cs="Arial"/>
              </w:rPr>
            </w:pPr>
          </w:p>
          <w:p w14:paraId="4D3065F0" w14:textId="2DBE7741" w:rsidR="00A07C1C" w:rsidRDefault="00014D1B" w:rsidP="00A07C1C">
            <w:pPr>
              <w:ind w:left="36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Update</w:t>
            </w:r>
            <w:r w:rsidR="00A07C1C" w:rsidRPr="00A07C1C">
              <w:rPr>
                <w:rFonts w:ascii="Verdana" w:hAnsi="Verdana" w:cs="Arial"/>
                <w:b/>
                <w:bCs/>
              </w:rPr>
              <w:t>:</w:t>
            </w:r>
          </w:p>
          <w:p w14:paraId="1102D9CA" w14:textId="35017400" w:rsidR="00377E00" w:rsidRPr="00594004" w:rsidRDefault="00925DC8" w:rsidP="00377E00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t>A</w:t>
            </w:r>
            <w:r w:rsidR="00594004" w:rsidRPr="00175564">
              <w:rPr>
                <w:rFonts w:ascii="Verdana" w:hAnsi="Verdana"/>
              </w:rPr>
              <w:t xml:space="preserve"> letter was sent to </w:t>
            </w:r>
            <w:r w:rsidR="00594004">
              <w:rPr>
                <w:rFonts w:ascii="Verdana" w:hAnsi="Verdana"/>
              </w:rPr>
              <w:t>the scheme sponsor</w:t>
            </w:r>
            <w:r w:rsidR="00594004" w:rsidRPr="00175564">
              <w:rPr>
                <w:rFonts w:ascii="Verdana" w:hAnsi="Verdana"/>
              </w:rPr>
              <w:t xml:space="preserve"> on Monday 8</w:t>
            </w:r>
            <w:r w:rsidR="00594004" w:rsidRPr="00175564">
              <w:rPr>
                <w:rFonts w:ascii="Verdana" w:hAnsi="Verdana"/>
                <w:vertAlign w:val="superscript"/>
              </w:rPr>
              <w:t>th</w:t>
            </w:r>
            <w:r w:rsidR="00594004" w:rsidRPr="00175564">
              <w:rPr>
                <w:rFonts w:ascii="Verdana" w:hAnsi="Verdana"/>
              </w:rPr>
              <w:t xml:space="preserve"> November, with </w:t>
            </w:r>
            <w:r w:rsidR="00594004">
              <w:rPr>
                <w:rFonts w:ascii="Verdana" w:hAnsi="Verdana"/>
              </w:rPr>
              <w:t xml:space="preserve">a </w:t>
            </w:r>
            <w:r w:rsidR="00594004" w:rsidRPr="00175564">
              <w:rPr>
                <w:rFonts w:ascii="Verdana" w:hAnsi="Verdana"/>
              </w:rPr>
              <w:t xml:space="preserve">request to </w:t>
            </w:r>
            <w:r w:rsidR="009B7B7E">
              <w:rPr>
                <w:rFonts w:ascii="Verdana" w:hAnsi="Verdana"/>
              </w:rPr>
              <w:t>provide a new business case</w:t>
            </w:r>
            <w:r w:rsidR="00594004" w:rsidRPr="00175564">
              <w:rPr>
                <w:rFonts w:ascii="Verdana" w:hAnsi="Verdana"/>
              </w:rPr>
              <w:t xml:space="preserve"> within 2 weeks </w:t>
            </w:r>
            <w:r w:rsidR="00594004" w:rsidRPr="00594004">
              <w:rPr>
                <w:rFonts w:ascii="Verdana" w:hAnsi="Verdana"/>
              </w:rPr>
              <w:t>(deadline Monday 22</w:t>
            </w:r>
            <w:r w:rsidR="00594004" w:rsidRPr="00594004">
              <w:rPr>
                <w:rFonts w:ascii="Verdana" w:hAnsi="Verdana"/>
                <w:vertAlign w:val="superscript"/>
              </w:rPr>
              <w:t>nd</w:t>
            </w:r>
            <w:r w:rsidR="00594004" w:rsidRPr="00594004">
              <w:rPr>
                <w:rFonts w:ascii="Verdana" w:hAnsi="Verdana"/>
              </w:rPr>
              <w:t xml:space="preserve"> November</w:t>
            </w:r>
            <w:r w:rsidR="00594004" w:rsidRPr="00175564">
              <w:rPr>
                <w:rFonts w:ascii="Verdana" w:hAnsi="Verdana"/>
              </w:rPr>
              <w:t xml:space="preserve">). </w:t>
            </w:r>
            <w:r w:rsidR="00515767">
              <w:rPr>
                <w:rFonts w:ascii="Verdana" w:hAnsi="Verdana"/>
              </w:rPr>
              <w:t xml:space="preserve">The </w:t>
            </w:r>
            <w:r w:rsidR="001964DE">
              <w:rPr>
                <w:rFonts w:ascii="Verdana" w:hAnsi="Verdana"/>
              </w:rPr>
              <w:t xml:space="preserve">requirement </w:t>
            </w:r>
            <w:r w:rsidR="00474F98">
              <w:rPr>
                <w:rFonts w:ascii="Verdana" w:hAnsi="Verdana"/>
              </w:rPr>
              <w:t xml:space="preserve">for the sponsor </w:t>
            </w:r>
            <w:r w:rsidR="001964DE">
              <w:rPr>
                <w:rFonts w:ascii="Verdana" w:hAnsi="Verdana"/>
              </w:rPr>
              <w:t xml:space="preserve">to meet any legal </w:t>
            </w:r>
            <w:r w:rsidR="00474F98">
              <w:rPr>
                <w:rFonts w:ascii="Verdana" w:hAnsi="Verdana"/>
              </w:rPr>
              <w:t>costs</w:t>
            </w:r>
            <w:r w:rsidR="001964DE">
              <w:rPr>
                <w:rFonts w:ascii="Verdana" w:hAnsi="Verdana"/>
              </w:rPr>
              <w:t xml:space="preserve"> was noted</w:t>
            </w:r>
            <w:r w:rsidR="00474F98">
              <w:rPr>
                <w:rFonts w:ascii="Verdana" w:hAnsi="Verdana"/>
              </w:rPr>
              <w:t xml:space="preserve"> in the letter</w:t>
            </w:r>
            <w:r w:rsidR="001964DE">
              <w:rPr>
                <w:rFonts w:ascii="Verdana" w:hAnsi="Verdana"/>
              </w:rPr>
              <w:t>.</w:t>
            </w:r>
            <w:r w:rsidR="00594004" w:rsidRPr="00175564">
              <w:rPr>
                <w:rFonts w:ascii="Verdana" w:hAnsi="Verdana"/>
              </w:rPr>
              <w:t xml:space="preserve"> </w:t>
            </w:r>
          </w:p>
        </w:tc>
      </w:tr>
    </w:tbl>
    <w:p w14:paraId="49E08A9C" w14:textId="3813A356" w:rsidR="00FD2200" w:rsidRDefault="00FD220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64C74291" w14:textId="77777777" w:rsidTr="00181AB0">
        <w:tc>
          <w:tcPr>
            <w:tcW w:w="9322" w:type="dxa"/>
          </w:tcPr>
          <w:p w14:paraId="44D9815B" w14:textId="77777777" w:rsidR="002200F0" w:rsidRPr="002200F0" w:rsidRDefault="002200F0" w:rsidP="002200F0">
            <w:pPr>
              <w:pStyle w:val="ListParagraph"/>
              <w:rPr>
                <w:rFonts w:ascii="Arial" w:hAnsi="Arial" w:cs="Arial"/>
              </w:rPr>
            </w:pPr>
          </w:p>
          <w:p w14:paraId="5C65CA8A" w14:textId="6B1724F5" w:rsidR="00810C8B" w:rsidRPr="003C77DC" w:rsidRDefault="00F01482" w:rsidP="00F014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F01482">
              <w:rPr>
                <w:rFonts w:ascii="Verdana" w:hAnsi="Verdana" w:cs="Arial"/>
                <w:b/>
              </w:rPr>
              <w:t>Cornhill Small Business Units</w:t>
            </w:r>
            <w:r w:rsidR="0024533B">
              <w:rPr>
                <w:rFonts w:ascii="Verdana" w:hAnsi="Verdana" w:cs="Arial"/>
                <w:b/>
              </w:rPr>
              <w:t xml:space="preserve"> </w:t>
            </w:r>
            <w:r w:rsidR="0024533B" w:rsidRPr="003C77DC">
              <w:rPr>
                <w:rFonts w:ascii="Verdana" w:hAnsi="Verdana" w:cs="Arial"/>
                <w:bCs/>
              </w:rPr>
              <w:t>(</w:t>
            </w:r>
            <w:r w:rsidR="00C84D55" w:rsidRPr="003C77DC">
              <w:rPr>
                <w:rFonts w:ascii="Verdana" w:hAnsi="Verdana" w:cs="Arial"/>
                <w:bCs/>
              </w:rPr>
              <w:t xml:space="preserve">£291k </w:t>
            </w:r>
            <w:r w:rsidR="007B53CC" w:rsidRPr="003C77DC">
              <w:rPr>
                <w:rFonts w:ascii="Verdana" w:hAnsi="Verdana" w:cs="Arial"/>
                <w:bCs/>
              </w:rPr>
              <w:t>GBF grant</w:t>
            </w:r>
            <w:r w:rsidR="00C84D55" w:rsidRPr="003C77DC">
              <w:rPr>
                <w:rFonts w:ascii="Verdana" w:hAnsi="Verdana" w:cs="Arial"/>
                <w:bCs/>
              </w:rPr>
              <w:t>,</w:t>
            </w:r>
            <w:r w:rsidR="00A82036" w:rsidRPr="003C77DC">
              <w:rPr>
                <w:rFonts w:ascii="Verdana" w:hAnsi="Verdana" w:cs="Arial"/>
                <w:bCs/>
              </w:rPr>
              <w:t xml:space="preserve"> £284k SSLEP</w:t>
            </w:r>
            <w:r w:rsidR="003C77DC" w:rsidRPr="003C77DC">
              <w:rPr>
                <w:rFonts w:ascii="Verdana" w:hAnsi="Verdana" w:cs="Arial"/>
                <w:bCs/>
              </w:rPr>
              <w:t xml:space="preserve"> funding from reserves)</w:t>
            </w:r>
          </w:p>
          <w:p w14:paraId="15354D97" w14:textId="77777777" w:rsidR="00925DC8" w:rsidRPr="00F45E9E" w:rsidRDefault="00925DC8" w:rsidP="00925DC8">
            <w:pPr>
              <w:pStyle w:val="ListParagraph"/>
              <w:rPr>
                <w:rFonts w:ascii="Arial" w:hAnsi="Arial" w:cs="Arial"/>
              </w:rPr>
            </w:pPr>
          </w:p>
          <w:p w14:paraId="2E7589F3" w14:textId="58EF36A7" w:rsidR="00064DAB" w:rsidRPr="008943B0" w:rsidRDefault="00064DAB" w:rsidP="008943B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943B0">
              <w:rPr>
                <w:rFonts w:ascii="Verdana" w:hAnsi="Verdana"/>
              </w:rPr>
              <w:t xml:space="preserve">Contracting has been delayed </w:t>
            </w:r>
            <w:r w:rsidR="00D44B98" w:rsidRPr="008943B0">
              <w:rPr>
                <w:rFonts w:ascii="Verdana" w:hAnsi="Verdana"/>
              </w:rPr>
              <w:t xml:space="preserve">due to uncertainties around the ability of the project to </w:t>
            </w:r>
            <w:r w:rsidR="00260C51" w:rsidRPr="008943B0">
              <w:rPr>
                <w:rFonts w:ascii="Verdana" w:hAnsi="Verdana"/>
              </w:rPr>
              <w:t xml:space="preserve">complete GBF spend </w:t>
            </w:r>
            <w:r w:rsidR="002200F0" w:rsidRPr="008943B0">
              <w:rPr>
                <w:rFonts w:ascii="Verdana" w:hAnsi="Verdana"/>
              </w:rPr>
              <w:t xml:space="preserve">or </w:t>
            </w:r>
            <w:r w:rsidR="00260C51" w:rsidRPr="008943B0">
              <w:rPr>
                <w:rFonts w:ascii="Verdana" w:hAnsi="Verdana"/>
              </w:rPr>
              <w:t>deliver within the GBF timescales</w:t>
            </w:r>
          </w:p>
          <w:p w14:paraId="16335785" w14:textId="55F0CA4C" w:rsidR="00F45E9E" w:rsidRPr="008943B0" w:rsidRDefault="009F3E23" w:rsidP="008943B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943B0">
              <w:rPr>
                <w:rFonts w:ascii="Verdana" w:hAnsi="Verdana"/>
              </w:rPr>
              <w:t xml:space="preserve">SSLEP CEO met with SMDC on </w:t>
            </w:r>
            <w:r w:rsidR="00064DAB" w:rsidRPr="008943B0">
              <w:rPr>
                <w:rFonts w:ascii="Verdana" w:hAnsi="Verdana"/>
              </w:rPr>
              <w:t>02/11/2021.</w:t>
            </w:r>
          </w:p>
          <w:p w14:paraId="118DB122" w14:textId="6C2DC68A" w:rsidR="00FD4C14" w:rsidRPr="008943B0" w:rsidRDefault="00FD4C14" w:rsidP="008943B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943B0">
              <w:rPr>
                <w:rFonts w:ascii="Verdana" w:hAnsi="Verdana"/>
              </w:rPr>
              <w:t xml:space="preserve">The integrity of the scheme has not </w:t>
            </w:r>
            <w:r w:rsidR="00210798" w:rsidRPr="008943B0">
              <w:rPr>
                <w:rFonts w:ascii="Verdana" w:hAnsi="Verdana"/>
              </w:rPr>
              <w:t>changed but timescales have.</w:t>
            </w:r>
          </w:p>
          <w:p w14:paraId="33267D9E" w14:textId="167B6F02" w:rsidR="00210798" w:rsidRPr="008943B0" w:rsidRDefault="00210798" w:rsidP="008943B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943B0">
              <w:rPr>
                <w:rFonts w:ascii="Verdana" w:hAnsi="Verdana"/>
              </w:rPr>
              <w:t>SSLEP is keen to support this project to progress and find a solution</w:t>
            </w:r>
            <w:r w:rsidR="00CC7010" w:rsidRPr="008943B0">
              <w:rPr>
                <w:rFonts w:ascii="Verdana" w:hAnsi="Verdana"/>
              </w:rPr>
              <w:t xml:space="preserve"> – other </w:t>
            </w:r>
            <w:r w:rsidR="002200F0" w:rsidRPr="008943B0">
              <w:rPr>
                <w:rFonts w:ascii="Verdana" w:hAnsi="Verdana"/>
              </w:rPr>
              <w:t>approaches to</w:t>
            </w:r>
            <w:r w:rsidR="00CC7010" w:rsidRPr="008943B0">
              <w:rPr>
                <w:rFonts w:ascii="Verdana" w:hAnsi="Verdana"/>
              </w:rPr>
              <w:t xml:space="preserve"> defrayment may be </w:t>
            </w:r>
            <w:r w:rsidR="002200F0" w:rsidRPr="008943B0">
              <w:rPr>
                <w:rFonts w:ascii="Verdana" w:hAnsi="Verdana"/>
              </w:rPr>
              <w:t>considered</w:t>
            </w:r>
            <w:r w:rsidR="00C62053" w:rsidRPr="008943B0">
              <w:rPr>
                <w:rFonts w:ascii="Verdana" w:hAnsi="Verdana"/>
              </w:rPr>
              <w:t>.</w:t>
            </w:r>
          </w:p>
          <w:p w14:paraId="185E5B56" w14:textId="5B46E33D" w:rsidR="00781A00" w:rsidRPr="008943B0" w:rsidRDefault="00781A00" w:rsidP="008943B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943B0">
              <w:rPr>
                <w:rFonts w:ascii="Verdana" w:hAnsi="Verdana"/>
              </w:rPr>
              <w:t xml:space="preserve">As </w:t>
            </w:r>
            <w:r w:rsidR="00BB1ED6" w:rsidRPr="008943B0">
              <w:rPr>
                <w:rFonts w:ascii="Verdana" w:hAnsi="Verdana"/>
              </w:rPr>
              <w:t xml:space="preserve">funding for the 4 contingency schemes is half and half GBF grant and </w:t>
            </w:r>
            <w:r w:rsidR="000336E6" w:rsidRPr="008943B0">
              <w:rPr>
                <w:rFonts w:ascii="Verdana" w:hAnsi="Verdana"/>
              </w:rPr>
              <w:t>SSLEP funding from reserves, there is also potential to switch GBF and SSLEP fund</w:t>
            </w:r>
            <w:r w:rsidR="009F5B8E" w:rsidRPr="008943B0">
              <w:rPr>
                <w:rFonts w:ascii="Verdana" w:hAnsi="Verdana"/>
              </w:rPr>
              <w:t>ing ratios</w:t>
            </w:r>
            <w:r w:rsidR="000336E6" w:rsidRPr="008943B0">
              <w:rPr>
                <w:rFonts w:ascii="Verdana" w:hAnsi="Verdana"/>
              </w:rPr>
              <w:t xml:space="preserve"> across the schemes to ensure GBF spend deadlines are met </w:t>
            </w:r>
            <w:r w:rsidR="008943B0" w:rsidRPr="008943B0">
              <w:rPr>
                <w:rFonts w:ascii="Verdana" w:hAnsi="Verdana"/>
              </w:rPr>
              <w:t xml:space="preserve">and all contingency </w:t>
            </w:r>
            <w:r w:rsidR="004E16A0" w:rsidRPr="008943B0">
              <w:rPr>
                <w:rFonts w:ascii="Verdana" w:hAnsi="Verdana"/>
              </w:rPr>
              <w:t xml:space="preserve">projects are </w:t>
            </w:r>
            <w:r w:rsidR="008943B0" w:rsidRPr="008943B0">
              <w:rPr>
                <w:rFonts w:ascii="Verdana" w:hAnsi="Verdana"/>
              </w:rPr>
              <w:t>enabled to progress</w:t>
            </w:r>
            <w:r w:rsidR="004E16A0" w:rsidRPr="008943B0">
              <w:rPr>
                <w:rFonts w:ascii="Verdana" w:hAnsi="Verdana"/>
              </w:rPr>
              <w:t>.</w:t>
            </w:r>
          </w:p>
          <w:p w14:paraId="011CB27E" w14:textId="13219951" w:rsidR="00F01482" w:rsidRPr="008943B0" w:rsidRDefault="00621D7A" w:rsidP="008943B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943B0">
              <w:rPr>
                <w:rFonts w:ascii="Verdana" w:hAnsi="Verdana"/>
              </w:rPr>
              <w:t xml:space="preserve">SMDC is currently </w:t>
            </w:r>
            <w:r w:rsidR="009E6459" w:rsidRPr="008943B0">
              <w:rPr>
                <w:rFonts w:ascii="Verdana" w:hAnsi="Verdana"/>
              </w:rPr>
              <w:t>reviewing timescale and will come back the SSLEP shortly with a revised realistic timescale</w:t>
            </w:r>
            <w:r w:rsidR="00CC7010" w:rsidRPr="008943B0">
              <w:rPr>
                <w:rFonts w:ascii="Verdana" w:hAnsi="Verdana"/>
              </w:rPr>
              <w:t xml:space="preserve">, which will then be reviewed </w:t>
            </w:r>
            <w:r w:rsidR="00AA28DA" w:rsidRPr="008943B0">
              <w:rPr>
                <w:rFonts w:ascii="Verdana" w:hAnsi="Verdana"/>
              </w:rPr>
              <w:t xml:space="preserve">and considered </w:t>
            </w:r>
            <w:r w:rsidR="00CC7010" w:rsidRPr="008943B0">
              <w:rPr>
                <w:rFonts w:ascii="Verdana" w:hAnsi="Verdana"/>
              </w:rPr>
              <w:t xml:space="preserve">by the </w:t>
            </w:r>
            <w:r w:rsidR="00AA28DA" w:rsidRPr="008943B0">
              <w:rPr>
                <w:rFonts w:ascii="Verdana" w:hAnsi="Verdana"/>
              </w:rPr>
              <w:t>sub</w:t>
            </w:r>
            <w:r w:rsidR="00CC7010" w:rsidRPr="008943B0">
              <w:rPr>
                <w:rFonts w:ascii="Verdana" w:hAnsi="Verdana"/>
              </w:rPr>
              <w:t>-group with Dele</w:t>
            </w:r>
            <w:r w:rsidR="00AA28DA" w:rsidRPr="008943B0">
              <w:rPr>
                <w:rFonts w:ascii="Verdana" w:hAnsi="Verdana"/>
              </w:rPr>
              <w:t>g</w:t>
            </w:r>
            <w:r w:rsidR="00CC7010" w:rsidRPr="008943B0">
              <w:rPr>
                <w:rFonts w:ascii="Verdana" w:hAnsi="Verdana"/>
              </w:rPr>
              <w:t xml:space="preserve">ated </w:t>
            </w:r>
            <w:r w:rsidR="00AA28DA" w:rsidRPr="008943B0">
              <w:rPr>
                <w:rFonts w:ascii="Verdana" w:hAnsi="Verdana"/>
              </w:rPr>
              <w:t>A</w:t>
            </w:r>
            <w:r w:rsidR="00CC7010" w:rsidRPr="008943B0">
              <w:rPr>
                <w:rFonts w:ascii="Verdana" w:hAnsi="Verdana"/>
              </w:rPr>
              <w:t>uthority</w:t>
            </w:r>
            <w:r w:rsidR="00AA28DA" w:rsidRPr="008943B0">
              <w:rPr>
                <w:rFonts w:ascii="Verdana" w:hAnsi="Verdana"/>
              </w:rPr>
              <w:t>.</w:t>
            </w:r>
          </w:p>
          <w:p w14:paraId="68A032BC" w14:textId="1DF5FDF7" w:rsidR="00F01482" w:rsidRPr="00F01482" w:rsidRDefault="00F01482" w:rsidP="00F01482">
            <w:pPr>
              <w:rPr>
                <w:rFonts w:ascii="Arial" w:hAnsi="Arial" w:cs="Arial"/>
              </w:rPr>
            </w:pPr>
          </w:p>
        </w:tc>
      </w:tr>
    </w:tbl>
    <w:p w14:paraId="37CF05CA" w14:textId="77777777" w:rsidR="00AB5641" w:rsidRDefault="00AB5641">
      <w:pPr>
        <w:rPr>
          <w:rFonts w:ascii="Arial" w:hAnsi="Arial" w:cs="Arial"/>
          <w:b/>
          <w:bCs/>
        </w:rPr>
      </w:pPr>
    </w:p>
    <w:p w14:paraId="5F820161" w14:textId="74DC0594" w:rsidR="00272283" w:rsidRPr="002A780D" w:rsidRDefault="0027228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Decisions </w:t>
      </w:r>
      <w:r w:rsidRPr="00644CE2">
        <w:rPr>
          <w:rFonts w:ascii="Arial" w:hAnsi="Arial" w:cs="Arial"/>
          <w:b/>
          <w:bCs/>
        </w:rPr>
        <w:t>and/or Reco</w:t>
      </w:r>
      <w:r w:rsidR="00181AB0" w:rsidRPr="00644CE2">
        <w:rPr>
          <w:rFonts w:ascii="Arial" w:hAnsi="Arial" w:cs="Arial"/>
          <w:b/>
          <w:bCs/>
        </w:rPr>
        <w:t>m</w:t>
      </w:r>
      <w:r w:rsidRPr="00644CE2">
        <w:rPr>
          <w:rFonts w:ascii="Arial" w:hAnsi="Arial" w:cs="Arial"/>
          <w:b/>
          <w:bCs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7D5B019C" w14:textId="77777777" w:rsidTr="00181AB0">
        <w:tc>
          <w:tcPr>
            <w:tcW w:w="9322" w:type="dxa"/>
          </w:tcPr>
          <w:p w14:paraId="56B7B2E8" w14:textId="15116488" w:rsidR="007E50B8" w:rsidRPr="007E50B8" w:rsidRDefault="00CF164B" w:rsidP="00CF16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F46BE">
              <w:rPr>
                <w:rFonts w:ascii="Verdana" w:hAnsi="Verdana"/>
                <w:b/>
                <w:bCs/>
              </w:rPr>
              <w:t>Blythe Park</w:t>
            </w:r>
            <w:r>
              <w:rPr>
                <w:rFonts w:ascii="Verdana" w:hAnsi="Verdana"/>
              </w:rPr>
              <w:t>.  There are</w:t>
            </w:r>
            <w:r w:rsidR="00904693">
              <w:rPr>
                <w:rFonts w:ascii="Verdana" w:hAnsi="Verdana"/>
              </w:rPr>
              <w:t xml:space="preserve"> </w:t>
            </w:r>
            <w:r w:rsidR="00904693" w:rsidRPr="00012F80">
              <w:rPr>
                <w:rFonts w:ascii="Verdana" w:hAnsi="Verdana"/>
                <w:b/>
                <w:bCs/>
              </w:rPr>
              <w:t>no decisions</w:t>
            </w:r>
            <w:r w:rsidR="00904693">
              <w:rPr>
                <w:rFonts w:ascii="Verdana" w:hAnsi="Verdana"/>
              </w:rPr>
              <w:t xml:space="preserve"> regarding the Delegated Sub-grou</w:t>
            </w:r>
            <w:r w:rsidR="001F46BE">
              <w:rPr>
                <w:rFonts w:ascii="Verdana" w:hAnsi="Verdana"/>
              </w:rPr>
              <w:t xml:space="preserve">p’s update but it should be noted that </w:t>
            </w:r>
            <w:r w:rsidR="007E50B8">
              <w:rPr>
                <w:rFonts w:ascii="Verdana" w:hAnsi="Verdana"/>
              </w:rPr>
              <w:t>another agenda item</w:t>
            </w:r>
            <w:r w:rsidR="002121A8">
              <w:rPr>
                <w:rFonts w:ascii="Verdana" w:hAnsi="Verdana"/>
              </w:rPr>
              <w:t xml:space="preserve">, where a decision is required, </w:t>
            </w:r>
            <w:r w:rsidR="0068627C">
              <w:rPr>
                <w:rFonts w:ascii="Verdana" w:hAnsi="Verdana"/>
              </w:rPr>
              <w:t>links</w:t>
            </w:r>
            <w:r w:rsidR="002E26F7">
              <w:rPr>
                <w:rFonts w:ascii="Verdana" w:hAnsi="Verdana"/>
              </w:rPr>
              <w:t xml:space="preserve"> to this scheme as </w:t>
            </w:r>
            <w:r w:rsidR="0068627C">
              <w:rPr>
                <w:rFonts w:ascii="Verdana" w:hAnsi="Verdana"/>
              </w:rPr>
              <w:t xml:space="preserve">it is </w:t>
            </w:r>
            <w:r w:rsidR="00723C67">
              <w:rPr>
                <w:rFonts w:ascii="Verdana" w:hAnsi="Verdana"/>
              </w:rPr>
              <w:t xml:space="preserve">currently </w:t>
            </w:r>
            <w:r w:rsidR="0068627C">
              <w:rPr>
                <w:rFonts w:ascii="Verdana" w:hAnsi="Verdana"/>
              </w:rPr>
              <w:t xml:space="preserve">part-funded by </w:t>
            </w:r>
            <w:r w:rsidR="00723C67">
              <w:rPr>
                <w:rFonts w:ascii="Verdana" w:hAnsi="Verdana"/>
              </w:rPr>
              <w:t xml:space="preserve">a </w:t>
            </w:r>
            <w:r w:rsidR="0068627C">
              <w:rPr>
                <w:rFonts w:ascii="Verdana" w:hAnsi="Verdana"/>
              </w:rPr>
              <w:t>GPF loan</w:t>
            </w:r>
            <w:r w:rsidR="00C4484A">
              <w:rPr>
                <w:rFonts w:ascii="Verdana" w:hAnsi="Verdana"/>
              </w:rPr>
              <w:t>, under a Parent Company Guarantee</w:t>
            </w:r>
            <w:r w:rsidR="007E50B8">
              <w:rPr>
                <w:rFonts w:ascii="Verdana" w:hAnsi="Verdana"/>
              </w:rPr>
              <w:t>:</w:t>
            </w:r>
          </w:p>
          <w:p w14:paraId="49FF1727" w14:textId="77777777" w:rsidR="007A3C21" w:rsidRPr="00536C10" w:rsidRDefault="007E50B8" w:rsidP="007E50B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68627C">
              <w:rPr>
                <w:rFonts w:ascii="Verdana" w:hAnsi="Verdana"/>
                <w:b/>
                <w:bCs/>
              </w:rPr>
              <w:t>Agenda item 10 (appendix 1), the Growing Places Fund securities paper</w:t>
            </w:r>
            <w:r w:rsidR="00584C12" w:rsidRPr="00CF164B">
              <w:rPr>
                <w:rFonts w:ascii="Verdana" w:hAnsi="Verdana"/>
              </w:rPr>
              <w:t xml:space="preserve">  </w:t>
            </w:r>
          </w:p>
          <w:p w14:paraId="40FE7854" w14:textId="7BE98E25" w:rsidR="00536C10" w:rsidRPr="00CF164B" w:rsidRDefault="00536C10" w:rsidP="00536C10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</w:tbl>
    <w:p w14:paraId="4157D631" w14:textId="77777777" w:rsidR="00394DCB" w:rsidRDefault="00394DCB" w:rsidP="00394DCB">
      <w:pPr>
        <w:spacing w:after="120"/>
        <w:rPr>
          <w:rFonts w:ascii="Arial" w:hAnsi="Arial" w:cs="Arial"/>
        </w:rPr>
      </w:pPr>
    </w:p>
    <w:sectPr w:rsidR="00394DCB" w:rsidSect="002E4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55F9" w14:textId="77777777" w:rsidR="00215E1E" w:rsidRDefault="00215E1E" w:rsidP="002E410C">
      <w:pPr>
        <w:spacing w:after="0" w:line="240" w:lineRule="auto"/>
      </w:pPr>
      <w:r>
        <w:separator/>
      </w:r>
    </w:p>
  </w:endnote>
  <w:endnote w:type="continuationSeparator" w:id="0">
    <w:p w14:paraId="57FA368E" w14:textId="77777777" w:rsidR="00215E1E" w:rsidRDefault="00215E1E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97C5" w14:textId="77777777" w:rsidR="007836AB" w:rsidRDefault="00783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8095" w14:textId="77777777" w:rsidR="007836AB" w:rsidRDefault="00783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A8D2" w14:textId="77777777" w:rsidR="007836AB" w:rsidRDefault="0078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FA98" w14:textId="77777777" w:rsidR="00215E1E" w:rsidRDefault="00215E1E" w:rsidP="002E410C">
      <w:pPr>
        <w:spacing w:after="0" w:line="240" w:lineRule="auto"/>
      </w:pPr>
      <w:r>
        <w:separator/>
      </w:r>
    </w:p>
  </w:footnote>
  <w:footnote w:type="continuationSeparator" w:id="0">
    <w:p w14:paraId="6C678339" w14:textId="77777777" w:rsidR="00215E1E" w:rsidRDefault="00215E1E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6F58" w14:textId="77777777" w:rsidR="007836AB" w:rsidRDefault="00783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235A" w14:textId="24BF9EE6" w:rsidR="007836AB" w:rsidRDefault="007836AB" w:rsidP="002E410C">
    <w:pPr>
      <w:pStyle w:val="Header"/>
      <w:jc w:val="right"/>
    </w:pPr>
    <w:r>
      <w:t xml:space="preserve">Agenda Item </w:t>
    </w:r>
    <w:r>
      <w:t>9</w:t>
    </w:r>
  </w:p>
  <w:p w14:paraId="33D0080A" w14:textId="77777777" w:rsidR="007836AB" w:rsidRDefault="007836AB" w:rsidP="002E410C">
    <w:pPr>
      <w:pStyle w:val="Header"/>
      <w:jc w:val="right"/>
    </w:pPr>
  </w:p>
  <w:p w14:paraId="4C5F356A" w14:textId="77777777" w:rsidR="007836AB" w:rsidRDefault="007836AB" w:rsidP="002E410C">
    <w:pPr>
      <w:pStyle w:val="Header"/>
      <w:jc w:val="right"/>
    </w:pPr>
  </w:p>
  <w:p w14:paraId="165D8141" w14:textId="4ED13EB3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6EBA6618">
              <wp:simplePos x="0" y="0"/>
              <wp:positionH relativeFrom="column">
                <wp:posOffset>-100964</wp:posOffset>
              </wp:positionH>
              <wp:positionV relativeFrom="paragraph">
                <wp:posOffset>83185</wp:posOffset>
              </wp:positionV>
              <wp:extent cx="3200400" cy="46582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51D7A9A8" w:rsidR="002E410C" w:rsidRPr="002E410C" w:rsidRDefault="002E410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95pt;margin-top:6.55pt;width:252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" fillcolor="white [3201]" stroked="f" strokeweight=".5pt">
              <v:textbox>
                <w:txbxContent>
                  <w:p w14:paraId="3B11CF78" w14:textId="51D7A9A8" w:rsidR="002E410C" w:rsidRPr="002E410C" w:rsidRDefault="002E410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E410C">
                      <w:rPr>
                        <w:rFonts w:ascii="Arial" w:hAnsi="Arial" w:cs="Arial"/>
                        <w:sz w:val="40"/>
                        <w:szCs w:val="40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501B" w14:textId="77777777" w:rsidR="007836AB" w:rsidRDefault="0078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224"/>
    <w:multiLevelType w:val="hybridMultilevel"/>
    <w:tmpl w:val="C1DA6F36"/>
    <w:lvl w:ilvl="0" w:tplc="E97240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564BD0"/>
    <w:multiLevelType w:val="hybridMultilevel"/>
    <w:tmpl w:val="1B9A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1EC"/>
    <w:multiLevelType w:val="hybridMultilevel"/>
    <w:tmpl w:val="00AAD9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84602"/>
    <w:multiLevelType w:val="hybridMultilevel"/>
    <w:tmpl w:val="EE6A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415"/>
    <w:multiLevelType w:val="hybridMultilevel"/>
    <w:tmpl w:val="17765896"/>
    <w:lvl w:ilvl="0" w:tplc="F9B8A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2C50"/>
    <w:multiLevelType w:val="hybridMultilevel"/>
    <w:tmpl w:val="87FA0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BD7752"/>
    <w:multiLevelType w:val="hybridMultilevel"/>
    <w:tmpl w:val="D392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42B2"/>
    <w:multiLevelType w:val="hybridMultilevel"/>
    <w:tmpl w:val="DFF4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A1144"/>
    <w:multiLevelType w:val="hybridMultilevel"/>
    <w:tmpl w:val="FEBA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A3B"/>
    <w:multiLevelType w:val="hybridMultilevel"/>
    <w:tmpl w:val="D0AA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25F0"/>
    <w:multiLevelType w:val="hybridMultilevel"/>
    <w:tmpl w:val="A98E58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F745C"/>
    <w:multiLevelType w:val="hybridMultilevel"/>
    <w:tmpl w:val="EE024E9E"/>
    <w:lvl w:ilvl="0" w:tplc="50E24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8EC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53EDF"/>
    <w:multiLevelType w:val="hybridMultilevel"/>
    <w:tmpl w:val="25E076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0101A"/>
    <w:rsid w:val="00012F80"/>
    <w:rsid w:val="00014D1B"/>
    <w:rsid w:val="00014D3C"/>
    <w:rsid w:val="00016826"/>
    <w:rsid w:val="00017433"/>
    <w:rsid w:val="00021501"/>
    <w:rsid w:val="00027917"/>
    <w:rsid w:val="000336E6"/>
    <w:rsid w:val="00040C19"/>
    <w:rsid w:val="00061DB3"/>
    <w:rsid w:val="00063D4A"/>
    <w:rsid w:val="000641F0"/>
    <w:rsid w:val="00064DAB"/>
    <w:rsid w:val="000673DF"/>
    <w:rsid w:val="00083C93"/>
    <w:rsid w:val="00097B75"/>
    <w:rsid w:val="000D1FC6"/>
    <w:rsid w:val="000D6BC8"/>
    <w:rsid w:val="000E4DA8"/>
    <w:rsid w:val="000F49F8"/>
    <w:rsid w:val="0011751E"/>
    <w:rsid w:val="00137D49"/>
    <w:rsid w:val="00145FAF"/>
    <w:rsid w:val="001477B0"/>
    <w:rsid w:val="00155F1D"/>
    <w:rsid w:val="00157ECE"/>
    <w:rsid w:val="00163127"/>
    <w:rsid w:val="00172DA6"/>
    <w:rsid w:val="00175F13"/>
    <w:rsid w:val="00176678"/>
    <w:rsid w:val="00181AB0"/>
    <w:rsid w:val="00192076"/>
    <w:rsid w:val="0019379B"/>
    <w:rsid w:val="00194DFD"/>
    <w:rsid w:val="001964DE"/>
    <w:rsid w:val="001A5981"/>
    <w:rsid w:val="001A6CAB"/>
    <w:rsid w:val="001C5047"/>
    <w:rsid w:val="001F1041"/>
    <w:rsid w:val="001F10FB"/>
    <w:rsid w:val="001F1817"/>
    <w:rsid w:val="001F4345"/>
    <w:rsid w:val="001F46BE"/>
    <w:rsid w:val="00201CD4"/>
    <w:rsid w:val="00201F1A"/>
    <w:rsid w:val="00210798"/>
    <w:rsid w:val="002121A8"/>
    <w:rsid w:val="00215E1E"/>
    <w:rsid w:val="002200F0"/>
    <w:rsid w:val="002428FC"/>
    <w:rsid w:val="0024533B"/>
    <w:rsid w:val="00253145"/>
    <w:rsid w:val="00254DDF"/>
    <w:rsid w:val="00260C51"/>
    <w:rsid w:val="0026724C"/>
    <w:rsid w:val="00272283"/>
    <w:rsid w:val="00272A7B"/>
    <w:rsid w:val="002767D9"/>
    <w:rsid w:val="002927E5"/>
    <w:rsid w:val="00297AE2"/>
    <w:rsid w:val="00297CFE"/>
    <w:rsid w:val="002A780D"/>
    <w:rsid w:val="002C2891"/>
    <w:rsid w:val="002E26F7"/>
    <w:rsid w:val="002E410C"/>
    <w:rsid w:val="002E4614"/>
    <w:rsid w:val="002F0443"/>
    <w:rsid w:val="00313E4F"/>
    <w:rsid w:val="00323A74"/>
    <w:rsid w:val="0032418E"/>
    <w:rsid w:val="00333F6E"/>
    <w:rsid w:val="00340D78"/>
    <w:rsid w:val="00342D96"/>
    <w:rsid w:val="00343308"/>
    <w:rsid w:val="00367438"/>
    <w:rsid w:val="00376101"/>
    <w:rsid w:val="00377E00"/>
    <w:rsid w:val="00394DCB"/>
    <w:rsid w:val="003A18F6"/>
    <w:rsid w:val="003A7BBF"/>
    <w:rsid w:val="003B14B9"/>
    <w:rsid w:val="003C34F6"/>
    <w:rsid w:val="003C77DC"/>
    <w:rsid w:val="003D11A7"/>
    <w:rsid w:val="003F66E1"/>
    <w:rsid w:val="004444F6"/>
    <w:rsid w:val="00455A4D"/>
    <w:rsid w:val="00456689"/>
    <w:rsid w:val="004705B6"/>
    <w:rsid w:val="00474F98"/>
    <w:rsid w:val="004A1D8B"/>
    <w:rsid w:val="004B3670"/>
    <w:rsid w:val="004C3D61"/>
    <w:rsid w:val="004D6F15"/>
    <w:rsid w:val="004E16A0"/>
    <w:rsid w:val="004F6414"/>
    <w:rsid w:val="00506C00"/>
    <w:rsid w:val="005126EF"/>
    <w:rsid w:val="00515767"/>
    <w:rsid w:val="00532869"/>
    <w:rsid w:val="00533394"/>
    <w:rsid w:val="00536140"/>
    <w:rsid w:val="00536C10"/>
    <w:rsid w:val="005423CB"/>
    <w:rsid w:val="00544627"/>
    <w:rsid w:val="00551F8C"/>
    <w:rsid w:val="00554312"/>
    <w:rsid w:val="00560764"/>
    <w:rsid w:val="005620FD"/>
    <w:rsid w:val="005678E8"/>
    <w:rsid w:val="005766B1"/>
    <w:rsid w:val="00584C12"/>
    <w:rsid w:val="00591445"/>
    <w:rsid w:val="00594004"/>
    <w:rsid w:val="00596194"/>
    <w:rsid w:val="005B09AD"/>
    <w:rsid w:val="005C79CB"/>
    <w:rsid w:val="005E208A"/>
    <w:rsid w:val="005E250E"/>
    <w:rsid w:val="0060066F"/>
    <w:rsid w:val="006012BA"/>
    <w:rsid w:val="00602CAA"/>
    <w:rsid w:val="0060642B"/>
    <w:rsid w:val="00617C44"/>
    <w:rsid w:val="00621D7A"/>
    <w:rsid w:val="00633F4E"/>
    <w:rsid w:val="00641DE0"/>
    <w:rsid w:val="00644CE2"/>
    <w:rsid w:val="00654606"/>
    <w:rsid w:val="00663409"/>
    <w:rsid w:val="006668FE"/>
    <w:rsid w:val="006735A8"/>
    <w:rsid w:val="0067628A"/>
    <w:rsid w:val="0068627C"/>
    <w:rsid w:val="006914E0"/>
    <w:rsid w:val="006A2BDE"/>
    <w:rsid w:val="006B0235"/>
    <w:rsid w:val="006C6E01"/>
    <w:rsid w:val="006E1FBF"/>
    <w:rsid w:val="006F735A"/>
    <w:rsid w:val="00706817"/>
    <w:rsid w:val="00723C67"/>
    <w:rsid w:val="00762840"/>
    <w:rsid w:val="00766CD9"/>
    <w:rsid w:val="00780729"/>
    <w:rsid w:val="00781A00"/>
    <w:rsid w:val="0078323A"/>
    <w:rsid w:val="007836AB"/>
    <w:rsid w:val="00783766"/>
    <w:rsid w:val="00790091"/>
    <w:rsid w:val="00793467"/>
    <w:rsid w:val="00795C51"/>
    <w:rsid w:val="00796027"/>
    <w:rsid w:val="007A3C21"/>
    <w:rsid w:val="007B0691"/>
    <w:rsid w:val="007B53CC"/>
    <w:rsid w:val="007D2C66"/>
    <w:rsid w:val="007D7930"/>
    <w:rsid w:val="007E2604"/>
    <w:rsid w:val="007E50B8"/>
    <w:rsid w:val="007E6B59"/>
    <w:rsid w:val="007F0F08"/>
    <w:rsid w:val="00803FB0"/>
    <w:rsid w:val="00810C8B"/>
    <w:rsid w:val="00844B73"/>
    <w:rsid w:val="008802C9"/>
    <w:rsid w:val="00891356"/>
    <w:rsid w:val="008942F4"/>
    <w:rsid w:val="008943B0"/>
    <w:rsid w:val="008B6D21"/>
    <w:rsid w:val="008B7CB5"/>
    <w:rsid w:val="008C4D7D"/>
    <w:rsid w:val="008D2D60"/>
    <w:rsid w:val="008D66E3"/>
    <w:rsid w:val="008D7320"/>
    <w:rsid w:val="008E179D"/>
    <w:rsid w:val="008E2A13"/>
    <w:rsid w:val="008F1871"/>
    <w:rsid w:val="00904693"/>
    <w:rsid w:val="009119E7"/>
    <w:rsid w:val="00920422"/>
    <w:rsid w:val="00925924"/>
    <w:rsid w:val="00925DC8"/>
    <w:rsid w:val="00946D2A"/>
    <w:rsid w:val="00956DFA"/>
    <w:rsid w:val="0098385D"/>
    <w:rsid w:val="009947DA"/>
    <w:rsid w:val="009973D3"/>
    <w:rsid w:val="009974EB"/>
    <w:rsid w:val="009A27C5"/>
    <w:rsid w:val="009B21BF"/>
    <w:rsid w:val="009B3C27"/>
    <w:rsid w:val="009B5A98"/>
    <w:rsid w:val="009B7B7E"/>
    <w:rsid w:val="009C46EE"/>
    <w:rsid w:val="009C71FB"/>
    <w:rsid w:val="009D7314"/>
    <w:rsid w:val="009D74E5"/>
    <w:rsid w:val="009E6459"/>
    <w:rsid w:val="009F05AB"/>
    <w:rsid w:val="009F36EA"/>
    <w:rsid w:val="009F3E23"/>
    <w:rsid w:val="009F5B8E"/>
    <w:rsid w:val="009F73E8"/>
    <w:rsid w:val="00A00517"/>
    <w:rsid w:val="00A07C1C"/>
    <w:rsid w:val="00A30429"/>
    <w:rsid w:val="00A33610"/>
    <w:rsid w:val="00A34299"/>
    <w:rsid w:val="00A44A54"/>
    <w:rsid w:val="00A471AC"/>
    <w:rsid w:val="00A66E97"/>
    <w:rsid w:val="00A82036"/>
    <w:rsid w:val="00A83D37"/>
    <w:rsid w:val="00A9312A"/>
    <w:rsid w:val="00A96AD0"/>
    <w:rsid w:val="00AA15A5"/>
    <w:rsid w:val="00AA28DA"/>
    <w:rsid w:val="00AB5641"/>
    <w:rsid w:val="00AC423B"/>
    <w:rsid w:val="00AE5552"/>
    <w:rsid w:val="00B111B0"/>
    <w:rsid w:val="00B159AB"/>
    <w:rsid w:val="00B17929"/>
    <w:rsid w:val="00B21C9C"/>
    <w:rsid w:val="00B27BC6"/>
    <w:rsid w:val="00B34AFE"/>
    <w:rsid w:val="00B42F2B"/>
    <w:rsid w:val="00B505EF"/>
    <w:rsid w:val="00B7012A"/>
    <w:rsid w:val="00B7197B"/>
    <w:rsid w:val="00B76D07"/>
    <w:rsid w:val="00B83EEF"/>
    <w:rsid w:val="00BA25BC"/>
    <w:rsid w:val="00BB1ED6"/>
    <w:rsid w:val="00BC6AEF"/>
    <w:rsid w:val="00BC6D1D"/>
    <w:rsid w:val="00C21764"/>
    <w:rsid w:val="00C222FB"/>
    <w:rsid w:val="00C25871"/>
    <w:rsid w:val="00C27DBD"/>
    <w:rsid w:val="00C4484A"/>
    <w:rsid w:val="00C54099"/>
    <w:rsid w:val="00C62053"/>
    <w:rsid w:val="00C84D55"/>
    <w:rsid w:val="00C87BAE"/>
    <w:rsid w:val="00C911CA"/>
    <w:rsid w:val="00CA277A"/>
    <w:rsid w:val="00CC1792"/>
    <w:rsid w:val="00CC1A2F"/>
    <w:rsid w:val="00CC2919"/>
    <w:rsid w:val="00CC7010"/>
    <w:rsid w:val="00CE1B68"/>
    <w:rsid w:val="00CE42A7"/>
    <w:rsid w:val="00CF164B"/>
    <w:rsid w:val="00CF2743"/>
    <w:rsid w:val="00CF41E0"/>
    <w:rsid w:val="00D10525"/>
    <w:rsid w:val="00D44B98"/>
    <w:rsid w:val="00D55C63"/>
    <w:rsid w:val="00D60507"/>
    <w:rsid w:val="00D703AC"/>
    <w:rsid w:val="00D75FAA"/>
    <w:rsid w:val="00D81D06"/>
    <w:rsid w:val="00D8697D"/>
    <w:rsid w:val="00D9787B"/>
    <w:rsid w:val="00DD332A"/>
    <w:rsid w:val="00DD365D"/>
    <w:rsid w:val="00DD5CFD"/>
    <w:rsid w:val="00DF43D3"/>
    <w:rsid w:val="00E121C8"/>
    <w:rsid w:val="00E171C3"/>
    <w:rsid w:val="00E3043F"/>
    <w:rsid w:val="00E32157"/>
    <w:rsid w:val="00E61B71"/>
    <w:rsid w:val="00E61EA7"/>
    <w:rsid w:val="00E64C57"/>
    <w:rsid w:val="00E82E76"/>
    <w:rsid w:val="00E85C1D"/>
    <w:rsid w:val="00E86903"/>
    <w:rsid w:val="00E944EB"/>
    <w:rsid w:val="00ED7657"/>
    <w:rsid w:val="00F01482"/>
    <w:rsid w:val="00F0265D"/>
    <w:rsid w:val="00F06BEE"/>
    <w:rsid w:val="00F13DBB"/>
    <w:rsid w:val="00F13E10"/>
    <w:rsid w:val="00F224D1"/>
    <w:rsid w:val="00F457D1"/>
    <w:rsid w:val="00F45E9E"/>
    <w:rsid w:val="00F54274"/>
    <w:rsid w:val="00F64309"/>
    <w:rsid w:val="00F84FDC"/>
    <w:rsid w:val="00F87C76"/>
    <w:rsid w:val="00FA187B"/>
    <w:rsid w:val="00FD2200"/>
    <w:rsid w:val="00FD4C14"/>
    <w:rsid w:val="00FE5E48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  <w:style w:type="paragraph" w:customStyle="1" w:styleId="li3">
    <w:name w:val="li3"/>
    <w:basedOn w:val="Normal"/>
    <w:rsid w:val="005126E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2</cp:revision>
  <dcterms:created xsi:type="dcterms:W3CDTF">2021-11-11T16:32:00Z</dcterms:created>
  <dcterms:modified xsi:type="dcterms:W3CDTF">2021-11-11T16:32:00Z</dcterms:modified>
</cp:coreProperties>
</file>