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8C0" w14:textId="77777777" w:rsidR="00BF4EAE" w:rsidRDefault="00BF4EAE">
      <w:pPr>
        <w:rPr>
          <w:rFonts w:ascii="Arial" w:hAnsi="Arial" w:cs="Arial"/>
          <w:b/>
          <w:bCs/>
          <w:color w:val="0070C0"/>
        </w:rPr>
      </w:pPr>
    </w:p>
    <w:p w14:paraId="4907F25F" w14:textId="22758613" w:rsidR="002E410C" w:rsidRDefault="002E410C">
      <w:pPr>
        <w:rPr>
          <w:rFonts w:ascii="Arial" w:hAnsi="Arial" w:cs="Arial"/>
          <w:b/>
          <w:bCs/>
        </w:rPr>
      </w:pPr>
      <w:r w:rsidRPr="00ED7657">
        <w:rPr>
          <w:rFonts w:ascii="Arial" w:hAnsi="Arial" w:cs="Arial"/>
        </w:rPr>
        <w:t xml:space="preserve">Report of </w:t>
      </w:r>
      <w:r w:rsidR="00D61EBA">
        <w:rPr>
          <w:rFonts w:ascii="Arial" w:hAnsi="Arial" w:cs="Arial"/>
          <w:b/>
          <w:bCs/>
        </w:rPr>
        <w:t>Audit &amp; Finance</w:t>
      </w:r>
      <w:r w:rsidRPr="009973D3">
        <w:rPr>
          <w:rFonts w:ascii="Arial" w:hAnsi="Arial" w:cs="Arial"/>
          <w:b/>
          <w:bCs/>
        </w:rPr>
        <w:t xml:space="preserve"> Subgroup Chair</w:t>
      </w:r>
      <w:r w:rsidR="00ED7657">
        <w:rPr>
          <w:rFonts w:ascii="Arial" w:hAnsi="Arial" w:cs="Arial"/>
        </w:rPr>
        <w:t xml:space="preserve"> in relation to the meeting of </w:t>
      </w:r>
      <w:r w:rsidR="00216957">
        <w:rPr>
          <w:rFonts w:ascii="Arial" w:hAnsi="Arial" w:cs="Arial"/>
          <w:b/>
          <w:bCs/>
        </w:rPr>
        <w:t>13 October</w:t>
      </w:r>
      <w:r w:rsidR="00FD2200" w:rsidRPr="00FD2200">
        <w:rPr>
          <w:rFonts w:ascii="Arial" w:hAnsi="Arial" w:cs="Arial"/>
          <w:b/>
          <w:bCs/>
        </w:rPr>
        <w:t xml:space="preserve"> 2021</w:t>
      </w:r>
    </w:p>
    <w:p w14:paraId="23601830" w14:textId="77777777" w:rsidR="00FE7956" w:rsidRDefault="00FE7956">
      <w:pPr>
        <w:rPr>
          <w:rFonts w:ascii="Arial" w:hAnsi="Arial" w:cs="Arial"/>
          <w:b/>
          <w:bCs/>
        </w:rPr>
      </w:pPr>
    </w:p>
    <w:p w14:paraId="7A796F53" w14:textId="726D38E8" w:rsidR="00FD2200" w:rsidRPr="00120BAD" w:rsidRDefault="003A18F6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b/>
          <w:bCs/>
        </w:rPr>
        <w:t xml:space="preserve">For: </w:t>
      </w:r>
      <w:r w:rsidR="00E86903" w:rsidRPr="00C26BA0">
        <w:rPr>
          <w:rFonts w:ascii="Arial" w:hAnsi="Arial" w:cs="Arial"/>
          <w:color w:val="C00000"/>
          <w:sz w:val="28"/>
          <w:szCs w:val="28"/>
        </w:rPr>
        <w:t>(I)</w:t>
      </w:r>
      <w:r w:rsidRPr="00C26BA0">
        <w:rPr>
          <w:rFonts w:ascii="Arial" w:hAnsi="Arial" w:cs="Arial"/>
          <w:color w:val="C00000"/>
        </w:rPr>
        <w:t xml:space="preserve"> Information</w:t>
      </w:r>
      <w:r w:rsidR="009F73E8" w:rsidRPr="00C26BA0">
        <w:rPr>
          <w:rFonts w:ascii="Arial" w:hAnsi="Arial" w:cs="Arial"/>
          <w:color w:val="C00000"/>
        </w:rPr>
        <w:tab/>
      </w:r>
      <w:r w:rsidR="00617C44" w:rsidRPr="00C26BA0">
        <w:rPr>
          <w:rFonts w:ascii="Arial" w:hAnsi="Arial" w:cs="Arial"/>
          <w:color w:val="C00000"/>
        </w:rPr>
        <w:tab/>
      </w:r>
      <w:r w:rsidR="00D75FAA" w:rsidRPr="00C26BA0">
        <w:rPr>
          <w:rFonts w:ascii="Arial" w:hAnsi="Arial" w:cs="Arial"/>
          <w:color w:val="C00000"/>
          <w:sz w:val="28"/>
          <w:szCs w:val="28"/>
        </w:rPr>
        <w:t>(R)</w:t>
      </w:r>
      <w:r w:rsidR="009F73E8" w:rsidRPr="00C26BA0">
        <w:rPr>
          <w:rFonts w:ascii="Arial" w:hAnsi="Arial" w:cs="Arial"/>
          <w:color w:val="C00000"/>
        </w:rPr>
        <w:t xml:space="preserve"> Ratification</w:t>
      </w:r>
      <w:r w:rsidR="00617C44" w:rsidRPr="00D61EBA">
        <w:rPr>
          <w:rFonts w:ascii="Arial" w:hAnsi="Arial" w:cs="Arial"/>
        </w:rPr>
        <w:tab/>
      </w:r>
      <w:r w:rsidR="00617C44">
        <w:rPr>
          <w:rFonts w:ascii="Arial" w:hAnsi="Arial" w:cs="Arial"/>
        </w:rPr>
        <w:tab/>
      </w:r>
      <w:r w:rsidR="00455A4D" w:rsidRPr="00F019B1">
        <w:rPr>
          <w:rFonts w:ascii="Arial" w:hAnsi="Arial" w:cs="Arial"/>
          <w:color w:val="C00000"/>
          <w:sz w:val="28"/>
          <w:szCs w:val="28"/>
        </w:rPr>
        <w:t>(D)</w:t>
      </w:r>
      <w:r w:rsidR="00617C44" w:rsidRPr="00120BAD">
        <w:rPr>
          <w:rFonts w:ascii="Arial" w:hAnsi="Arial" w:cs="Arial"/>
          <w:color w:val="C00000"/>
        </w:rPr>
        <w:t xml:space="preserve"> Discussion and decision</w:t>
      </w:r>
    </w:p>
    <w:p w14:paraId="48E2CBEE" w14:textId="77777777" w:rsidR="00B42F2B" w:rsidRDefault="00B42F2B">
      <w:pPr>
        <w:rPr>
          <w:rFonts w:ascii="Arial" w:hAnsi="Arial" w:cs="Arial"/>
          <w:b/>
          <w:bCs/>
        </w:rPr>
      </w:pPr>
    </w:p>
    <w:p w14:paraId="5AB39245" w14:textId="4AF58B03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3569C2EC" w14:textId="77777777" w:rsidTr="00181AB0">
        <w:tc>
          <w:tcPr>
            <w:tcW w:w="9322" w:type="dxa"/>
          </w:tcPr>
          <w:p w14:paraId="5EB3A19D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5862B55F" w14:textId="3F83F1B0" w:rsidR="00455A4D" w:rsidRDefault="00A967F5" w:rsidP="00C10B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1B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21-22 LEP </w:t>
            </w:r>
            <w:r w:rsidR="003A1B88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Dashboard</w:t>
            </w:r>
          </w:p>
          <w:p w14:paraId="7C8E3CF2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0C23FEEC" w14:textId="6EBC5F0A" w:rsidR="00A96AD0" w:rsidRDefault="00A967F5" w:rsidP="00C10B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Consolidated Risk Register </w:t>
            </w:r>
            <w:r w:rsidR="00C10BAB">
              <w:rPr>
                <w:rFonts w:ascii="Arial" w:hAnsi="Arial" w:cs="Arial"/>
              </w:rPr>
              <w:t xml:space="preserve">and Issues </w:t>
            </w:r>
            <w:r w:rsidR="00392C49">
              <w:rPr>
                <w:rFonts w:ascii="Arial" w:hAnsi="Arial" w:cs="Arial"/>
              </w:rPr>
              <w:t>Log</w:t>
            </w:r>
          </w:p>
          <w:p w14:paraId="5E2A2114" w14:textId="5191FFA5" w:rsid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3A55C897" w14:textId="479DE400" w:rsidR="002D6FD6" w:rsidRPr="002D6FD6" w:rsidRDefault="002D6FD6" w:rsidP="002D6F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2D6FD6">
              <w:rPr>
                <w:rFonts w:ascii="Arial" w:hAnsi="Arial" w:cs="Arial"/>
              </w:rPr>
              <w:t>LEP Accounts 2020-21 - Update</w:t>
            </w:r>
            <w:r w:rsidRPr="002D6FD6">
              <w:rPr>
                <w:rFonts w:ascii="Arial" w:hAnsi="Arial" w:cs="Arial"/>
              </w:rPr>
              <w:tab/>
            </w:r>
            <w:r w:rsidRPr="002D6FD6">
              <w:rPr>
                <w:rFonts w:ascii="Arial" w:hAnsi="Arial" w:cs="Arial"/>
              </w:rPr>
              <w:tab/>
            </w:r>
            <w:r w:rsidRPr="002D6FD6">
              <w:rPr>
                <w:rFonts w:ascii="Arial" w:hAnsi="Arial" w:cs="Arial"/>
              </w:rPr>
              <w:tab/>
            </w:r>
            <w:r w:rsidRPr="002D6FD6">
              <w:rPr>
                <w:rFonts w:ascii="Arial" w:hAnsi="Arial" w:cs="Arial"/>
              </w:rPr>
              <w:tab/>
            </w:r>
          </w:p>
          <w:p w14:paraId="07FD2A7E" w14:textId="77777777" w:rsidR="002D6FD6" w:rsidRPr="002D6FD6" w:rsidRDefault="002D6FD6" w:rsidP="002D6FD6">
            <w:pPr>
              <w:pStyle w:val="ListParagraph"/>
              <w:rPr>
                <w:rFonts w:ascii="Arial" w:hAnsi="Arial" w:cs="Arial"/>
              </w:rPr>
            </w:pPr>
          </w:p>
          <w:p w14:paraId="7CD11A99" w14:textId="77777777" w:rsidR="002D6FD6" w:rsidRDefault="002D6FD6" w:rsidP="00566C1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2D6FD6">
              <w:rPr>
                <w:rFonts w:ascii="Arial" w:hAnsi="Arial" w:cs="Arial"/>
              </w:rPr>
              <w:t>Hatch: Interim Contracts Mapping – Update</w:t>
            </w:r>
          </w:p>
          <w:p w14:paraId="7CF65A29" w14:textId="77777777" w:rsidR="002D6FD6" w:rsidRPr="002D6FD6" w:rsidRDefault="002D6FD6" w:rsidP="002D6FD6">
            <w:pPr>
              <w:pStyle w:val="ListParagraph"/>
              <w:rPr>
                <w:rFonts w:ascii="Arial" w:hAnsi="Arial" w:cs="Arial"/>
              </w:rPr>
            </w:pPr>
          </w:p>
          <w:p w14:paraId="1102D9CA" w14:textId="0382D235" w:rsidR="00181AB0" w:rsidRDefault="002D6FD6" w:rsidP="008615F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D6FD6">
              <w:rPr>
                <w:rFonts w:ascii="Arial" w:hAnsi="Arial" w:cs="Arial"/>
              </w:rPr>
              <w:t>Task &amp; Finish Group – Update</w:t>
            </w:r>
            <w:r w:rsidR="000668EF">
              <w:rPr>
                <w:rFonts w:ascii="Arial" w:hAnsi="Arial" w:cs="Arial"/>
              </w:rPr>
              <w:t xml:space="preserve"> </w:t>
            </w:r>
            <w:r w:rsidR="000668EF" w:rsidRPr="00313699">
              <w:rPr>
                <w:rFonts w:ascii="Arial" w:hAnsi="Arial" w:cs="Arial"/>
                <w:i/>
                <w:iCs/>
              </w:rPr>
              <w:t xml:space="preserve">(postponed until </w:t>
            </w:r>
            <w:r w:rsidR="00313699" w:rsidRPr="00313699">
              <w:rPr>
                <w:rFonts w:ascii="Arial" w:hAnsi="Arial" w:cs="Arial"/>
                <w:i/>
                <w:iCs/>
              </w:rPr>
              <w:t>next Audit &amp; Finance</w:t>
            </w:r>
            <w:r w:rsidR="00313699">
              <w:rPr>
                <w:rFonts w:ascii="Arial" w:hAnsi="Arial" w:cs="Arial"/>
                <w:i/>
                <w:iCs/>
              </w:rPr>
              <w:t xml:space="preserve"> meeting </w:t>
            </w:r>
            <w:r w:rsidR="00153870">
              <w:rPr>
                <w:rFonts w:ascii="Arial" w:hAnsi="Arial" w:cs="Arial"/>
                <w:i/>
                <w:iCs/>
              </w:rPr>
              <w:t>10/11/21</w:t>
            </w:r>
            <w:r w:rsidR="00313699">
              <w:rPr>
                <w:rFonts w:ascii="Arial" w:hAnsi="Arial" w:cs="Arial"/>
              </w:rPr>
              <w:t>)</w:t>
            </w:r>
          </w:p>
        </w:tc>
      </w:tr>
    </w:tbl>
    <w:p w14:paraId="74D5295C" w14:textId="77777777" w:rsidR="00181AB0" w:rsidRDefault="00181AB0">
      <w:pPr>
        <w:rPr>
          <w:rFonts w:ascii="Arial" w:hAnsi="Arial" w:cs="Arial"/>
          <w:b/>
          <w:bCs/>
        </w:rPr>
      </w:pPr>
    </w:p>
    <w:p w14:paraId="49E08A9C" w14:textId="7FFF7727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Notable changes</w:t>
      </w:r>
      <w:r w:rsidR="00272283">
        <w:rPr>
          <w:rFonts w:ascii="Arial" w:hAnsi="Arial" w:cs="Arial"/>
          <w:b/>
          <w:bCs/>
        </w:rPr>
        <w:t>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64C74291" w14:textId="77777777" w:rsidTr="00181AB0">
        <w:tc>
          <w:tcPr>
            <w:tcW w:w="9322" w:type="dxa"/>
          </w:tcPr>
          <w:p w14:paraId="54570B4C" w14:textId="77777777" w:rsidR="004B3868" w:rsidRPr="00EE3B74" w:rsidRDefault="004B3868">
            <w:pPr>
              <w:rPr>
                <w:rFonts w:ascii="Arial" w:hAnsi="Arial" w:cs="Arial"/>
                <w:b/>
                <w:bCs/>
              </w:rPr>
            </w:pPr>
          </w:p>
          <w:p w14:paraId="6729787C" w14:textId="029EF061" w:rsidR="00F06EC0" w:rsidRDefault="00153870" w:rsidP="00776A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6311">
              <w:rPr>
                <w:rFonts w:ascii="Arial" w:hAnsi="Arial" w:cs="Arial"/>
              </w:rPr>
              <w:t>Q2 Finance dashboard</w:t>
            </w:r>
            <w:r w:rsidR="00F06EC0" w:rsidRPr="00046311">
              <w:rPr>
                <w:rFonts w:ascii="Arial" w:hAnsi="Arial" w:cs="Arial"/>
              </w:rPr>
              <w:t>:</w:t>
            </w:r>
          </w:p>
          <w:p w14:paraId="24999D90" w14:textId="7278295B" w:rsidR="00655DBA" w:rsidRDefault="00655DBA" w:rsidP="00655DBA">
            <w:pPr>
              <w:ind w:left="720"/>
              <w:rPr>
                <w:rFonts w:ascii="Arial" w:hAnsi="Arial" w:cs="Arial"/>
              </w:rPr>
            </w:pPr>
            <w:r w:rsidRPr="00046311">
              <w:rPr>
                <w:rFonts w:ascii="Arial" w:hAnsi="Arial" w:cs="Arial"/>
              </w:rPr>
              <w:t>Notable points to raise from the Finance dashboard</w:t>
            </w:r>
            <w:r w:rsidR="00FB6D39">
              <w:rPr>
                <w:rFonts w:ascii="Arial" w:hAnsi="Arial" w:cs="Arial"/>
              </w:rPr>
              <w:t>:</w:t>
            </w:r>
          </w:p>
          <w:p w14:paraId="16676ADC" w14:textId="77777777" w:rsidR="00FB6D39" w:rsidRPr="00046311" w:rsidRDefault="00FB6D39" w:rsidP="00655DB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31DDC9F6" w14:textId="756FCA37" w:rsidR="00655DBA" w:rsidRDefault="00046311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GBF Grant remains on course to be fully spent by 31</w:t>
            </w:r>
            <w:r w:rsidRPr="0004631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22.</w:t>
            </w:r>
            <w:r w:rsidR="003C6A19">
              <w:rPr>
                <w:rFonts w:ascii="Arial" w:hAnsi="Arial" w:cs="Arial"/>
              </w:rPr>
              <w:t xml:space="preserve"> 49% of the £18.65m GBF Grant allocation has been spent to date</w:t>
            </w:r>
          </w:p>
          <w:p w14:paraId="367A6E1C" w14:textId="6556BB5D" w:rsidR="00046311" w:rsidRDefault="002D6207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46311">
              <w:rPr>
                <w:rFonts w:ascii="Arial" w:hAnsi="Arial" w:cs="Arial"/>
              </w:rPr>
              <w:t>4 Skills Equipment Fund 3 projects</w:t>
            </w:r>
            <w:r>
              <w:rPr>
                <w:rFonts w:ascii="Arial" w:hAnsi="Arial" w:cs="Arial"/>
              </w:rPr>
              <w:t>, plus</w:t>
            </w:r>
            <w:r w:rsidR="00046311">
              <w:rPr>
                <w:rFonts w:ascii="Arial" w:hAnsi="Arial" w:cs="Arial"/>
              </w:rPr>
              <w:t xml:space="preserve"> the Centre for Heath Innovation scheme have now completed their drawn down of their respective GBF Grant allocations.</w:t>
            </w:r>
          </w:p>
          <w:p w14:paraId="6938A6DF" w14:textId="1D2FAA44" w:rsidR="00046311" w:rsidRDefault="00046311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D6207" w:rsidRPr="002D6207">
              <w:rPr>
                <w:rFonts w:ascii="Arial" w:hAnsi="Arial" w:cs="Arial"/>
              </w:rPr>
              <w:t>GBF Grant funded schemes/projects still awaiting Funding Agreements.</w:t>
            </w:r>
          </w:p>
          <w:p w14:paraId="10EA8E86" w14:textId="77777777" w:rsidR="002D6207" w:rsidRDefault="002D6207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 DfT Retained scheme will complete its draw down of its £18.5m LGD Grant by 31</w:t>
            </w:r>
            <w:r w:rsidRPr="002D62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22.</w:t>
            </w:r>
          </w:p>
          <w:p w14:paraId="0B34C4D8" w14:textId="30B8B0AC" w:rsidR="003C6A19" w:rsidRDefault="002D6207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 ha</w:t>
            </w:r>
            <w:r w:rsidR="003C6A1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awarded an initial 6-month Core Fund Grant of £0.250m up front with the 2</w:t>
            </w:r>
            <w:r w:rsidRPr="002D620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tranche of £0.250m grant subject to the outcome of the LEP Review process.</w:t>
            </w:r>
            <w:r w:rsidR="003C6A19">
              <w:rPr>
                <w:rFonts w:ascii="Arial" w:hAnsi="Arial" w:cs="Arial"/>
              </w:rPr>
              <w:t xml:space="preserve"> </w:t>
            </w:r>
            <w:r w:rsidR="00A928B0">
              <w:rPr>
                <w:rFonts w:ascii="Arial" w:hAnsi="Arial" w:cs="Arial"/>
              </w:rPr>
              <w:t>The r</w:t>
            </w:r>
            <w:r w:rsidR="003C6A19">
              <w:rPr>
                <w:rFonts w:ascii="Arial" w:hAnsi="Arial" w:cs="Arial"/>
              </w:rPr>
              <w:t xml:space="preserve">isk of uncertainty surrounding both current and future years Core Grant is mitigated by the current levels of SSLEP Reserves held - £0.844m as </w:t>
            </w:r>
            <w:proofErr w:type="gramStart"/>
            <w:r w:rsidR="003C6A19">
              <w:rPr>
                <w:rFonts w:ascii="Arial" w:hAnsi="Arial" w:cs="Arial"/>
              </w:rPr>
              <w:t>at</w:t>
            </w:r>
            <w:proofErr w:type="gramEnd"/>
            <w:r w:rsidR="003C6A19">
              <w:rPr>
                <w:rFonts w:ascii="Arial" w:hAnsi="Arial" w:cs="Arial"/>
              </w:rPr>
              <w:t xml:space="preserve"> 31</w:t>
            </w:r>
            <w:r w:rsidR="003C6A19" w:rsidRPr="003C6A19">
              <w:rPr>
                <w:rFonts w:ascii="Arial" w:hAnsi="Arial" w:cs="Arial"/>
                <w:vertAlign w:val="superscript"/>
              </w:rPr>
              <w:t>st</w:t>
            </w:r>
            <w:r w:rsidR="003C6A19">
              <w:rPr>
                <w:rFonts w:ascii="Arial" w:hAnsi="Arial" w:cs="Arial"/>
              </w:rPr>
              <w:t xml:space="preserve"> March 21.</w:t>
            </w:r>
          </w:p>
          <w:p w14:paraId="48A3A428" w14:textId="572E7BA2" w:rsidR="002D6207" w:rsidRPr="00046311" w:rsidRDefault="002D6207" w:rsidP="007C49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21-22 LEP Core Budget has </w:t>
            </w:r>
            <w:r w:rsidR="00A928B0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yet be</w:t>
            </w:r>
            <w:r w:rsidR="00A928B0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signed off by A&amp;F and </w:t>
            </w:r>
            <w:r w:rsidR="00A928B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Executive Board.</w:t>
            </w:r>
          </w:p>
          <w:p w14:paraId="48AFBA9F" w14:textId="77777777" w:rsidR="00F06EC0" w:rsidRDefault="00F06EC0" w:rsidP="00A350D9">
            <w:pPr>
              <w:rPr>
                <w:rFonts w:ascii="Arial" w:hAnsi="Arial" w:cs="Arial"/>
              </w:rPr>
            </w:pPr>
          </w:p>
          <w:p w14:paraId="0326548E" w14:textId="716D171A" w:rsidR="00C26BA0" w:rsidRPr="00F17B84" w:rsidRDefault="0074469D" w:rsidP="002D620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1302">
              <w:rPr>
                <w:rFonts w:ascii="Arial" w:hAnsi="Arial" w:cs="Arial"/>
              </w:rPr>
              <w:t xml:space="preserve"> </w:t>
            </w:r>
            <w:r w:rsidR="00DF23EB" w:rsidRPr="00F17B84">
              <w:rPr>
                <w:rFonts w:ascii="Arial" w:hAnsi="Arial" w:cs="Arial"/>
              </w:rPr>
              <w:t>Risks</w:t>
            </w:r>
          </w:p>
          <w:p w14:paraId="30EDA760" w14:textId="072AD681" w:rsidR="007A7598" w:rsidRPr="007A7598" w:rsidRDefault="00C34F2C" w:rsidP="00776AD3">
            <w:pPr>
              <w:pStyle w:val="ListParagraph"/>
              <w:numPr>
                <w:ilvl w:val="1"/>
                <w:numId w:val="10"/>
              </w:numPr>
              <w:spacing w:before="120" w:after="120" w:line="252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Risk Strategic 11: </w:t>
            </w:r>
            <w:r w:rsidR="00C441A1">
              <w:rPr>
                <w:rFonts w:ascii="Arial" w:hAnsi="Arial" w:cs="Arial"/>
              </w:rPr>
              <w:t xml:space="preserve">Board gender targets; we are currently hitting targets but in the New Year we will dip below the </w:t>
            </w:r>
            <w:r w:rsidR="007A7598">
              <w:rPr>
                <w:rFonts w:ascii="Arial" w:hAnsi="Arial" w:cs="Arial"/>
              </w:rPr>
              <w:t>target</w:t>
            </w:r>
            <w:r w:rsidR="00F90F78" w:rsidRPr="00F90F78">
              <w:rPr>
                <w:rFonts w:ascii="Arial" w:hAnsi="Arial" w:cs="Arial"/>
                <w:color w:val="0070C0"/>
              </w:rPr>
              <w:t>.</w:t>
            </w:r>
            <w:r w:rsidR="007A7598" w:rsidRPr="00F90F78">
              <w:rPr>
                <w:rFonts w:ascii="Arial" w:hAnsi="Arial" w:cs="Arial"/>
                <w:color w:val="0070C0"/>
              </w:rPr>
              <w:t xml:space="preserve"> </w:t>
            </w:r>
          </w:p>
          <w:p w14:paraId="5DC20453" w14:textId="53A13F7F" w:rsidR="00F06EC0" w:rsidRPr="00103F1E" w:rsidRDefault="00F06EC0" w:rsidP="00776AD3">
            <w:pPr>
              <w:pStyle w:val="ListParagraph"/>
              <w:numPr>
                <w:ilvl w:val="1"/>
                <w:numId w:val="10"/>
              </w:numPr>
              <w:spacing w:before="120" w:after="120" w:line="252" w:lineRule="auto"/>
              <w:rPr>
                <w:rFonts w:ascii="Arial" w:hAnsi="Arial" w:cs="Arial"/>
                <w:i/>
                <w:iCs/>
                <w:color w:val="0070C0"/>
              </w:rPr>
            </w:pPr>
            <w:r w:rsidRPr="0042459F">
              <w:rPr>
                <w:rFonts w:ascii="Arial" w:hAnsi="Arial" w:cs="Arial"/>
              </w:rPr>
              <w:t>R</w:t>
            </w:r>
            <w:r w:rsidR="00C34F2C">
              <w:rPr>
                <w:rFonts w:ascii="Arial" w:hAnsi="Arial" w:cs="Arial"/>
              </w:rPr>
              <w:t xml:space="preserve">isk </w:t>
            </w:r>
            <w:r w:rsidRPr="0042459F">
              <w:rPr>
                <w:rFonts w:ascii="Arial" w:hAnsi="Arial" w:cs="Arial"/>
              </w:rPr>
              <w:t>CDGD 27</w:t>
            </w:r>
            <w:r w:rsidR="00A80BA6">
              <w:rPr>
                <w:rFonts w:ascii="Arial" w:hAnsi="Arial" w:cs="Arial"/>
              </w:rPr>
              <w:t xml:space="preserve"> and linked Risk GPF5</w:t>
            </w:r>
            <w:r w:rsidRPr="0042459F">
              <w:rPr>
                <w:rFonts w:ascii="Arial" w:hAnsi="Arial" w:cs="Arial"/>
              </w:rPr>
              <w:t>:</w:t>
            </w:r>
            <w:r w:rsidR="005C79F4">
              <w:rPr>
                <w:rFonts w:ascii="Arial" w:hAnsi="Arial" w:cs="Arial"/>
              </w:rPr>
              <w:t xml:space="preserve"> an</w:t>
            </w:r>
            <w:r w:rsidRPr="0042459F">
              <w:rPr>
                <w:rFonts w:ascii="Arial" w:hAnsi="Arial" w:cs="Arial"/>
              </w:rPr>
              <w:t xml:space="preserve"> </w:t>
            </w:r>
            <w:r w:rsidR="005C79F4">
              <w:rPr>
                <w:rFonts w:ascii="Arial" w:hAnsi="Arial" w:cs="Arial"/>
              </w:rPr>
              <w:t>LGF scheme is failing to progress.</w:t>
            </w:r>
            <w:r w:rsidRPr="0042459F">
              <w:rPr>
                <w:rFonts w:ascii="Arial" w:hAnsi="Arial" w:cs="Arial"/>
              </w:rPr>
              <w:t xml:space="preserve"> </w:t>
            </w:r>
            <w:r w:rsidR="00D1574B">
              <w:rPr>
                <w:rFonts w:ascii="Arial" w:hAnsi="Arial" w:cs="Arial"/>
              </w:rPr>
              <w:t>Update papers</w:t>
            </w:r>
            <w:r w:rsidR="008309CD">
              <w:rPr>
                <w:rFonts w:ascii="Arial" w:hAnsi="Arial" w:cs="Arial"/>
              </w:rPr>
              <w:t>/recommendations</w:t>
            </w:r>
            <w:r w:rsidR="00D1574B">
              <w:rPr>
                <w:rFonts w:ascii="Arial" w:hAnsi="Arial" w:cs="Arial"/>
              </w:rPr>
              <w:t xml:space="preserve"> </w:t>
            </w:r>
            <w:r w:rsidR="008309CD">
              <w:rPr>
                <w:rFonts w:ascii="Arial" w:hAnsi="Arial" w:cs="Arial"/>
              </w:rPr>
              <w:t>will be</w:t>
            </w:r>
            <w:r w:rsidR="00D1574B">
              <w:rPr>
                <w:rFonts w:ascii="Arial" w:hAnsi="Arial" w:cs="Arial"/>
              </w:rPr>
              <w:t xml:space="preserve"> brought to Board by both </w:t>
            </w:r>
            <w:r w:rsidR="008309CD">
              <w:rPr>
                <w:rFonts w:ascii="Arial" w:hAnsi="Arial" w:cs="Arial"/>
              </w:rPr>
              <w:t>Growing Places Fund Panel and by SPMG.</w:t>
            </w:r>
            <w:r w:rsidR="00F90F78">
              <w:rPr>
                <w:rFonts w:ascii="Arial" w:hAnsi="Arial" w:cs="Arial"/>
              </w:rPr>
              <w:t xml:space="preserve">  </w:t>
            </w:r>
          </w:p>
          <w:p w14:paraId="7BB9D9D7" w14:textId="77777777" w:rsidR="0040659E" w:rsidRPr="0040659E" w:rsidRDefault="00F06EC0" w:rsidP="00F1404B">
            <w:pPr>
              <w:pStyle w:val="ListParagraph"/>
              <w:numPr>
                <w:ilvl w:val="1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40659E">
              <w:rPr>
                <w:rFonts w:ascii="Arial" w:hAnsi="Arial" w:cs="Arial"/>
                <w:u w:val="single"/>
              </w:rPr>
              <w:t xml:space="preserve">Risk GBF 4: </w:t>
            </w:r>
            <w:proofErr w:type="spellStart"/>
            <w:r w:rsidRPr="0040659E">
              <w:rPr>
                <w:rFonts w:ascii="Arial" w:hAnsi="Arial" w:cs="Arial"/>
              </w:rPr>
              <w:t>Drakelow</w:t>
            </w:r>
            <w:proofErr w:type="spellEnd"/>
            <w:r w:rsidRPr="0040659E">
              <w:rPr>
                <w:rFonts w:ascii="Arial" w:hAnsi="Arial" w:cs="Arial"/>
              </w:rPr>
              <w:t xml:space="preserve"> </w:t>
            </w:r>
            <w:r w:rsidR="008309CD" w:rsidRPr="0040659E">
              <w:rPr>
                <w:rFonts w:ascii="Arial" w:hAnsi="Arial" w:cs="Arial"/>
              </w:rPr>
              <w:t>- p</w:t>
            </w:r>
            <w:r w:rsidRPr="0040659E">
              <w:rPr>
                <w:rFonts w:ascii="Arial" w:hAnsi="Arial" w:cs="Arial"/>
              </w:rPr>
              <w:t xml:space="preserve">ending drafting of a legal assurance agreement to ensure SSLEP conditions are met.  This de-allocation de-risks the scheme for SSLEP. </w:t>
            </w:r>
          </w:p>
          <w:p w14:paraId="632A75CD" w14:textId="6C0DD5E8" w:rsidR="0040659E" w:rsidRPr="0040659E" w:rsidRDefault="008309CD" w:rsidP="00F1404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40659E">
              <w:rPr>
                <w:rFonts w:ascii="Arial" w:hAnsi="Arial" w:cs="Arial"/>
                <w:u w:val="single"/>
              </w:rPr>
              <w:lastRenderedPageBreak/>
              <w:t>ESIF</w:t>
            </w:r>
            <w:r w:rsidR="0040659E" w:rsidRPr="0040659E">
              <w:rPr>
                <w:rFonts w:ascii="Arial" w:hAnsi="Arial" w:cs="Arial"/>
                <w:u w:val="single"/>
              </w:rPr>
              <w:t xml:space="preserve">: </w:t>
            </w:r>
            <w:r w:rsidR="0040659E" w:rsidRPr="0040659E">
              <w:rPr>
                <w:rFonts w:ascii="Arial" w:hAnsi="Arial" w:cs="Arial"/>
              </w:rPr>
              <w:t xml:space="preserve"> No changes to report, although the lack of up to date programme management forms from government prevents the programme manager from reporting the latest position to the AFC and LEP Board</w:t>
            </w:r>
            <w:r w:rsidR="00F90F78">
              <w:rPr>
                <w:rFonts w:ascii="Arial" w:hAnsi="Arial" w:cs="Arial"/>
              </w:rPr>
              <w:t xml:space="preserve">.  </w:t>
            </w:r>
          </w:p>
          <w:p w14:paraId="772CBB71" w14:textId="0DFF8239" w:rsidR="00F06EC0" w:rsidRPr="0042459F" w:rsidRDefault="0040659E" w:rsidP="00776AD3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D37805">
              <w:rPr>
                <w:rFonts w:ascii="Arial" w:hAnsi="Arial" w:cs="Arial"/>
                <w:u w:val="single"/>
              </w:rPr>
              <w:t>Risk GPF1</w:t>
            </w:r>
            <w:r w:rsidR="00423711">
              <w:rPr>
                <w:rFonts w:ascii="Arial" w:hAnsi="Arial" w:cs="Arial"/>
              </w:rPr>
              <w:t>: both schemes allocated funding in Round 1</w:t>
            </w:r>
            <w:r w:rsidR="00F90F78">
              <w:rPr>
                <w:rFonts w:ascii="Arial" w:hAnsi="Arial" w:cs="Arial"/>
              </w:rPr>
              <w:t>5</w:t>
            </w:r>
            <w:r w:rsidR="00423711">
              <w:rPr>
                <w:rFonts w:ascii="Arial" w:hAnsi="Arial" w:cs="Arial"/>
              </w:rPr>
              <w:t xml:space="preserve"> have subsequently withdraw.  One scheme from round 14 is </w:t>
            </w:r>
            <w:r w:rsidR="00D37805">
              <w:rPr>
                <w:rFonts w:ascii="Arial" w:hAnsi="Arial" w:cs="Arial"/>
              </w:rPr>
              <w:t>progressing in the loan process.</w:t>
            </w:r>
          </w:p>
          <w:p w14:paraId="30FF14AA" w14:textId="77777777" w:rsidR="00FB4E3D" w:rsidRPr="009B2E2B" w:rsidRDefault="00FB4E3D" w:rsidP="00FB4E3D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</w:p>
          <w:p w14:paraId="57E0C450" w14:textId="4C0713FC" w:rsidR="00F90F78" w:rsidRDefault="002D6FD6" w:rsidP="00F90F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F78">
              <w:rPr>
                <w:rFonts w:ascii="Arial" w:hAnsi="Arial" w:cs="Arial"/>
              </w:rPr>
              <w:t>LEP Accounts 2020-21</w:t>
            </w:r>
            <w:r w:rsidR="00F90F78" w:rsidRPr="00F90F78">
              <w:rPr>
                <w:rFonts w:ascii="Arial" w:hAnsi="Arial" w:cs="Arial"/>
              </w:rPr>
              <w:t>:</w:t>
            </w:r>
            <w:r w:rsidRPr="00F90F78">
              <w:rPr>
                <w:rFonts w:ascii="Arial" w:hAnsi="Arial" w:cs="Arial"/>
              </w:rPr>
              <w:t xml:space="preserve"> </w:t>
            </w:r>
            <w:r w:rsidR="00E7134A" w:rsidRPr="00F90F78">
              <w:rPr>
                <w:rFonts w:ascii="Arial" w:hAnsi="Arial" w:cs="Arial"/>
              </w:rPr>
              <w:t xml:space="preserve">A meeting was held on 12/10/21 </w:t>
            </w:r>
            <w:r w:rsidR="00F90F78" w:rsidRPr="00F90F78">
              <w:rPr>
                <w:rFonts w:ascii="Arial" w:hAnsi="Arial" w:cs="Arial"/>
              </w:rPr>
              <w:t>between SCC</w:t>
            </w:r>
            <w:r w:rsidR="000566BA">
              <w:rPr>
                <w:rFonts w:ascii="Arial" w:hAnsi="Arial" w:cs="Arial"/>
              </w:rPr>
              <w:t xml:space="preserve"> (the Accountable Body)</w:t>
            </w:r>
            <w:r w:rsidR="00F90F78" w:rsidRPr="00F90F78">
              <w:rPr>
                <w:rFonts w:ascii="Arial" w:hAnsi="Arial" w:cs="Arial"/>
              </w:rPr>
              <w:t xml:space="preserve"> and Audit &amp; Finance to review the Accounts and </w:t>
            </w:r>
            <w:r w:rsidR="00B912E1" w:rsidRPr="0097778D">
              <w:rPr>
                <w:rFonts w:ascii="Arial" w:hAnsi="Arial" w:cs="Arial"/>
              </w:rPr>
              <w:t>discuss</w:t>
            </w:r>
            <w:r w:rsidR="00F90F78" w:rsidRPr="0097778D">
              <w:rPr>
                <w:rFonts w:ascii="Arial" w:hAnsi="Arial" w:cs="Arial"/>
              </w:rPr>
              <w:t xml:space="preserve"> any queries.  The </w:t>
            </w:r>
            <w:r w:rsidR="008615F3" w:rsidRPr="0097778D">
              <w:rPr>
                <w:rFonts w:ascii="Arial" w:hAnsi="Arial" w:cs="Arial"/>
              </w:rPr>
              <w:t xml:space="preserve">2020-21 </w:t>
            </w:r>
            <w:r w:rsidR="00F90F78" w:rsidRPr="0097778D">
              <w:rPr>
                <w:rFonts w:ascii="Arial" w:hAnsi="Arial" w:cs="Arial"/>
              </w:rPr>
              <w:t xml:space="preserve">Accounts </w:t>
            </w:r>
            <w:r w:rsidR="00B912E1" w:rsidRPr="0097778D">
              <w:rPr>
                <w:rFonts w:ascii="Arial" w:hAnsi="Arial" w:cs="Arial"/>
              </w:rPr>
              <w:t>will be</w:t>
            </w:r>
            <w:r w:rsidR="00F90F78" w:rsidRPr="0097778D">
              <w:rPr>
                <w:rFonts w:ascii="Arial" w:hAnsi="Arial" w:cs="Arial"/>
              </w:rPr>
              <w:t xml:space="preserve"> brought to the </w:t>
            </w:r>
            <w:r w:rsidR="00B912E1" w:rsidRPr="0097778D">
              <w:rPr>
                <w:rFonts w:ascii="Arial" w:hAnsi="Arial" w:cs="Arial"/>
              </w:rPr>
              <w:t>November</w:t>
            </w:r>
            <w:r w:rsidR="00F90F78" w:rsidRPr="0097778D">
              <w:rPr>
                <w:rFonts w:ascii="Arial" w:hAnsi="Arial" w:cs="Arial"/>
              </w:rPr>
              <w:t xml:space="preserve"> Bo</w:t>
            </w:r>
            <w:r w:rsidR="00F90F78" w:rsidRPr="002D6FD6">
              <w:rPr>
                <w:rFonts w:ascii="Arial" w:hAnsi="Arial" w:cs="Arial"/>
              </w:rPr>
              <w:t>ard meeting</w:t>
            </w:r>
            <w:r w:rsidR="00B11716">
              <w:rPr>
                <w:rFonts w:ascii="Arial" w:hAnsi="Arial" w:cs="Arial"/>
              </w:rPr>
              <w:t xml:space="preserve"> and will be formally approved at the AGM.</w:t>
            </w:r>
            <w:r w:rsidR="00F90F78" w:rsidRPr="002D6FD6">
              <w:rPr>
                <w:rFonts w:ascii="Arial" w:hAnsi="Arial" w:cs="Arial"/>
              </w:rPr>
              <w:t>.</w:t>
            </w:r>
          </w:p>
          <w:p w14:paraId="3E1EF932" w14:textId="454ABA59" w:rsidR="009730CE" w:rsidRDefault="009730CE" w:rsidP="009730CE">
            <w:pPr>
              <w:rPr>
                <w:rFonts w:ascii="Arial" w:hAnsi="Arial" w:cs="Arial"/>
              </w:rPr>
            </w:pPr>
          </w:p>
          <w:p w14:paraId="6A8E4C30" w14:textId="69D41F43" w:rsidR="00516854" w:rsidRPr="007E76B4" w:rsidRDefault="00A05C9C" w:rsidP="007E76B4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ascii="Arial" w:eastAsia="Times New Roman" w:hAnsi="Arial" w:cs="Arial"/>
              </w:rPr>
            </w:pPr>
            <w:r w:rsidRPr="009C6A5C">
              <w:rPr>
                <w:rFonts w:ascii="Arial" w:hAnsi="Arial" w:cs="Arial"/>
              </w:rPr>
              <w:t>Contract mapping</w:t>
            </w:r>
            <w:r w:rsidR="00776AD3" w:rsidRPr="009C6A5C">
              <w:rPr>
                <w:rFonts w:ascii="Arial" w:hAnsi="Arial" w:cs="Arial"/>
              </w:rPr>
              <w:t xml:space="preserve"> (Hatch): </w:t>
            </w:r>
            <w:r w:rsidR="004748E2">
              <w:rPr>
                <w:rFonts w:ascii="Arial" w:hAnsi="Arial" w:cs="Arial"/>
              </w:rPr>
              <w:t xml:space="preserve">following </w:t>
            </w:r>
            <w:r w:rsidR="009A7F1B">
              <w:rPr>
                <w:rFonts w:ascii="Arial" w:hAnsi="Arial" w:cs="Arial"/>
              </w:rPr>
              <w:t xml:space="preserve">research into many </w:t>
            </w:r>
            <w:r w:rsidR="00155050">
              <w:rPr>
                <w:rFonts w:ascii="Arial" w:hAnsi="Arial" w:cs="Arial"/>
              </w:rPr>
              <w:t xml:space="preserve">other </w:t>
            </w:r>
            <w:r w:rsidR="009A7F1B">
              <w:rPr>
                <w:rFonts w:ascii="Arial" w:hAnsi="Arial" w:cs="Arial"/>
              </w:rPr>
              <w:t xml:space="preserve">LEPs, </w:t>
            </w:r>
            <w:r w:rsidR="00EE0F7B">
              <w:rPr>
                <w:rFonts w:ascii="Arial" w:hAnsi="Arial" w:cs="Arial"/>
              </w:rPr>
              <w:t xml:space="preserve">Hatch </w:t>
            </w:r>
            <w:r w:rsidR="00BF6A7C">
              <w:rPr>
                <w:rFonts w:ascii="Arial" w:hAnsi="Arial" w:cs="Arial"/>
              </w:rPr>
              <w:t xml:space="preserve">presented </w:t>
            </w:r>
            <w:r w:rsidR="00CB682C">
              <w:rPr>
                <w:rFonts w:ascii="Arial" w:hAnsi="Arial" w:cs="Arial"/>
              </w:rPr>
              <w:t>a comparison of different LEP models</w:t>
            </w:r>
            <w:r w:rsidR="00FC5E99">
              <w:rPr>
                <w:rFonts w:ascii="Arial" w:hAnsi="Arial" w:cs="Arial"/>
              </w:rPr>
              <w:t xml:space="preserve">, looking at </w:t>
            </w:r>
            <w:r w:rsidR="00995CC9">
              <w:rPr>
                <w:rFonts w:ascii="Arial" w:hAnsi="Arial" w:cs="Arial"/>
              </w:rPr>
              <w:t>which are predominantly</w:t>
            </w:r>
            <w:r w:rsidR="00FC5E99">
              <w:rPr>
                <w:rFonts w:ascii="Arial" w:hAnsi="Arial" w:cs="Arial"/>
              </w:rPr>
              <w:t xml:space="preserve"> contracted out, </w:t>
            </w:r>
            <w:r w:rsidR="00995CC9">
              <w:rPr>
                <w:rFonts w:ascii="Arial" w:hAnsi="Arial" w:cs="Arial"/>
              </w:rPr>
              <w:t xml:space="preserve">which are </w:t>
            </w:r>
            <w:r w:rsidR="006E3BA0">
              <w:rPr>
                <w:rFonts w:ascii="Arial" w:hAnsi="Arial" w:cs="Arial"/>
              </w:rPr>
              <w:t xml:space="preserve">“hybrid” and which are </w:t>
            </w:r>
            <w:r w:rsidR="00FC5E99">
              <w:rPr>
                <w:rFonts w:ascii="Arial" w:hAnsi="Arial" w:cs="Arial"/>
              </w:rPr>
              <w:t>in-house</w:t>
            </w:r>
            <w:r w:rsidR="001C54C4">
              <w:rPr>
                <w:rFonts w:ascii="Arial" w:hAnsi="Arial" w:cs="Arial"/>
              </w:rPr>
              <w:t xml:space="preserve">.  </w:t>
            </w:r>
            <w:r w:rsidR="00417BC1" w:rsidRPr="00493AA8">
              <w:rPr>
                <w:rFonts w:ascii="Arial" w:hAnsi="Arial" w:cs="Arial"/>
              </w:rPr>
              <w:t xml:space="preserve">Audit &amp; Finance </w:t>
            </w:r>
            <w:r w:rsidR="00116A4B" w:rsidRPr="00493AA8">
              <w:rPr>
                <w:rFonts w:ascii="Arial" w:hAnsi="Arial" w:cs="Arial"/>
              </w:rPr>
              <w:t xml:space="preserve">have </w:t>
            </w:r>
            <w:r w:rsidR="00417BC1" w:rsidRPr="00493AA8">
              <w:rPr>
                <w:rFonts w:ascii="Arial" w:hAnsi="Arial" w:cs="Arial"/>
              </w:rPr>
              <w:t xml:space="preserve">asked </w:t>
            </w:r>
            <w:r w:rsidR="0058412A" w:rsidRPr="00493AA8">
              <w:rPr>
                <w:rFonts w:ascii="Arial" w:hAnsi="Arial" w:cs="Arial"/>
              </w:rPr>
              <w:t>Hatch to map</w:t>
            </w:r>
            <w:r w:rsidR="00272609" w:rsidRPr="00493AA8">
              <w:rPr>
                <w:rFonts w:ascii="Arial" w:hAnsi="Arial" w:cs="Arial"/>
              </w:rPr>
              <w:t xml:space="preserve"> sources of funding on </w:t>
            </w:r>
            <w:r w:rsidR="00DC66B9" w:rsidRPr="00493AA8">
              <w:rPr>
                <w:rFonts w:ascii="Arial" w:hAnsi="Arial" w:cs="Arial"/>
              </w:rPr>
              <w:t xml:space="preserve">the diagrams. </w:t>
            </w:r>
            <w:r w:rsidR="00743AA9" w:rsidRPr="00493AA8">
              <w:rPr>
                <w:rFonts w:ascii="Arial" w:hAnsi="Arial" w:cs="Arial"/>
              </w:rPr>
              <w:t xml:space="preserve"> </w:t>
            </w:r>
            <w:r w:rsidR="00655308" w:rsidRPr="007E76B4">
              <w:rPr>
                <w:rFonts w:ascii="Arial" w:hAnsi="Arial" w:cs="Arial"/>
              </w:rPr>
              <w:t xml:space="preserve">Hatch will bring updated diagrams to the next Audit &amp; Finance (10/11/21) </w:t>
            </w:r>
            <w:r w:rsidR="00234B53" w:rsidRPr="007E76B4">
              <w:rPr>
                <w:rFonts w:ascii="Arial" w:hAnsi="Arial" w:cs="Arial"/>
              </w:rPr>
              <w:t xml:space="preserve">and provide a report which will be brought to Board </w:t>
            </w:r>
            <w:r w:rsidR="00C34F2C" w:rsidRPr="007E76B4">
              <w:rPr>
                <w:rFonts w:ascii="Arial" w:hAnsi="Arial" w:cs="Arial"/>
              </w:rPr>
              <w:t>in November.</w:t>
            </w:r>
          </w:p>
          <w:p w14:paraId="68A032BC" w14:textId="0D14D576" w:rsidR="00181AB0" w:rsidRPr="002D6FD6" w:rsidRDefault="00181AB0" w:rsidP="002D6FD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B1EB0" w14:textId="222501CF" w:rsidR="00272283" w:rsidRDefault="00272283">
      <w:pPr>
        <w:rPr>
          <w:rFonts w:ascii="Arial" w:hAnsi="Arial" w:cs="Arial"/>
          <w:b/>
          <w:bCs/>
        </w:rPr>
      </w:pPr>
    </w:p>
    <w:p w14:paraId="5F820161" w14:textId="43B17A2F" w:rsidR="00272283" w:rsidRPr="002A780D" w:rsidRDefault="00272283">
      <w:pPr>
        <w:rPr>
          <w:rFonts w:ascii="Arial" w:hAnsi="Arial" w:cs="Arial"/>
          <w:b/>
          <w:bCs/>
          <w:color w:val="FF0000"/>
        </w:rPr>
      </w:pPr>
      <w:r w:rsidRPr="00AF6E71">
        <w:rPr>
          <w:rFonts w:ascii="Arial" w:hAnsi="Arial" w:cs="Arial"/>
          <w:b/>
          <w:bCs/>
          <w:color w:val="FF0000"/>
        </w:rPr>
        <w:t xml:space="preserve">Decisions and/or </w:t>
      </w:r>
      <w:r w:rsidRPr="00C26BA0">
        <w:rPr>
          <w:rFonts w:ascii="Arial" w:hAnsi="Arial" w:cs="Arial"/>
          <w:b/>
          <w:bCs/>
          <w:color w:val="C00000"/>
        </w:rPr>
        <w:t>Reco</w:t>
      </w:r>
      <w:r w:rsidR="00181AB0" w:rsidRPr="00C26BA0">
        <w:rPr>
          <w:rFonts w:ascii="Arial" w:hAnsi="Arial" w:cs="Arial"/>
          <w:b/>
          <w:bCs/>
          <w:color w:val="C00000"/>
        </w:rPr>
        <w:t>m</w:t>
      </w:r>
      <w:r w:rsidRPr="00C26BA0">
        <w:rPr>
          <w:rFonts w:ascii="Arial" w:hAnsi="Arial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7D5B019C" w14:textId="77777777" w:rsidTr="00181AB0">
        <w:tc>
          <w:tcPr>
            <w:tcW w:w="9322" w:type="dxa"/>
          </w:tcPr>
          <w:p w14:paraId="6AF91C20" w14:textId="2F4B1E89" w:rsidR="00120BAD" w:rsidRPr="008710E0" w:rsidRDefault="00120BAD" w:rsidP="008710E0">
            <w:pPr>
              <w:rPr>
                <w:rFonts w:ascii="Arial" w:hAnsi="Arial" w:cs="Arial"/>
              </w:rPr>
            </w:pPr>
          </w:p>
          <w:p w14:paraId="1D75BBBA" w14:textId="2EA867EE" w:rsidR="0060642B" w:rsidRDefault="0060642B" w:rsidP="00AA4F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1E77">
              <w:rPr>
                <w:rFonts w:ascii="Arial" w:hAnsi="Arial" w:cs="Arial"/>
              </w:rPr>
              <w:t xml:space="preserve">Addition of </w:t>
            </w:r>
            <w:r w:rsidR="003B0DDB">
              <w:rPr>
                <w:rFonts w:ascii="Arial" w:hAnsi="Arial" w:cs="Arial"/>
              </w:rPr>
              <w:t>the following risk to the Risk Register:</w:t>
            </w:r>
          </w:p>
          <w:p w14:paraId="04327B72" w14:textId="77777777" w:rsidR="00B931C5" w:rsidRDefault="00B931C5" w:rsidP="00B931C5">
            <w:pPr>
              <w:pStyle w:val="ListParagraph"/>
              <w:rPr>
                <w:rFonts w:ascii="Arial" w:hAnsi="Arial" w:cs="Arial"/>
              </w:rPr>
            </w:pPr>
          </w:p>
          <w:p w14:paraId="370F15D6" w14:textId="45BCA67C" w:rsidR="008710E0" w:rsidRPr="00FB6D39" w:rsidRDefault="00AA4F0F" w:rsidP="001048F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70C0"/>
              </w:rPr>
            </w:pPr>
            <w:r w:rsidRPr="00FB6D39">
              <w:rPr>
                <w:rFonts w:ascii="Arial" w:hAnsi="Arial" w:cs="Arial"/>
                <w:u w:val="single"/>
              </w:rPr>
              <w:t xml:space="preserve">New: GBF Risk </w:t>
            </w:r>
            <w:r w:rsidR="00494406" w:rsidRPr="00FB6D39">
              <w:rPr>
                <w:rFonts w:ascii="Arial" w:hAnsi="Arial" w:cs="Arial"/>
                <w:u w:val="single"/>
              </w:rPr>
              <w:t>9</w:t>
            </w:r>
            <w:r w:rsidRPr="00FB6D39">
              <w:rPr>
                <w:rFonts w:ascii="Arial" w:hAnsi="Arial" w:cs="Arial"/>
              </w:rPr>
              <w:t xml:space="preserve">: </w:t>
            </w:r>
            <w:r w:rsidR="00F35F42" w:rsidRPr="00FB6D39">
              <w:rPr>
                <w:rFonts w:ascii="Arial" w:hAnsi="Arial" w:cs="Arial"/>
              </w:rPr>
              <w:t xml:space="preserve">There is a risk that liquidation/insolvency of contractors, sub-contractors or suppliers may cause significant disruption and delays to a scheme.  Delays due to a need to repeat tender processes or where there </w:t>
            </w:r>
            <w:proofErr w:type="gramStart"/>
            <w:r w:rsidR="00F35F42" w:rsidRPr="00FB6D39">
              <w:rPr>
                <w:rFonts w:ascii="Arial" w:hAnsi="Arial" w:cs="Arial"/>
              </w:rPr>
              <w:t>are</w:t>
            </w:r>
            <w:proofErr w:type="gramEnd"/>
            <w:r w:rsidR="00F35F42" w:rsidRPr="00FB6D39">
              <w:rPr>
                <w:rFonts w:ascii="Arial" w:hAnsi="Arial" w:cs="Arial"/>
              </w:rPr>
              <w:t xml:space="preserve"> long lead in times for supplies/materials could significantly impact on the ability of a scheme to deliver to timescale and to spend by the grant deadline and also could increase costs.</w:t>
            </w:r>
            <w:r w:rsidR="00BD05FE" w:rsidRPr="00FB6D39">
              <w:rPr>
                <w:rFonts w:ascii="Arial" w:hAnsi="Arial" w:cs="Arial"/>
              </w:rPr>
              <w:t xml:space="preserve">   </w:t>
            </w:r>
          </w:p>
          <w:p w14:paraId="714BC114" w14:textId="77777777" w:rsidR="00FB6D39" w:rsidRPr="00FB6D39" w:rsidRDefault="00FB6D39" w:rsidP="00FB6D39">
            <w:pPr>
              <w:pStyle w:val="ListParagraph"/>
              <w:ind w:left="1080"/>
              <w:rPr>
                <w:rFonts w:ascii="Arial" w:hAnsi="Arial" w:cs="Arial"/>
                <w:color w:val="0070C0"/>
              </w:rPr>
            </w:pPr>
          </w:p>
          <w:p w14:paraId="165F8637" w14:textId="77777777" w:rsidR="008F7090" w:rsidRDefault="009F4176" w:rsidP="00DB03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 of the following risk:</w:t>
            </w:r>
          </w:p>
          <w:p w14:paraId="6BD5F1EE" w14:textId="77777777" w:rsidR="009F4176" w:rsidRDefault="009F4176" w:rsidP="009F4176">
            <w:pPr>
              <w:rPr>
                <w:rFonts w:ascii="Arial" w:hAnsi="Arial" w:cs="Arial"/>
              </w:rPr>
            </w:pPr>
          </w:p>
          <w:p w14:paraId="2DC02FD1" w14:textId="56D85724" w:rsidR="009F4176" w:rsidRDefault="009F4176" w:rsidP="009F417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Risk 12</w:t>
            </w:r>
            <w:r w:rsidR="008710E0">
              <w:rPr>
                <w:rFonts w:ascii="Arial" w:hAnsi="Arial" w:cs="Arial"/>
              </w:rPr>
              <w:t>: Audit &amp; Finance feel that this risk w</w:t>
            </w:r>
            <w:r w:rsidR="008710E0" w:rsidRPr="008710E0">
              <w:rPr>
                <w:rFonts w:ascii="Arial" w:hAnsi="Arial" w:cs="Arial"/>
              </w:rPr>
              <w:t>ill be picked up under wider levelling up and LEP Review</w:t>
            </w:r>
            <w:r w:rsidR="008710E0">
              <w:rPr>
                <w:rFonts w:ascii="Arial" w:hAnsi="Arial" w:cs="Arial"/>
              </w:rPr>
              <w:t xml:space="preserve"> and can be closed.</w:t>
            </w:r>
          </w:p>
          <w:p w14:paraId="4493D3A0" w14:textId="77777777" w:rsidR="00EB765D" w:rsidRDefault="00EB765D" w:rsidP="00EB765D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645C7829" w14:textId="182591EC" w:rsidR="00EB765D" w:rsidRDefault="00EB765D" w:rsidP="00EB76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AB0">
              <w:rPr>
                <w:rFonts w:ascii="Arial" w:hAnsi="Arial" w:cs="Arial"/>
                <w:b/>
                <w:bCs/>
              </w:rPr>
              <w:t>Risks escalated to Executive Board</w:t>
            </w:r>
            <w:r>
              <w:rPr>
                <w:rFonts w:ascii="Arial" w:hAnsi="Arial" w:cs="Arial"/>
              </w:rPr>
              <w:t>:</w:t>
            </w:r>
          </w:p>
          <w:p w14:paraId="745BB91D" w14:textId="77777777" w:rsidR="00E376DC" w:rsidRDefault="00E376DC" w:rsidP="00E376D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65CE4C1" w14:textId="0C17A844" w:rsidR="008710E0" w:rsidRDefault="000651C9" w:rsidP="0003407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C85063">
              <w:rPr>
                <w:rFonts w:ascii="Arial" w:hAnsi="Arial" w:cs="Arial"/>
              </w:rPr>
              <w:t>Risk GPF5 – scheme in receipt of GPF loan</w:t>
            </w:r>
            <w:r w:rsidR="00103F1E">
              <w:rPr>
                <w:rFonts w:ascii="Arial" w:hAnsi="Arial" w:cs="Arial"/>
              </w:rPr>
              <w:t xml:space="preserve">; </w:t>
            </w:r>
            <w:r w:rsidR="00C85063" w:rsidRPr="00C85063">
              <w:rPr>
                <w:rFonts w:ascii="Arial" w:hAnsi="Arial" w:cs="Arial"/>
              </w:rPr>
              <w:t xml:space="preserve">linked </w:t>
            </w:r>
            <w:r w:rsidR="00103F1E">
              <w:rPr>
                <w:rFonts w:ascii="Arial" w:hAnsi="Arial" w:cs="Arial"/>
              </w:rPr>
              <w:t xml:space="preserve">with </w:t>
            </w:r>
            <w:r w:rsidR="007A32BB" w:rsidRPr="00C85063">
              <w:rPr>
                <w:rFonts w:ascii="Arial" w:hAnsi="Arial" w:cs="Arial"/>
              </w:rPr>
              <w:t xml:space="preserve">Risk </w:t>
            </w:r>
            <w:r w:rsidR="00125812" w:rsidRPr="00C85063">
              <w:rPr>
                <w:rFonts w:ascii="Arial" w:hAnsi="Arial" w:cs="Arial"/>
              </w:rPr>
              <w:t xml:space="preserve">CDGD27 – </w:t>
            </w:r>
            <w:r w:rsidRPr="00C85063">
              <w:rPr>
                <w:rFonts w:ascii="Arial" w:hAnsi="Arial" w:cs="Arial"/>
              </w:rPr>
              <w:t>scheme in receipt of LGF grant</w:t>
            </w:r>
            <w:r w:rsidR="00103F1E">
              <w:rPr>
                <w:rFonts w:ascii="Arial" w:hAnsi="Arial" w:cs="Arial"/>
              </w:rPr>
              <w:t>.</w:t>
            </w:r>
            <w:r w:rsidRPr="00C85063">
              <w:rPr>
                <w:rFonts w:ascii="Arial" w:hAnsi="Arial" w:cs="Arial"/>
              </w:rPr>
              <w:t xml:space="preserve"> </w:t>
            </w:r>
          </w:p>
          <w:p w14:paraId="7A3AEDB2" w14:textId="0987BF2E" w:rsidR="00C85063" w:rsidRDefault="00103F1E" w:rsidP="00C85063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paper </w:t>
            </w:r>
            <w:r w:rsidR="0059671F">
              <w:rPr>
                <w:rFonts w:ascii="Arial" w:hAnsi="Arial" w:cs="Arial"/>
              </w:rPr>
              <w:t>is being</w:t>
            </w:r>
            <w:r>
              <w:rPr>
                <w:rFonts w:ascii="Arial" w:hAnsi="Arial" w:cs="Arial"/>
              </w:rPr>
              <w:t xml:space="preserve"> brought to Board by the Growing Places Fund Panel</w:t>
            </w:r>
            <w:r w:rsidR="00977AB0">
              <w:rPr>
                <w:rFonts w:ascii="Arial" w:hAnsi="Arial" w:cs="Arial"/>
              </w:rPr>
              <w:t>.</w:t>
            </w:r>
          </w:p>
          <w:p w14:paraId="6A1B6153" w14:textId="0CEA0C37" w:rsidR="00120BAD" w:rsidRPr="00791D1E" w:rsidRDefault="00541B0D" w:rsidP="001852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 paper is being brought to Board by </w:t>
            </w:r>
            <w:r w:rsidR="000836C2">
              <w:rPr>
                <w:rFonts w:ascii="Arial" w:hAnsi="Arial" w:cs="Arial"/>
              </w:rPr>
              <w:t>SPMG</w:t>
            </w:r>
            <w:r>
              <w:rPr>
                <w:rFonts w:ascii="Arial" w:hAnsi="Arial" w:cs="Arial"/>
              </w:rPr>
              <w:t xml:space="preserve"> (</w:t>
            </w:r>
            <w:r w:rsidR="00CA4DD3" w:rsidRPr="00CA4DD3">
              <w:rPr>
                <w:rFonts w:ascii="Arial" w:hAnsi="Arial" w:cs="Arial"/>
                <w:i/>
                <w:iCs/>
              </w:rPr>
              <w:t>assuming</w:t>
            </w:r>
            <w:r w:rsidR="003C2E28" w:rsidRPr="00791D1E">
              <w:rPr>
                <w:rFonts w:ascii="Arial" w:hAnsi="Arial" w:cs="Arial"/>
                <w:i/>
                <w:iCs/>
              </w:rPr>
              <w:t xml:space="preserve"> the postponed SPMG meeting can be rearranged </w:t>
            </w:r>
            <w:r w:rsidR="0059671F" w:rsidRPr="00791D1E">
              <w:rPr>
                <w:rFonts w:ascii="Arial" w:hAnsi="Arial" w:cs="Arial"/>
                <w:i/>
                <w:iCs/>
              </w:rPr>
              <w:t>prior to the Board meeting</w:t>
            </w:r>
            <w:r w:rsidR="00791D1E" w:rsidRPr="00791D1E">
              <w:rPr>
                <w:rFonts w:ascii="Arial" w:hAnsi="Arial" w:cs="Arial"/>
                <w:i/>
                <w:iCs/>
              </w:rPr>
              <w:t>)</w:t>
            </w:r>
            <w:r w:rsidR="0059671F" w:rsidRPr="00791D1E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40FE7854" w14:textId="397F7795" w:rsidR="001852BA" w:rsidRPr="008710E0" w:rsidRDefault="001852BA" w:rsidP="001852BA">
            <w:pPr>
              <w:pStyle w:val="ListParagraph"/>
              <w:ind w:left="1800"/>
              <w:rPr>
                <w:rFonts w:ascii="Arial" w:hAnsi="Arial" w:cs="Arial"/>
              </w:rPr>
            </w:pPr>
          </w:p>
        </w:tc>
      </w:tr>
    </w:tbl>
    <w:p w14:paraId="0AA930D9" w14:textId="6057A908" w:rsidR="00181AB0" w:rsidRDefault="00181AB0">
      <w:pPr>
        <w:rPr>
          <w:rFonts w:ascii="Arial" w:hAnsi="Arial" w:cs="Arial"/>
        </w:rPr>
      </w:pPr>
    </w:p>
    <w:p w14:paraId="1DFC7D4A" w14:textId="6B7B976C" w:rsidR="0015532E" w:rsidRPr="00E86654" w:rsidRDefault="004F6792" w:rsidP="00BD73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86654">
        <w:rPr>
          <w:rFonts w:ascii="Arial" w:hAnsi="Arial" w:cs="Arial"/>
          <w:b/>
          <w:bCs/>
        </w:rPr>
        <w:t>Appendix 1:</w:t>
      </w:r>
      <w:r w:rsidRPr="00E86654">
        <w:rPr>
          <w:rFonts w:ascii="Arial" w:hAnsi="Arial" w:cs="Arial"/>
        </w:rPr>
        <w:t xml:space="preserve"> SSLEP Risk and Issue Log </w:t>
      </w:r>
      <w:r w:rsidR="008710E0">
        <w:rPr>
          <w:rFonts w:ascii="Arial" w:hAnsi="Arial" w:cs="Arial"/>
        </w:rPr>
        <w:t>13.10.2021</w:t>
      </w:r>
    </w:p>
    <w:p w14:paraId="77E4FDA4" w14:textId="77777777" w:rsidR="004F6792" w:rsidRDefault="004F6792">
      <w:pPr>
        <w:rPr>
          <w:rFonts w:ascii="Arial" w:hAnsi="Arial" w:cs="Arial"/>
        </w:rPr>
      </w:pPr>
    </w:p>
    <w:p w14:paraId="4D0760BE" w14:textId="4B7F90DB" w:rsidR="00B42F2B" w:rsidRPr="00ED7657" w:rsidRDefault="00B42F2B">
      <w:pPr>
        <w:rPr>
          <w:rFonts w:ascii="Arial" w:hAnsi="Arial" w:cs="Arial"/>
        </w:rPr>
      </w:pPr>
      <w:r>
        <w:rPr>
          <w:rFonts w:ascii="Arial" w:hAnsi="Arial" w:cs="Arial"/>
        </w:rPr>
        <w:t>Full details of the meeting including agenda pac</w:t>
      </w:r>
      <w:r w:rsidR="00FE7956">
        <w:rPr>
          <w:rFonts w:ascii="Arial" w:hAnsi="Arial" w:cs="Arial"/>
        </w:rPr>
        <w:t xml:space="preserve">k, presentations and minutes can be </w:t>
      </w:r>
      <w:r w:rsidR="0060642B" w:rsidRPr="0060642B">
        <w:rPr>
          <w:rFonts w:ascii="Arial" w:hAnsi="Arial" w:cs="Arial"/>
        </w:rPr>
        <w:t>requested from</w:t>
      </w:r>
      <w:r w:rsidR="0060642B">
        <w:t xml:space="preserve"> </w:t>
      </w:r>
      <w:hyperlink r:id="rId11" w:history="1">
        <w:r w:rsidR="004F35D8">
          <w:rPr>
            <w:rStyle w:val="Hyperlink"/>
            <w:lang w:eastAsia="en-GB"/>
          </w:rPr>
          <w:t>john.broad@staffordshire.gov.uk</w:t>
        </w:r>
      </w:hyperlink>
    </w:p>
    <w:sectPr w:rsidR="00B42F2B" w:rsidRPr="00ED7657" w:rsidSect="002E410C">
      <w:headerReference w:type="default" r:id="rId12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6AA1" w14:textId="77777777" w:rsidR="00787F12" w:rsidRDefault="00787F12" w:rsidP="002E410C">
      <w:pPr>
        <w:spacing w:after="0" w:line="240" w:lineRule="auto"/>
      </w:pPr>
      <w:r>
        <w:separator/>
      </w:r>
    </w:p>
  </w:endnote>
  <w:endnote w:type="continuationSeparator" w:id="0">
    <w:p w14:paraId="47951D0E" w14:textId="77777777" w:rsidR="00787F12" w:rsidRDefault="00787F12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4D48" w14:textId="77777777" w:rsidR="00787F12" w:rsidRDefault="00787F12" w:rsidP="002E410C">
      <w:pPr>
        <w:spacing w:after="0" w:line="240" w:lineRule="auto"/>
      </w:pPr>
      <w:r>
        <w:separator/>
      </w:r>
    </w:p>
  </w:footnote>
  <w:footnote w:type="continuationSeparator" w:id="0">
    <w:p w14:paraId="4A8FC4DD" w14:textId="77777777" w:rsidR="00787F12" w:rsidRDefault="00787F12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224"/>
    <w:multiLevelType w:val="hybridMultilevel"/>
    <w:tmpl w:val="2E54DB68"/>
    <w:lvl w:ilvl="0" w:tplc="AE7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F4B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5DB"/>
    <w:multiLevelType w:val="hybridMultilevel"/>
    <w:tmpl w:val="87067BDE"/>
    <w:lvl w:ilvl="0" w:tplc="B7FCF3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70058"/>
    <w:multiLevelType w:val="hybridMultilevel"/>
    <w:tmpl w:val="AB58E9E8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D184602"/>
    <w:multiLevelType w:val="hybridMultilevel"/>
    <w:tmpl w:val="3EFEE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A6F64"/>
    <w:multiLevelType w:val="hybridMultilevel"/>
    <w:tmpl w:val="300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51AC"/>
    <w:multiLevelType w:val="hybridMultilevel"/>
    <w:tmpl w:val="104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5A22"/>
    <w:multiLevelType w:val="hybridMultilevel"/>
    <w:tmpl w:val="2A8ECD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38C673E"/>
    <w:multiLevelType w:val="hybridMultilevel"/>
    <w:tmpl w:val="A5F8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248"/>
    <w:multiLevelType w:val="hybridMultilevel"/>
    <w:tmpl w:val="A21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263B"/>
    <w:multiLevelType w:val="hybridMultilevel"/>
    <w:tmpl w:val="0F5A4E0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5F745C"/>
    <w:multiLevelType w:val="hybridMultilevel"/>
    <w:tmpl w:val="41B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6F57"/>
    <w:multiLevelType w:val="hybridMultilevel"/>
    <w:tmpl w:val="7D1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07FA3"/>
    <w:rsid w:val="000171C2"/>
    <w:rsid w:val="00021501"/>
    <w:rsid w:val="00031E6E"/>
    <w:rsid w:val="00046311"/>
    <w:rsid w:val="000566BA"/>
    <w:rsid w:val="00063D4A"/>
    <w:rsid w:val="000651C9"/>
    <w:rsid w:val="00065968"/>
    <w:rsid w:val="000668EF"/>
    <w:rsid w:val="00067BA0"/>
    <w:rsid w:val="00075027"/>
    <w:rsid w:val="000778A3"/>
    <w:rsid w:val="000813DC"/>
    <w:rsid w:val="000836C2"/>
    <w:rsid w:val="00091F51"/>
    <w:rsid w:val="00097B75"/>
    <w:rsid w:val="000A2B64"/>
    <w:rsid w:val="000A5234"/>
    <w:rsid w:val="000D0FF8"/>
    <w:rsid w:val="000D1FC6"/>
    <w:rsid w:val="000F2E64"/>
    <w:rsid w:val="00103F1E"/>
    <w:rsid w:val="001121DC"/>
    <w:rsid w:val="00113E12"/>
    <w:rsid w:val="00116A4B"/>
    <w:rsid w:val="00120BAD"/>
    <w:rsid w:val="00121DF4"/>
    <w:rsid w:val="00122BF3"/>
    <w:rsid w:val="00125812"/>
    <w:rsid w:val="001429C4"/>
    <w:rsid w:val="001431FA"/>
    <w:rsid w:val="00153870"/>
    <w:rsid w:val="001549FD"/>
    <w:rsid w:val="00155050"/>
    <w:rsid w:val="0015532E"/>
    <w:rsid w:val="0015600E"/>
    <w:rsid w:val="00156DB5"/>
    <w:rsid w:val="00181AB0"/>
    <w:rsid w:val="001822D9"/>
    <w:rsid w:val="001852BA"/>
    <w:rsid w:val="00190BA4"/>
    <w:rsid w:val="00194DFD"/>
    <w:rsid w:val="001A2653"/>
    <w:rsid w:val="001B1B79"/>
    <w:rsid w:val="001C54C4"/>
    <w:rsid w:val="001E4F92"/>
    <w:rsid w:val="001F7F11"/>
    <w:rsid w:val="00200B0F"/>
    <w:rsid w:val="00205E35"/>
    <w:rsid w:val="00216944"/>
    <w:rsid w:val="00216957"/>
    <w:rsid w:val="00234B53"/>
    <w:rsid w:val="00235DC1"/>
    <w:rsid w:val="0023752A"/>
    <w:rsid w:val="002428FC"/>
    <w:rsid w:val="0024340E"/>
    <w:rsid w:val="00256A3F"/>
    <w:rsid w:val="00272283"/>
    <w:rsid w:val="00272609"/>
    <w:rsid w:val="00286A48"/>
    <w:rsid w:val="002A30FA"/>
    <w:rsid w:val="002A6A6B"/>
    <w:rsid w:val="002A6E50"/>
    <w:rsid w:val="002A780D"/>
    <w:rsid w:val="002B4F80"/>
    <w:rsid w:val="002C4EE1"/>
    <w:rsid w:val="002D565C"/>
    <w:rsid w:val="002D5CCC"/>
    <w:rsid w:val="002D6207"/>
    <w:rsid w:val="002D6FD6"/>
    <w:rsid w:val="002E410C"/>
    <w:rsid w:val="002E4DA2"/>
    <w:rsid w:val="002E5461"/>
    <w:rsid w:val="002E6BBF"/>
    <w:rsid w:val="002F6AEB"/>
    <w:rsid w:val="00311F32"/>
    <w:rsid w:val="00313699"/>
    <w:rsid w:val="00313E4F"/>
    <w:rsid w:val="00314332"/>
    <w:rsid w:val="00321346"/>
    <w:rsid w:val="0032418E"/>
    <w:rsid w:val="00330D56"/>
    <w:rsid w:val="003371E7"/>
    <w:rsid w:val="00340E30"/>
    <w:rsid w:val="003444E3"/>
    <w:rsid w:val="00350113"/>
    <w:rsid w:val="00364DF2"/>
    <w:rsid w:val="00370B30"/>
    <w:rsid w:val="00376101"/>
    <w:rsid w:val="00381244"/>
    <w:rsid w:val="00392C49"/>
    <w:rsid w:val="003A18F6"/>
    <w:rsid w:val="003A1B88"/>
    <w:rsid w:val="003A7BBF"/>
    <w:rsid w:val="003B0DDB"/>
    <w:rsid w:val="003B14B9"/>
    <w:rsid w:val="003C2E28"/>
    <w:rsid w:val="003C6A19"/>
    <w:rsid w:val="003D486A"/>
    <w:rsid w:val="003D6F20"/>
    <w:rsid w:val="003E6FF4"/>
    <w:rsid w:val="0040659E"/>
    <w:rsid w:val="004112B2"/>
    <w:rsid w:val="00414233"/>
    <w:rsid w:val="00417BC1"/>
    <w:rsid w:val="00423711"/>
    <w:rsid w:val="0042459F"/>
    <w:rsid w:val="004331F1"/>
    <w:rsid w:val="00441A6F"/>
    <w:rsid w:val="00453DE5"/>
    <w:rsid w:val="00455A4D"/>
    <w:rsid w:val="00466BC8"/>
    <w:rsid w:val="004748E2"/>
    <w:rsid w:val="00477C5C"/>
    <w:rsid w:val="0049050B"/>
    <w:rsid w:val="00493AA8"/>
    <w:rsid w:val="00494406"/>
    <w:rsid w:val="00494620"/>
    <w:rsid w:val="00496B33"/>
    <w:rsid w:val="004B1DC7"/>
    <w:rsid w:val="004B2985"/>
    <w:rsid w:val="004B3868"/>
    <w:rsid w:val="004B744D"/>
    <w:rsid w:val="004C0E1E"/>
    <w:rsid w:val="004C6B18"/>
    <w:rsid w:val="004D0A64"/>
    <w:rsid w:val="004D0C0A"/>
    <w:rsid w:val="004E338C"/>
    <w:rsid w:val="004E5A19"/>
    <w:rsid w:val="004F0B8E"/>
    <w:rsid w:val="004F1F51"/>
    <w:rsid w:val="004F35D8"/>
    <w:rsid w:val="004F6792"/>
    <w:rsid w:val="00500582"/>
    <w:rsid w:val="00516854"/>
    <w:rsid w:val="005321D2"/>
    <w:rsid w:val="00541B0D"/>
    <w:rsid w:val="00551CFC"/>
    <w:rsid w:val="00560764"/>
    <w:rsid w:val="0056411F"/>
    <w:rsid w:val="0056475E"/>
    <w:rsid w:val="005827C8"/>
    <w:rsid w:val="00582B91"/>
    <w:rsid w:val="0058412A"/>
    <w:rsid w:val="00592FD2"/>
    <w:rsid w:val="0059671F"/>
    <w:rsid w:val="00597CDC"/>
    <w:rsid w:val="005B03ED"/>
    <w:rsid w:val="005B1380"/>
    <w:rsid w:val="005B25BE"/>
    <w:rsid w:val="005B3E83"/>
    <w:rsid w:val="005B3EAE"/>
    <w:rsid w:val="005C6F3A"/>
    <w:rsid w:val="005C79CB"/>
    <w:rsid w:val="005C79F4"/>
    <w:rsid w:val="005D321F"/>
    <w:rsid w:val="005D53C0"/>
    <w:rsid w:val="005D567C"/>
    <w:rsid w:val="005F2F9D"/>
    <w:rsid w:val="005F7B0A"/>
    <w:rsid w:val="0060642B"/>
    <w:rsid w:val="00617C44"/>
    <w:rsid w:val="00621647"/>
    <w:rsid w:val="00622AA2"/>
    <w:rsid w:val="00626C97"/>
    <w:rsid w:val="006410C5"/>
    <w:rsid w:val="00655308"/>
    <w:rsid w:val="00655DBA"/>
    <w:rsid w:val="006603DF"/>
    <w:rsid w:val="006636BD"/>
    <w:rsid w:val="00666C85"/>
    <w:rsid w:val="00667E0C"/>
    <w:rsid w:val="00674AA5"/>
    <w:rsid w:val="006812AF"/>
    <w:rsid w:val="006B4972"/>
    <w:rsid w:val="006C11C1"/>
    <w:rsid w:val="006D1BC1"/>
    <w:rsid w:val="006D42C7"/>
    <w:rsid w:val="006E3BA0"/>
    <w:rsid w:val="006F1E77"/>
    <w:rsid w:val="006F7ED2"/>
    <w:rsid w:val="00705E6F"/>
    <w:rsid w:val="0071127D"/>
    <w:rsid w:val="0071139C"/>
    <w:rsid w:val="00720F54"/>
    <w:rsid w:val="00743AA9"/>
    <w:rsid w:val="00743FA6"/>
    <w:rsid w:val="0074469D"/>
    <w:rsid w:val="00763D48"/>
    <w:rsid w:val="00770CE2"/>
    <w:rsid w:val="00776AD3"/>
    <w:rsid w:val="0078323A"/>
    <w:rsid w:val="00783766"/>
    <w:rsid w:val="00784954"/>
    <w:rsid w:val="00787F12"/>
    <w:rsid w:val="00791D1E"/>
    <w:rsid w:val="007A0D9B"/>
    <w:rsid w:val="007A199B"/>
    <w:rsid w:val="007A32BB"/>
    <w:rsid w:val="007A7598"/>
    <w:rsid w:val="007B3732"/>
    <w:rsid w:val="007C27C8"/>
    <w:rsid w:val="007C49F6"/>
    <w:rsid w:val="007E76B4"/>
    <w:rsid w:val="008105B3"/>
    <w:rsid w:val="0081716E"/>
    <w:rsid w:val="008309CD"/>
    <w:rsid w:val="00833BC5"/>
    <w:rsid w:val="00851FCB"/>
    <w:rsid w:val="00856232"/>
    <w:rsid w:val="008615F3"/>
    <w:rsid w:val="008704FA"/>
    <w:rsid w:val="008710E0"/>
    <w:rsid w:val="00876A92"/>
    <w:rsid w:val="008802C9"/>
    <w:rsid w:val="00890CE4"/>
    <w:rsid w:val="008919CB"/>
    <w:rsid w:val="00891DD1"/>
    <w:rsid w:val="008A0E13"/>
    <w:rsid w:val="008A638C"/>
    <w:rsid w:val="008B1ED4"/>
    <w:rsid w:val="008D7320"/>
    <w:rsid w:val="008E0BC4"/>
    <w:rsid w:val="008E2A13"/>
    <w:rsid w:val="008E55ED"/>
    <w:rsid w:val="008E5E17"/>
    <w:rsid w:val="008F7090"/>
    <w:rsid w:val="009108FA"/>
    <w:rsid w:val="009119E7"/>
    <w:rsid w:val="009206B6"/>
    <w:rsid w:val="00921302"/>
    <w:rsid w:val="009229ED"/>
    <w:rsid w:val="00925924"/>
    <w:rsid w:val="00934C3B"/>
    <w:rsid w:val="00943454"/>
    <w:rsid w:val="009525B1"/>
    <w:rsid w:val="00964FD5"/>
    <w:rsid w:val="009730CE"/>
    <w:rsid w:val="0097778D"/>
    <w:rsid w:val="00977AB0"/>
    <w:rsid w:val="00986B1B"/>
    <w:rsid w:val="00995CC9"/>
    <w:rsid w:val="009973D3"/>
    <w:rsid w:val="009A03D1"/>
    <w:rsid w:val="009A7F1B"/>
    <w:rsid w:val="009B2642"/>
    <w:rsid w:val="009B2E2B"/>
    <w:rsid w:val="009C21C8"/>
    <w:rsid w:val="009C6A5C"/>
    <w:rsid w:val="009E0687"/>
    <w:rsid w:val="009E0EA0"/>
    <w:rsid w:val="009F4176"/>
    <w:rsid w:val="009F73E8"/>
    <w:rsid w:val="00A05C9C"/>
    <w:rsid w:val="00A0675B"/>
    <w:rsid w:val="00A23D1C"/>
    <w:rsid w:val="00A30954"/>
    <w:rsid w:val="00A32051"/>
    <w:rsid w:val="00A32BEB"/>
    <w:rsid w:val="00A33610"/>
    <w:rsid w:val="00A350D9"/>
    <w:rsid w:val="00A3677B"/>
    <w:rsid w:val="00A63330"/>
    <w:rsid w:val="00A73BBA"/>
    <w:rsid w:val="00A77794"/>
    <w:rsid w:val="00A80BA6"/>
    <w:rsid w:val="00A86E1B"/>
    <w:rsid w:val="00A90104"/>
    <w:rsid w:val="00A928B0"/>
    <w:rsid w:val="00A967F5"/>
    <w:rsid w:val="00A96AD0"/>
    <w:rsid w:val="00AA4F0F"/>
    <w:rsid w:val="00AD3770"/>
    <w:rsid w:val="00AF30FF"/>
    <w:rsid w:val="00AF6E71"/>
    <w:rsid w:val="00AF6EB6"/>
    <w:rsid w:val="00B021C8"/>
    <w:rsid w:val="00B05241"/>
    <w:rsid w:val="00B11716"/>
    <w:rsid w:val="00B25D9C"/>
    <w:rsid w:val="00B334C2"/>
    <w:rsid w:val="00B37773"/>
    <w:rsid w:val="00B42C4B"/>
    <w:rsid w:val="00B42F2B"/>
    <w:rsid w:val="00B44035"/>
    <w:rsid w:val="00B44330"/>
    <w:rsid w:val="00B62D9A"/>
    <w:rsid w:val="00B64475"/>
    <w:rsid w:val="00B912E1"/>
    <w:rsid w:val="00B931C5"/>
    <w:rsid w:val="00BA25BC"/>
    <w:rsid w:val="00BA47E5"/>
    <w:rsid w:val="00BB4AF3"/>
    <w:rsid w:val="00BC0D39"/>
    <w:rsid w:val="00BC183F"/>
    <w:rsid w:val="00BC2E19"/>
    <w:rsid w:val="00BD05FE"/>
    <w:rsid w:val="00BD1579"/>
    <w:rsid w:val="00BF15C8"/>
    <w:rsid w:val="00BF4EAE"/>
    <w:rsid w:val="00BF5AFA"/>
    <w:rsid w:val="00BF6A7C"/>
    <w:rsid w:val="00C10BAB"/>
    <w:rsid w:val="00C15D59"/>
    <w:rsid w:val="00C26BA0"/>
    <w:rsid w:val="00C3314D"/>
    <w:rsid w:val="00C34F2C"/>
    <w:rsid w:val="00C423B8"/>
    <w:rsid w:val="00C441A1"/>
    <w:rsid w:val="00C4659D"/>
    <w:rsid w:val="00C55503"/>
    <w:rsid w:val="00C65C80"/>
    <w:rsid w:val="00C821F8"/>
    <w:rsid w:val="00C85063"/>
    <w:rsid w:val="00CA4C22"/>
    <w:rsid w:val="00CA4DD3"/>
    <w:rsid w:val="00CA505A"/>
    <w:rsid w:val="00CB682C"/>
    <w:rsid w:val="00CC1A24"/>
    <w:rsid w:val="00CE1B68"/>
    <w:rsid w:val="00CE3890"/>
    <w:rsid w:val="00CF060F"/>
    <w:rsid w:val="00D068BC"/>
    <w:rsid w:val="00D1574B"/>
    <w:rsid w:val="00D33FD9"/>
    <w:rsid w:val="00D34498"/>
    <w:rsid w:val="00D37805"/>
    <w:rsid w:val="00D40C05"/>
    <w:rsid w:val="00D421F7"/>
    <w:rsid w:val="00D42400"/>
    <w:rsid w:val="00D55059"/>
    <w:rsid w:val="00D56F97"/>
    <w:rsid w:val="00D61EBA"/>
    <w:rsid w:val="00D639BA"/>
    <w:rsid w:val="00D642A4"/>
    <w:rsid w:val="00D75FAA"/>
    <w:rsid w:val="00D8227E"/>
    <w:rsid w:val="00D86543"/>
    <w:rsid w:val="00D95A65"/>
    <w:rsid w:val="00DA5E09"/>
    <w:rsid w:val="00DA66D5"/>
    <w:rsid w:val="00DB0392"/>
    <w:rsid w:val="00DC66B9"/>
    <w:rsid w:val="00DF23EB"/>
    <w:rsid w:val="00DF7C84"/>
    <w:rsid w:val="00E370AB"/>
    <w:rsid w:val="00E376DC"/>
    <w:rsid w:val="00E439EB"/>
    <w:rsid w:val="00E4516D"/>
    <w:rsid w:val="00E458D7"/>
    <w:rsid w:val="00E61B71"/>
    <w:rsid w:val="00E63368"/>
    <w:rsid w:val="00E65CEB"/>
    <w:rsid w:val="00E65F8C"/>
    <w:rsid w:val="00E7134A"/>
    <w:rsid w:val="00E75C80"/>
    <w:rsid w:val="00E82E76"/>
    <w:rsid w:val="00E84AFA"/>
    <w:rsid w:val="00E86654"/>
    <w:rsid w:val="00E86903"/>
    <w:rsid w:val="00E9205F"/>
    <w:rsid w:val="00E97CAB"/>
    <w:rsid w:val="00EB765D"/>
    <w:rsid w:val="00EC5D38"/>
    <w:rsid w:val="00EC67BE"/>
    <w:rsid w:val="00EC6FEA"/>
    <w:rsid w:val="00ED0559"/>
    <w:rsid w:val="00ED13C8"/>
    <w:rsid w:val="00ED7657"/>
    <w:rsid w:val="00EE0F7B"/>
    <w:rsid w:val="00EE3B74"/>
    <w:rsid w:val="00EE4F22"/>
    <w:rsid w:val="00F019B1"/>
    <w:rsid w:val="00F02157"/>
    <w:rsid w:val="00F06EC0"/>
    <w:rsid w:val="00F0752C"/>
    <w:rsid w:val="00F17B84"/>
    <w:rsid w:val="00F20F66"/>
    <w:rsid w:val="00F210D2"/>
    <w:rsid w:val="00F35F42"/>
    <w:rsid w:val="00F60D23"/>
    <w:rsid w:val="00F74B19"/>
    <w:rsid w:val="00F8083A"/>
    <w:rsid w:val="00F90F78"/>
    <w:rsid w:val="00F9503D"/>
    <w:rsid w:val="00FA149A"/>
    <w:rsid w:val="00FA5244"/>
    <w:rsid w:val="00FB288B"/>
    <w:rsid w:val="00FB4E3D"/>
    <w:rsid w:val="00FB6D39"/>
    <w:rsid w:val="00FB73F6"/>
    <w:rsid w:val="00FC28AE"/>
    <w:rsid w:val="00FC5E99"/>
    <w:rsid w:val="00FD2200"/>
    <w:rsid w:val="00FD38BC"/>
    <w:rsid w:val="00FE34E9"/>
    <w:rsid w:val="00FE7956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broad@staffordshir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D7F4-A435-4E6E-8000-D48EE0EC5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EF87-2564-462A-9896-2F8473CDF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BD85B-A5D3-43E2-A0A4-699EBE53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B46CD-E5F3-49CC-AABF-252B502DA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Palphreyman, Sharon (Corporate)</cp:lastModifiedBy>
  <cp:revision>5</cp:revision>
  <dcterms:created xsi:type="dcterms:W3CDTF">2021-10-14T09:50:00Z</dcterms:created>
  <dcterms:modified xsi:type="dcterms:W3CDTF">2021-10-14T12:07:00Z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