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AD84" w14:textId="77777777" w:rsidR="00394DCB" w:rsidRDefault="00394DCB" w:rsidP="00394DCB">
      <w:pPr>
        <w:spacing w:after="120"/>
        <w:rPr>
          <w:rFonts w:ascii="Arial" w:hAnsi="Arial" w:cs="Arial"/>
        </w:rPr>
      </w:pPr>
    </w:p>
    <w:p w14:paraId="4907F25F" w14:textId="12AD4A50" w:rsidR="002E410C" w:rsidRDefault="002E410C" w:rsidP="00394DCB">
      <w:pPr>
        <w:spacing w:after="120"/>
        <w:rPr>
          <w:rFonts w:ascii="Arial" w:hAnsi="Arial" w:cs="Arial"/>
          <w:b/>
          <w:bCs/>
        </w:rPr>
      </w:pPr>
      <w:r w:rsidRPr="00ED7657">
        <w:rPr>
          <w:rFonts w:ascii="Arial" w:hAnsi="Arial" w:cs="Arial"/>
        </w:rPr>
        <w:t xml:space="preserve">Report of </w:t>
      </w:r>
      <w:r w:rsidRPr="009973D3">
        <w:rPr>
          <w:rFonts w:ascii="Arial" w:hAnsi="Arial" w:cs="Arial"/>
          <w:b/>
          <w:bCs/>
        </w:rPr>
        <w:t>SPMG Subgroup Chair</w:t>
      </w:r>
      <w:r w:rsidR="00ED7657">
        <w:rPr>
          <w:rFonts w:ascii="Arial" w:hAnsi="Arial" w:cs="Arial"/>
        </w:rPr>
        <w:t xml:space="preserve"> in relation to the meeting of </w:t>
      </w:r>
      <w:r w:rsidR="008B7CB5">
        <w:rPr>
          <w:rFonts w:ascii="Arial" w:hAnsi="Arial" w:cs="Arial"/>
          <w:b/>
          <w:bCs/>
        </w:rPr>
        <w:t>24 August</w:t>
      </w:r>
      <w:r w:rsidR="00FD2200" w:rsidRPr="00FD2200">
        <w:rPr>
          <w:rFonts w:ascii="Arial" w:hAnsi="Arial" w:cs="Arial"/>
          <w:b/>
          <w:bCs/>
        </w:rPr>
        <w:t xml:space="preserve"> 2021</w:t>
      </w:r>
    </w:p>
    <w:p w14:paraId="7A796F53" w14:textId="726D38E8" w:rsidR="00FD2200" w:rsidRDefault="003A18F6">
      <w:pPr>
        <w:rPr>
          <w:rFonts w:ascii="Arial" w:hAnsi="Arial" w:cs="Arial"/>
          <w:b/>
          <w:bCs/>
        </w:rPr>
      </w:pPr>
      <w:r>
        <w:rPr>
          <w:rFonts w:ascii="Arial" w:hAnsi="Arial" w:cs="Arial"/>
          <w:b/>
          <w:bCs/>
        </w:rPr>
        <w:t xml:space="preserve">For: </w:t>
      </w:r>
      <w:r w:rsidR="00E86903" w:rsidRPr="00172DA6">
        <w:rPr>
          <w:rFonts w:ascii="Arial" w:hAnsi="Arial" w:cs="Arial"/>
          <w:color w:val="C00000"/>
          <w:sz w:val="28"/>
          <w:szCs w:val="28"/>
        </w:rPr>
        <w:t>(I)</w:t>
      </w:r>
      <w:r w:rsidRPr="00172DA6">
        <w:rPr>
          <w:rFonts w:ascii="Arial" w:hAnsi="Arial" w:cs="Arial"/>
          <w:color w:val="C00000"/>
        </w:rPr>
        <w:t xml:space="preserve"> Information</w:t>
      </w:r>
      <w:r w:rsidR="009F73E8" w:rsidRPr="00172DA6">
        <w:rPr>
          <w:rFonts w:ascii="Arial" w:hAnsi="Arial" w:cs="Arial"/>
          <w:color w:val="C00000"/>
        </w:rPr>
        <w:tab/>
      </w:r>
      <w:r w:rsidR="00617C44">
        <w:rPr>
          <w:rFonts w:ascii="Arial" w:hAnsi="Arial" w:cs="Arial"/>
        </w:rPr>
        <w:tab/>
      </w:r>
      <w:r w:rsidR="00D75FAA" w:rsidRPr="00172DA6">
        <w:rPr>
          <w:rFonts w:ascii="Arial" w:hAnsi="Arial" w:cs="Arial"/>
          <w:color w:val="C00000"/>
          <w:sz w:val="28"/>
          <w:szCs w:val="28"/>
        </w:rPr>
        <w:t>(R)</w:t>
      </w:r>
      <w:r w:rsidR="009F73E8" w:rsidRPr="00172DA6">
        <w:rPr>
          <w:rFonts w:ascii="Arial" w:hAnsi="Arial" w:cs="Arial"/>
          <w:color w:val="C00000"/>
        </w:rPr>
        <w:t xml:space="preserve"> Ratification</w:t>
      </w:r>
      <w:r w:rsidR="00617C44" w:rsidRPr="002A780D">
        <w:rPr>
          <w:rFonts w:ascii="Arial" w:hAnsi="Arial" w:cs="Arial"/>
          <w:color w:val="FF0000"/>
        </w:rPr>
        <w:tab/>
      </w:r>
      <w:r w:rsidR="00617C44">
        <w:rPr>
          <w:rFonts w:ascii="Arial" w:hAnsi="Arial" w:cs="Arial"/>
        </w:rPr>
        <w:tab/>
      </w:r>
      <w:r w:rsidR="00455A4D">
        <w:rPr>
          <w:rFonts w:ascii="Arial" w:hAnsi="Arial" w:cs="Arial"/>
          <w:sz w:val="28"/>
          <w:szCs w:val="28"/>
        </w:rPr>
        <w:t>(D)</w:t>
      </w:r>
      <w:r w:rsidR="00617C44" w:rsidRPr="003A18F6">
        <w:rPr>
          <w:rFonts w:ascii="Arial" w:hAnsi="Arial" w:cs="Arial"/>
        </w:rPr>
        <w:t xml:space="preserve"> </w:t>
      </w:r>
      <w:r w:rsidR="00617C44">
        <w:rPr>
          <w:rFonts w:ascii="Arial" w:hAnsi="Arial" w:cs="Arial"/>
        </w:rPr>
        <w:t>Discussion and decision</w:t>
      </w:r>
    </w:p>
    <w:p w14:paraId="5AB39245" w14:textId="4AF58B03" w:rsidR="00FD2200" w:rsidRDefault="00FD2200">
      <w:pPr>
        <w:rPr>
          <w:rFonts w:ascii="Arial" w:hAnsi="Arial" w:cs="Arial"/>
          <w:b/>
          <w:bCs/>
        </w:rPr>
      </w:pPr>
      <w:r>
        <w:rPr>
          <w:rFonts w:ascii="Arial" w:hAnsi="Arial" w:cs="Arial"/>
          <w:b/>
          <w:bCs/>
        </w:rPr>
        <w:t>Key agenda items discussed:</w:t>
      </w:r>
    </w:p>
    <w:tbl>
      <w:tblPr>
        <w:tblStyle w:val="TableGrid"/>
        <w:tblW w:w="0" w:type="auto"/>
        <w:tblLook w:val="04A0" w:firstRow="1" w:lastRow="0" w:firstColumn="1" w:lastColumn="0" w:noHBand="0" w:noVBand="1"/>
      </w:tblPr>
      <w:tblGrid>
        <w:gridCol w:w="9322"/>
      </w:tblGrid>
      <w:tr w:rsidR="00181AB0" w14:paraId="3569C2EC" w14:textId="77777777" w:rsidTr="00181AB0">
        <w:tc>
          <w:tcPr>
            <w:tcW w:w="9322" w:type="dxa"/>
          </w:tcPr>
          <w:p w14:paraId="5862B55F" w14:textId="4937E3C2" w:rsidR="00455A4D" w:rsidRDefault="00455A4D" w:rsidP="00394DCB">
            <w:pPr>
              <w:pStyle w:val="ListParagraph"/>
              <w:numPr>
                <w:ilvl w:val="0"/>
                <w:numId w:val="1"/>
              </w:numPr>
              <w:spacing w:after="120"/>
              <w:rPr>
                <w:rFonts w:ascii="Arial" w:hAnsi="Arial" w:cs="Arial"/>
              </w:rPr>
            </w:pPr>
            <w:r w:rsidRPr="00021501">
              <w:rPr>
                <w:rFonts w:ascii="Arial" w:hAnsi="Arial" w:cs="Arial"/>
              </w:rPr>
              <w:t xml:space="preserve">Appointment of </w:t>
            </w:r>
            <w:r w:rsidR="005C79CB">
              <w:rPr>
                <w:rFonts w:ascii="Arial" w:hAnsi="Arial" w:cs="Arial"/>
              </w:rPr>
              <w:t>SPMG</w:t>
            </w:r>
            <w:r w:rsidR="008802C9" w:rsidRPr="00021501">
              <w:rPr>
                <w:rFonts w:ascii="Arial" w:hAnsi="Arial" w:cs="Arial"/>
              </w:rPr>
              <w:t xml:space="preserve"> member (</w:t>
            </w:r>
            <w:r w:rsidR="008B7CB5">
              <w:rPr>
                <w:rFonts w:ascii="Arial" w:hAnsi="Arial" w:cs="Arial"/>
              </w:rPr>
              <w:t>Andrew</w:t>
            </w:r>
            <w:r w:rsidR="00C21764">
              <w:rPr>
                <w:rFonts w:ascii="Arial" w:hAnsi="Arial" w:cs="Arial"/>
              </w:rPr>
              <w:t xml:space="preserve"> Barratt</w:t>
            </w:r>
            <w:r w:rsidR="00021501" w:rsidRPr="00021501">
              <w:rPr>
                <w:rFonts w:ascii="Arial" w:hAnsi="Arial" w:cs="Arial"/>
              </w:rPr>
              <w:t>)</w:t>
            </w:r>
          </w:p>
          <w:p w14:paraId="0029547C" w14:textId="0C882723" w:rsidR="004705B6" w:rsidRDefault="004705B6" w:rsidP="00394DCB">
            <w:pPr>
              <w:pStyle w:val="ListParagraph"/>
              <w:numPr>
                <w:ilvl w:val="0"/>
                <w:numId w:val="1"/>
              </w:numPr>
              <w:spacing w:after="120"/>
              <w:rPr>
                <w:rFonts w:ascii="Arial" w:hAnsi="Arial" w:cs="Arial"/>
              </w:rPr>
            </w:pPr>
            <w:r>
              <w:rPr>
                <w:rFonts w:ascii="Arial" w:hAnsi="Arial" w:cs="Arial"/>
              </w:rPr>
              <w:t>Appointment of SPMG Vice-Chair</w:t>
            </w:r>
            <w:r w:rsidR="004B3670">
              <w:rPr>
                <w:rFonts w:ascii="Arial" w:hAnsi="Arial" w:cs="Arial"/>
              </w:rPr>
              <w:t xml:space="preserve">: SPMG Chair </w:t>
            </w:r>
            <w:r w:rsidR="00297AE2">
              <w:rPr>
                <w:rFonts w:ascii="Arial" w:hAnsi="Arial" w:cs="Arial"/>
              </w:rPr>
              <w:t>to</w:t>
            </w:r>
            <w:r w:rsidR="004B3670">
              <w:rPr>
                <w:rFonts w:ascii="Arial" w:hAnsi="Arial" w:cs="Arial"/>
              </w:rPr>
              <w:t xml:space="preserve"> seek </w:t>
            </w:r>
            <w:r w:rsidR="00297AE2">
              <w:rPr>
                <w:rFonts w:ascii="Arial" w:hAnsi="Arial" w:cs="Arial"/>
              </w:rPr>
              <w:t>nominations</w:t>
            </w:r>
          </w:p>
          <w:p w14:paraId="7C8E3CF2" w14:textId="77777777" w:rsidR="00021501" w:rsidRPr="00021501" w:rsidRDefault="00021501" w:rsidP="00394DCB">
            <w:pPr>
              <w:pStyle w:val="ListParagraph"/>
              <w:spacing w:after="120"/>
              <w:rPr>
                <w:rFonts w:ascii="Arial" w:hAnsi="Arial" w:cs="Arial"/>
              </w:rPr>
            </w:pPr>
          </w:p>
          <w:p w14:paraId="10387A2A" w14:textId="77777777" w:rsidR="00AA15A5" w:rsidRDefault="004705B6" w:rsidP="00394DCB">
            <w:pPr>
              <w:pStyle w:val="ListParagraph"/>
              <w:numPr>
                <w:ilvl w:val="0"/>
                <w:numId w:val="1"/>
              </w:numPr>
              <w:spacing w:after="120"/>
              <w:rPr>
                <w:rFonts w:ascii="Arial" w:hAnsi="Arial" w:cs="Arial"/>
              </w:rPr>
            </w:pPr>
            <w:r>
              <w:rPr>
                <w:rFonts w:ascii="Arial" w:hAnsi="Arial" w:cs="Arial"/>
              </w:rPr>
              <w:t>Getting Building Fund</w:t>
            </w:r>
            <w:r w:rsidR="00D10525">
              <w:rPr>
                <w:rFonts w:ascii="Arial" w:hAnsi="Arial" w:cs="Arial"/>
              </w:rPr>
              <w:t xml:space="preserve"> (GBF)</w:t>
            </w:r>
          </w:p>
          <w:p w14:paraId="62D88E04" w14:textId="77777777" w:rsidR="00A66E97" w:rsidRPr="00A66E97" w:rsidRDefault="00D10525" w:rsidP="00394DCB">
            <w:pPr>
              <w:pStyle w:val="ListParagraph"/>
              <w:numPr>
                <w:ilvl w:val="1"/>
                <w:numId w:val="1"/>
              </w:numPr>
              <w:spacing w:after="120"/>
              <w:rPr>
                <w:rFonts w:ascii="Arial" w:hAnsi="Arial" w:cs="Arial"/>
                <w:color w:val="0070C0"/>
              </w:rPr>
            </w:pPr>
            <w:r w:rsidRPr="00AA15A5">
              <w:rPr>
                <w:rFonts w:ascii="Arial" w:hAnsi="Arial" w:cs="Arial"/>
              </w:rPr>
              <w:t xml:space="preserve">GBF </w:t>
            </w:r>
            <w:r w:rsidR="004705B6" w:rsidRPr="00AA15A5">
              <w:rPr>
                <w:rFonts w:ascii="Arial" w:hAnsi="Arial" w:cs="Arial"/>
              </w:rPr>
              <w:t xml:space="preserve">Q1 Summary </w:t>
            </w:r>
            <w:r w:rsidR="00D60507" w:rsidRPr="00AA15A5">
              <w:rPr>
                <w:rFonts w:ascii="Arial" w:hAnsi="Arial" w:cs="Arial"/>
              </w:rPr>
              <w:t xml:space="preserve">outputs and progress </w:t>
            </w:r>
            <w:r w:rsidR="004705B6" w:rsidRPr="00AA15A5">
              <w:rPr>
                <w:rFonts w:ascii="Arial" w:hAnsi="Arial" w:cs="Arial"/>
              </w:rPr>
              <w:t>report</w:t>
            </w:r>
            <w:r w:rsidR="00AA15A5">
              <w:rPr>
                <w:rFonts w:ascii="Arial" w:hAnsi="Arial" w:cs="Arial"/>
              </w:rPr>
              <w:t xml:space="preserve">. </w:t>
            </w:r>
            <w:r w:rsidR="004705B6" w:rsidRPr="00AA15A5">
              <w:rPr>
                <w:rFonts w:ascii="Arial" w:hAnsi="Arial" w:cs="Arial"/>
              </w:rPr>
              <w:t xml:space="preserve"> </w:t>
            </w:r>
          </w:p>
          <w:p w14:paraId="3A6A1AEB" w14:textId="5CDCD58C" w:rsidR="00253145" w:rsidRDefault="00A96AD0" w:rsidP="00394DCB">
            <w:pPr>
              <w:pStyle w:val="ListParagraph"/>
              <w:numPr>
                <w:ilvl w:val="1"/>
                <w:numId w:val="1"/>
              </w:numPr>
              <w:spacing w:after="120"/>
              <w:rPr>
                <w:rFonts w:ascii="Arial" w:hAnsi="Arial" w:cs="Arial"/>
              </w:rPr>
            </w:pPr>
            <w:r w:rsidRPr="00A66E97">
              <w:rPr>
                <w:rFonts w:ascii="Arial" w:hAnsi="Arial" w:cs="Arial"/>
              </w:rPr>
              <w:t xml:space="preserve">GBF project: </w:t>
            </w:r>
            <w:proofErr w:type="spellStart"/>
            <w:r w:rsidRPr="00A66E97">
              <w:rPr>
                <w:rFonts w:ascii="Arial" w:hAnsi="Arial" w:cs="Arial"/>
              </w:rPr>
              <w:t>Drakelow</w:t>
            </w:r>
            <w:proofErr w:type="spellEnd"/>
            <w:r w:rsidR="0098385D" w:rsidRPr="00A66E97">
              <w:rPr>
                <w:rFonts w:ascii="Arial" w:hAnsi="Arial" w:cs="Arial"/>
              </w:rPr>
              <w:t xml:space="preserve">.  </w:t>
            </w:r>
            <w:r w:rsidR="00157ECE" w:rsidRPr="00A66E97">
              <w:rPr>
                <w:rFonts w:ascii="Arial" w:hAnsi="Arial" w:cs="Arial"/>
              </w:rPr>
              <w:t xml:space="preserve">Deallocation approved by MHCLG.  </w:t>
            </w:r>
          </w:p>
          <w:p w14:paraId="1EF95253" w14:textId="77777777" w:rsidR="00A66E97" w:rsidRPr="00A66E97" w:rsidRDefault="00A66E97" w:rsidP="00394DCB">
            <w:pPr>
              <w:pStyle w:val="ListParagraph"/>
              <w:spacing w:after="120"/>
              <w:ind w:left="1440"/>
              <w:rPr>
                <w:rFonts w:ascii="Arial" w:hAnsi="Arial" w:cs="Arial"/>
              </w:rPr>
            </w:pPr>
          </w:p>
          <w:p w14:paraId="19C4C49C" w14:textId="13988C99" w:rsidR="00CE42A7" w:rsidRDefault="00CE42A7" w:rsidP="00394DCB">
            <w:pPr>
              <w:pStyle w:val="ListParagraph"/>
              <w:numPr>
                <w:ilvl w:val="0"/>
                <w:numId w:val="1"/>
              </w:numPr>
              <w:spacing w:after="120"/>
              <w:rPr>
                <w:rFonts w:ascii="Arial" w:hAnsi="Arial" w:cs="Arial"/>
              </w:rPr>
            </w:pPr>
            <w:r>
              <w:rPr>
                <w:rFonts w:ascii="Arial" w:hAnsi="Arial" w:cs="Arial"/>
              </w:rPr>
              <w:t>City Deal/Local Growth Deal</w:t>
            </w:r>
            <w:r w:rsidR="00780729">
              <w:rPr>
                <w:rFonts w:ascii="Arial" w:hAnsi="Arial" w:cs="Arial"/>
              </w:rPr>
              <w:t xml:space="preserve"> (LGD)</w:t>
            </w:r>
          </w:p>
          <w:p w14:paraId="13A5EB57" w14:textId="30B81054" w:rsidR="00780729" w:rsidRDefault="00D60507" w:rsidP="00394DCB">
            <w:pPr>
              <w:pStyle w:val="ListParagraph"/>
              <w:numPr>
                <w:ilvl w:val="1"/>
                <w:numId w:val="1"/>
              </w:numPr>
              <w:spacing w:after="120"/>
              <w:rPr>
                <w:rFonts w:ascii="Arial" w:hAnsi="Arial" w:cs="Arial"/>
              </w:rPr>
            </w:pPr>
            <w:r>
              <w:rPr>
                <w:rFonts w:ascii="Arial" w:hAnsi="Arial" w:cs="Arial"/>
              </w:rPr>
              <w:t xml:space="preserve">LGD  </w:t>
            </w:r>
            <w:r w:rsidR="00780729">
              <w:rPr>
                <w:rFonts w:ascii="Arial" w:hAnsi="Arial" w:cs="Arial"/>
              </w:rPr>
              <w:t xml:space="preserve">Q1 </w:t>
            </w:r>
            <w:r>
              <w:rPr>
                <w:rFonts w:ascii="Arial" w:hAnsi="Arial" w:cs="Arial"/>
              </w:rPr>
              <w:t xml:space="preserve">Summary </w:t>
            </w:r>
            <w:r w:rsidR="00D10525">
              <w:rPr>
                <w:rFonts w:ascii="Arial" w:hAnsi="Arial" w:cs="Arial"/>
              </w:rPr>
              <w:t>outputs and progress repor</w:t>
            </w:r>
            <w:r w:rsidR="00780729">
              <w:rPr>
                <w:rFonts w:ascii="Arial" w:hAnsi="Arial" w:cs="Arial"/>
              </w:rPr>
              <w:t>t</w:t>
            </w:r>
            <w:r w:rsidR="007D2C66">
              <w:rPr>
                <w:rFonts w:ascii="Arial" w:hAnsi="Arial" w:cs="Arial"/>
              </w:rPr>
              <w:t xml:space="preserve"> and Appendix</w:t>
            </w:r>
          </w:p>
          <w:p w14:paraId="6C4C6E37" w14:textId="37AD552E" w:rsidR="00B159AB" w:rsidRDefault="009947DA" w:rsidP="00394DCB">
            <w:pPr>
              <w:pStyle w:val="ListParagraph"/>
              <w:numPr>
                <w:ilvl w:val="1"/>
                <w:numId w:val="1"/>
              </w:numPr>
              <w:spacing w:after="120"/>
              <w:rPr>
                <w:rFonts w:ascii="Arial" w:hAnsi="Arial" w:cs="Arial"/>
              </w:rPr>
            </w:pPr>
            <w:r>
              <w:rPr>
                <w:rFonts w:ascii="Arial" w:hAnsi="Arial" w:cs="Arial"/>
              </w:rPr>
              <w:t>City Deal progress report</w:t>
            </w:r>
            <w:r w:rsidR="00633F4E">
              <w:rPr>
                <w:rFonts w:ascii="Arial" w:hAnsi="Arial" w:cs="Arial"/>
              </w:rPr>
              <w:t>:</w:t>
            </w:r>
          </w:p>
          <w:p w14:paraId="5E33DFC3" w14:textId="5DD7F44C" w:rsidR="00B21C9C" w:rsidRPr="00706817" w:rsidRDefault="009947DA" w:rsidP="00706817">
            <w:pPr>
              <w:pStyle w:val="ListParagraph"/>
              <w:numPr>
                <w:ilvl w:val="0"/>
                <w:numId w:val="2"/>
              </w:numPr>
              <w:spacing w:line="259" w:lineRule="auto"/>
              <w:ind w:left="2154" w:hanging="357"/>
              <w:contextualSpacing w:val="0"/>
              <w:jc w:val="both"/>
              <w:rPr>
                <w:rFonts w:ascii="Arial" w:hAnsi="Arial" w:cs="Arial"/>
                <w:color w:val="0070C0"/>
              </w:rPr>
            </w:pPr>
            <w:proofErr w:type="spellStart"/>
            <w:r w:rsidRPr="00706817">
              <w:rPr>
                <w:rFonts w:ascii="Arial" w:hAnsi="Arial" w:cs="Arial"/>
              </w:rPr>
              <w:t>Keele</w:t>
            </w:r>
            <w:proofErr w:type="spellEnd"/>
            <w:r w:rsidRPr="00706817">
              <w:rPr>
                <w:rFonts w:ascii="Arial" w:hAnsi="Arial" w:cs="Arial"/>
              </w:rPr>
              <w:t xml:space="preserve"> Smart Energy Network Distributor</w:t>
            </w:r>
            <w:r w:rsidR="00946D2A" w:rsidRPr="00706817">
              <w:rPr>
                <w:rFonts w:ascii="Arial" w:hAnsi="Arial" w:cs="Arial"/>
              </w:rPr>
              <w:t xml:space="preserve"> </w:t>
            </w:r>
          </w:p>
          <w:p w14:paraId="7EA9C0CA" w14:textId="29811BF8" w:rsidR="009947DA" w:rsidRPr="00706817" w:rsidRDefault="009947DA" w:rsidP="00706817">
            <w:pPr>
              <w:pStyle w:val="ListParagraph"/>
              <w:numPr>
                <w:ilvl w:val="2"/>
                <w:numId w:val="1"/>
              </w:numPr>
              <w:ind w:left="2154" w:hanging="357"/>
              <w:rPr>
                <w:rFonts w:ascii="Arial" w:hAnsi="Arial" w:cs="Arial"/>
              </w:rPr>
            </w:pPr>
            <w:r w:rsidRPr="00706817">
              <w:rPr>
                <w:rFonts w:ascii="Arial" w:hAnsi="Arial" w:cs="Arial"/>
              </w:rPr>
              <w:t>Stoke on Trent District Heat Network</w:t>
            </w:r>
            <w:r w:rsidR="006914E0" w:rsidRPr="00706817">
              <w:rPr>
                <w:rFonts w:ascii="Arial" w:hAnsi="Arial" w:cs="Arial"/>
              </w:rPr>
              <w:t xml:space="preserve">.  </w:t>
            </w:r>
            <w:r w:rsidR="00367438" w:rsidRPr="00706817">
              <w:rPr>
                <w:rFonts w:ascii="Arial" w:hAnsi="Arial" w:cs="Arial"/>
              </w:rPr>
              <w:t xml:space="preserve">A Board site visit has been suggested.  </w:t>
            </w:r>
          </w:p>
          <w:p w14:paraId="516F5800" w14:textId="77777777" w:rsidR="009947DA" w:rsidRDefault="009947DA" w:rsidP="00394DCB">
            <w:pPr>
              <w:pStyle w:val="ListParagraph"/>
              <w:spacing w:after="120"/>
              <w:rPr>
                <w:rFonts w:ascii="Arial" w:hAnsi="Arial" w:cs="Arial"/>
              </w:rPr>
            </w:pPr>
          </w:p>
          <w:p w14:paraId="78182EB0" w14:textId="4F4203B9" w:rsidR="00181AB0" w:rsidRPr="009D74E5" w:rsidRDefault="009D74E5" w:rsidP="00394DCB">
            <w:pPr>
              <w:pStyle w:val="ListParagraph"/>
              <w:numPr>
                <w:ilvl w:val="0"/>
                <w:numId w:val="1"/>
              </w:numPr>
              <w:spacing w:after="120"/>
              <w:rPr>
                <w:rFonts w:ascii="Arial" w:hAnsi="Arial" w:cs="Arial"/>
              </w:rPr>
            </w:pPr>
            <w:r w:rsidRPr="009D74E5">
              <w:rPr>
                <w:rFonts w:ascii="Arial" w:hAnsi="Arial" w:cs="Arial"/>
              </w:rPr>
              <w:t>CRF Bid: Net Zero Accelerators - a</w:t>
            </w:r>
            <w:r w:rsidRPr="009D74E5">
              <w:rPr>
                <w:rFonts w:ascii="Arial" w:hAnsi="Arial" w:cs="Arial"/>
                <w:sz w:val="24"/>
              </w:rPr>
              <w:t xml:space="preserve"> government decision is awaited. </w:t>
            </w:r>
          </w:p>
          <w:p w14:paraId="40D6D3AE" w14:textId="77777777" w:rsidR="00021501" w:rsidRPr="00021501" w:rsidRDefault="00021501" w:rsidP="00394DCB">
            <w:pPr>
              <w:pStyle w:val="ListParagraph"/>
              <w:spacing w:after="120"/>
              <w:rPr>
                <w:rFonts w:ascii="Arial" w:hAnsi="Arial" w:cs="Arial"/>
              </w:rPr>
            </w:pPr>
          </w:p>
          <w:p w14:paraId="1102D9CA" w14:textId="6BC976F8" w:rsidR="00181AB0" w:rsidRDefault="00E86903" w:rsidP="00394DCB">
            <w:pPr>
              <w:pStyle w:val="ListParagraph"/>
              <w:numPr>
                <w:ilvl w:val="0"/>
                <w:numId w:val="1"/>
              </w:numPr>
              <w:spacing w:after="120"/>
              <w:rPr>
                <w:rFonts w:ascii="Arial" w:hAnsi="Arial" w:cs="Arial"/>
                <w:b/>
                <w:bCs/>
              </w:rPr>
            </w:pPr>
            <w:r w:rsidRPr="00A66E97">
              <w:rPr>
                <w:rFonts w:ascii="Arial" w:hAnsi="Arial" w:cs="Arial"/>
              </w:rPr>
              <w:t>Ca</w:t>
            </w:r>
            <w:r w:rsidR="00455A4D" w:rsidRPr="00A66E97">
              <w:rPr>
                <w:rFonts w:ascii="Arial" w:hAnsi="Arial" w:cs="Arial"/>
              </w:rPr>
              <w:t>reers &amp; Enterprise Hub</w:t>
            </w:r>
            <w:r w:rsidR="00A9312A" w:rsidRPr="00A66E97">
              <w:rPr>
                <w:rFonts w:ascii="Arial" w:hAnsi="Arial" w:cs="Arial"/>
              </w:rPr>
              <w:t xml:space="preserve">: SCC and </w:t>
            </w:r>
            <w:proofErr w:type="spellStart"/>
            <w:r w:rsidR="00A9312A" w:rsidRPr="00A66E97">
              <w:rPr>
                <w:rFonts w:ascii="Arial" w:hAnsi="Arial" w:cs="Arial"/>
              </w:rPr>
              <w:t>SoTCC</w:t>
            </w:r>
            <w:proofErr w:type="spellEnd"/>
            <w:r w:rsidR="00A9312A" w:rsidRPr="00A66E97">
              <w:rPr>
                <w:rFonts w:ascii="Arial" w:hAnsi="Arial" w:cs="Arial"/>
              </w:rPr>
              <w:t xml:space="preserve"> have under-written the match funding requirement; SSLEP CEO has signed and progressed the grant offer letter.</w:t>
            </w:r>
            <w:r w:rsidR="00633F4E" w:rsidRPr="00A66E97">
              <w:rPr>
                <w:rFonts w:ascii="Arial" w:hAnsi="Arial" w:cs="Arial"/>
              </w:rPr>
              <w:t xml:space="preserve"> </w:t>
            </w:r>
            <w:r w:rsidR="00A471AC" w:rsidRPr="00A66E97">
              <w:rPr>
                <w:rFonts w:ascii="Arial" w:hAnsi="Arial" w:cs="Arial"/>
              </w:rPr>
              <w:t xml:space="preserve"> </w:t>
            </w:r>
          </w:p>
        </w:tc>
      </w:tr>
    </w:tbl>
    <w:p w14:paraId="74D5295C" w14:textId="77777777" w:rsidR="00181AB0" w:rsidRDefault="00181AB0">
      <w:pPr>
        <w:rPr>
          <w:rFonts w:ascii="Arial" w:hAnsi="Arial" w:cs="Arial"/>
          <w:b/>
          <w:bCs/>
        </w:rPr>
      </w:pPr>
    </w:p>
    <w:p w14:paraId="49E08A9C" w14:textId="7FFF7727" w:rsidR="00FD2200" w:rsidRDefault="00FD2200">
      <w:pPr>
        <w:rPr>
          <w:rFonts w:ascii="Arial" w:hAnsi="Arial" w:cs="Arial"/>
          <w:b/>
          <w:bCs/>
        </w:rPr>
      </w:pPr>
      <w:r>
        <w:rPr>
          <w:rFonts w:ascii="Arial" w:hAnsi="Arial" w:cs="Arial"/>
          <w:b/>
          <w:bCs/>
        </w:rPr>
        <w:t>Notable changes</w:t>
      </w:r>
      <w:r w:rsidR="00272283">
        <w:rPr>
          <w:rFonts w:ascii="Arial" w:hAnsi="Arial" w:cs="Arial"/>
          <w:b/>
          <w:bCs/>
        </w:rPr>
        <w:t>, successes or risks</w:t>
      </w:r>
    </w:p>
    <w:tbl>
      <w:tblPr>
        <w:tblStyle w:val="TableGrid"/>
        <w:tblW w:w="0" w:type="auto"/>
        <w:tblLook w:val="04A0" w:firstRow="1" w:lastRow="0" w:firstColumn="1" w:lastColumn="0" w:noHBand="0" w:noVBand="1"/>
      </w:tblPr>
      <w:tblGrid>
        <w:gridCol w:w="9322"/>
      </w:tblGrid>
      <w:tr w:rsidR="00181AB0" w14:paraId="64C74291" w14:textId="77777777" w:rsidTr="00181AB0">
        <w:tc>
          <w:tcPr>
            <w:tcW w:w="9322" w:type="dxa"/>
          </w:tcPr>
          <w:p w14:paraId="73382706" w14:textId="77777777" w:rsidR="00C222FB" w:rsidRPr="00A00517" w:rsidRDefault="00C222FB" w:rsidP="00633F4E">
            <w:pPr>
              <w:pStyle w:val="ListParagraph"/>
              <w:numPr>
                <w:ilvl w:val="0"/>
                <w:numId w:val="1"/>
              </w:numPr>
              <w:rPr>
                <w:rFonts w:ascii="Arial" w:hAnsi="Arial" w:cs="Arial"/>
                <w:color w:val="0070C0"/>
              </w:rPr>
            </w:pPr>
            <w:r w:rsidRPr="00A00517">
              <w:rPr>
                <w:rFonts w:ascii="Arial" w:hAnsi="Arial" w:cs="Arial"/>
              </w:rPr>
              <w:t>Successes:</w:t>
            </w:r>
          </w:p>
          <w:p w14:paraId="107F1376" w14:textId="7E866897" w:rsidR="00C222FB" w:rsidRPr="00A00517" w:rsidRDefault="00C222FB" w:rsidP="00633F4E">
            <w:pPr>
              <w:pStyle w:val="ListParagraph"/>
              <w:numPr>
                <w:ilvl w:val="1"/>
                <w:numId w:val="1"/>
              </w:numPr>
              <w:rPr>
                <w:rFonts w:ascii="Arial" w:hAnsi="Arial" w:cs="Arial"/>
              </w:rPr>
            </w:pPr>
            <w:r w:rsidRPr="00A00517">
              <w:rPr>
                <w:rFonts w:ascii="Arial" w:hAnsi="Arial" w:cs="Arial"/>
              </w:rPr>
              <w:t>LG</w:t>
            </w:r>
            <w:r w:rsidR="00633F4E" w:rsidRPr="00A00517">
              <w:rPr>
                <w:rFonts w:ascii="Arial" w:hAnsi="Arial" w:cs="Arial"/>
              </w:rPr>
              <w:t>D</w:t>
            </w:r>
            <w:r w:rsidRPr="00A00517">
              <w:rPr>
                <w:rFonts w:ascii="Arial" w:hAnsi="Arial" w:cs="Arial"/>
              </w:rPr>
              <w:t xml:space="preserve"> outputs</w:t>
            </w:r>
            <w:r w:rsidR="00F54274" w:rsidRPr="00A00517">
              <w:rPr>
                <w:rFonts w:ascii="Arial" w:hAnsi="Arial" w:cs="Arial"/>
              </w:rPr>
              <w:t>:</w:t>
            </w:r>
          </w:p>
          <w:p w14:paraId="4C3DF55C" w14:textId="7E795A03" w:rsidR="00C222FB" w:rsidRPr="00A00517" w:rsidRDefault="00C222FB" w:rsidP="00C222FB">
            <w:pPr>
              <w:pStyle w:val="ListParagraph"/>
              <w:ind w:left="1440"/>
              <w:rPr>
                <w:rFonts w:ascii="Arial" w:hAnsi="Arial" w:cs="Arial"/>
                <w:color w:val="0070C0"/>
              </w:rPr>
            </w:pPr>
            <w:r w:rsidRPr="00A00517">
              <w:rPr>
                <w:rFonts w:ascii="Arial" w:hAnsi="Arial" w:cs="Arial"/>
              </w:rPr>
              <w:t>Housing development is picking up pace (a third developer is due to start on site at Branston Locks and Victoria Ground will report first completions in Q2</w:t>
            </w:r>
            <w:r w:rsidRPr="00A00517">
              <w:rPr>
                <w:rFonts w:ascii="Arial" w:hAnsi="Arial" w:cs="Arial"/>
                <w:color w:val="0070C0"/>
              </w:rPr>
              <w:t xml:space="preserve">. </w:t>
            </w:r>
          </w:p>
          <w:p w14:paraId="7FFA9EB6" w14:textId="7780BA61" w:rsidR="00C222FB" w:rsidRPr="00A00517" w:rsidRDefault="00C222FB" w:rsidP="00C222FB">
            <w:pPr>
              <w:pStyle w:val="ListParagraph"/>
              <w:ind w:left="1440"/>
              <w:rPr>
                <w:rFonts w:ascii="Arial" w:hAnsi="Arial" w:cs="Arial"/>
              </w:rPr>
            </w:pPr>
            <w:r w:rsidRPr="00A00517">
              <w:rPr>
                <w:rFonts w:ascii="Arial" w:hAnsi="Arial" w:cs="Arial"/>
              </w:rPr>
              <w:t>Great progress is now also being made on the larger commercial sites which have previously been slow to get going and jobs will be reported as soon as the detail is available</w:t>
            </w:r>
            <w:r w:rsidR="008C4D7D" w:rsidRPr="00A00517">
              <w:rPr>
                <w:rFonts w:ascii="Arial" w:hAnsi="Arial" w:cs="Arial"/>
              </w:rPr>
              <w:t>.</w:t>
            </w:r>
            <w:r w:rsidRPr="00A00517">
              <w:rPr>
                <w:rFonts w:ascii="Arial" w:hAnsi="Arial" w:cs="Arial"/>
              </w:rPr>
              <w:t xml:space="preserve"> </w:t>
            </w:r>
          </w:p>
          <w:p w14:paraId="79C026B0" w14:textId="4B63BA33" w:rsidR="001F10FB" w:rsidRPr="00A00517" w:rsidRDefault="001F10FB" w:rsidP="00633F4E">
            <w:pPr>
              <w:pStyle w:val="ListParagraph"/>
              <w:numPr>
                <w:ilvl w:val="1"/>
                <w:numId w:val="1"/>
              </w:numPr>
              <w:rPr>
                <w:rFonts w:ascii="Arial" w:hAnsi="Arial" w:cs="Arial"/>
              </w:rPr>
            </w:pPr>
            <w:r w:rsidRPr="00A00517">
              <w:rPr>
                <w:rFonts w:ascii="Arial" w:hAnsi="Arial" w:cs="Arial"/>
              </w:rPr>
              <w:t>LG</w:t>
            </w:r>
            <w:r w:rsidR="00633F4E" w:rsidRPr="00A00517">
              <w:rPr>
                <w:rFonts w:ascii="Arial" w:hAnsi="Arial" w:cs="Arial"/>
              </w:rPr>
              <w:t>D</w:t>
            </w:r>
            <w:r w:rsidRPr="00A00517">
              <w:rPr>
                <w:rFonts w:ascii="Arial" w:hAnsi="Arial" w:cs="Arial"/>
              </w:rPr>
              <w:t xml:space="preserve"> match funding</w:t>
            </w:r>
            <w:r w:rsidRPr="00A00517">
              <w:rPr>
                <w:rFonts w:ascii="Arial" w:hAnsi="Arial" w:cs="Arial"/>
                <w:color w:val="0070C0"/>
              </w:rPr>
              <w:t xml:space="preserve">: </w:t>
            </w:r>
            <w:r w:rsidRPr="00A00517">
              <w:rPr>
                <w:rFonts w:ascii="Arial" w:hAnsi="Arial" w:cs="Arial"/>
              </w:rPr>
              <w:t>Significant match funding reported in Q1.  (£30m private and £9.5m public), some of which was under-reported previously.</w:t>
            </w:r>
          </w:p>
          <w:p w14:paraId="4BEB0161" w14:textId="77777777" w:rsidR="00B505EF" w:rsidRPr="00A00517" w:rsidRDefault="00B505EF" w:rsidP="00B505EF">
            <w:pPr>
              <w:pStyle w:val="ListParagraph"/>
              <w:ind w:left="1440"/>
              <w:rPr>
                <w:rFonts w:ascii="Arial" w:hAnsi="Arial" w:cs="Arial"/>
              </w:rPr>
            </w:pPr>
          </w:p>
          <w:p w14:paraId="61ED8524" w14:textId="4B0E9C5B" w:rsidR="006B0235" w:rsidRPr="00A00517" w:rsidRDefault="006B0235" w:rsidP="00633F4E">
            <w:pPr>
              <w:pStyle w:val="ListParagraph"/>
              <w:numPr>
                <w:ilvl w:val="0"/>
                <w:numId w:val="1"/>
              </w:numPr>
              <w:rPr>
                <w:rFonts w:ascii="Arial" w:hAnsi="Arial" w:cs="Arial"/>
              </w:rPr>
            </w:pPr>
            <w:r w:rsidRPr="00A00517">
              <w:rPr>
                <w:rFonts w:ascii="Arial" w:hAnsi="Arial" w:cs="Arial"/>
              </w:rPr>
              <w:t>Risk</w:t>
            </w:r>
            <w:r w:rsidR="00DF43D3" w:rsidRPr="00A00517">
              <w:rPr>
                <w:rFonts w:ascii="Arial" w:hAnsi="Arial" w:cs="Arial"/>
              </w:rPr>
              <w:t>s</w:t>
            </w:r>
            <w:r w:rsidRPr="00A00517">
              <w:rPr>
                <w:rFonts w:ascii="Arial" w:hAnsi="Arial" w:cs="Arial"/>
              </w:rPr>
              <w:t>:</w:t>
            </w:r>
          </w:p>
          <w:p w14:paraId="58771C61" w14:textId="27062816" w:rsidR="00633F4E" w:rsidRPr="00A00517" w:rsidRDefault="00633F4E" w:rsidP="00633F4E">
            <w:pPr>
              <w:pStyle w:val="ListParagraph"/>
              <w:numPr>
                <w:ilvl w:val="1"/>
                <w:numId w:val="1"/>
              </w:numPr>
              <w:spacing w:before="120" w:after="120" w:line="252" w:lineRule="auto"/>
              <w:rPr>
                <w:rFonts w:ascii="Arial" w:hAnsi="Arial" w:cs="Arial"/>
                <w:color w:val="0070C0"/>
              </w:rPr>
            </w:pPr>
            <w:r w:rsidRPr="00A00517">
              <w:rPr>
                <w:rFonts w:ascii="Arial" w:hAnsi="Arial" w:cs="Arial"/>
              </w:rPr>
              <w:t xml:space="preserve">LGD risk: there is one delayed scheme.  SCC Highways is working with the scheme sponsor to resolve the blockages and progress this scheme. </w:t>
            </w:r>
            <w:r w:rsidRPr="00A00517">
              <w:rPr>
                <w:rFonts w:ascii="Arial" w:eastAsia="Times New Roman" w:hAnsi="Arial" w:cs="Arial"/>
                <w:sz w:val="24"/>
                <w:szCs w:val="24"/>
              </w:rPr>
              <w:t xml:space="preserve">  </w:t>
            </w:r>
          </w:p>
          <w:p w14:paraId="669BA97B" w14:textId="195A4D47" w:rsidR="00DF43D3" w:rsidRPr="00A00517" w:rsidRDefault="00DF43D3" w:rsidP="00633F4E">
            <w:pPr>
              <w:pStyle w:val="ListParagraph"/>
              <w:numPr>
                <w:ilvl w:val="1"/>
                <w:numId w:val="1"/>
              </w:numPr>
              <w:spacing w:line="259" w:lineRule="auto"/>
              <w:rPr>
                <w:rFonts w:ascii="Arial" w:hAnsi="Arial" w:cs="Arial"/>
                <w:color w:val="0070C0"/>
              </w:rPr>
            </w:pPr>
            <w:r w:rsidRPr="00A00517">
              <w:rPr>
                <w:rFonts w:ascii="Arial" w:hAnsi="Arial" w:cs="Arial"/>
              </w:rPr>
              <w:t>GBF contingency schemes – some delays in sponsors providing Heads of Terms and completing contracting</w:t>
            </w:r>
            <w:r w:rsidR="00201F1A" w:rsidRPr="00A00517">
              <w:rPr>
                <w:rFonts w:ascii="Arial" w:hAnsi="Arial" w:cs="Arial"/>
              </w:rPr>
              <w:t xml:space="preserve">.  </w:t>
            </w:r>
          </w:p>
          <w:p w14:paraId="149FBFF8" w14:textId="094F6125" w:rsidR="00E171C3" w:rsidRPr="00A00517" w:rsidRDefault="00D55C63" w:rsidP="00A66E97">
            <w:pPr>
              <w:pStyle w:val="ListParagraph"/>
              <w:numPr>
                <w:ilvl w:val="1"/>
                <w:numId w:val="1"/>
              </w:numPr>
              <w:rPr>
                <w:rFonts w:ascii="Arial" w:hAnsi="Arial" w:cs="Arial"/>
              </w:rPr>
            </w:pPr>
            <w:r w:rsidRPr="00A00517">
              <w:rPr>
                <w:rFonts w:ascii="Arial" w:hAnsi="Arial" w:cs="Arial"/>
              </w:rPr>
              <w:t>R</w:t>
            </w:r>
            <w:r w:rsidR="00E171C3" w:rsidRPr="00A00517">
              <w:rPr>
                <w:rFonts w:ascii="Arial" w:hAnsi="Arial" w:cs="Arial"/>
              </w:rPr>
              <w:t xml:space="preserve">ising </w:t>
            </w:r>
            <w:r w:rsidRPr="00A00517">
              <w:rPr>
                <w:rFonts w:ascii="Arial" w:hAnsi="Arial" w:cs="Arial"/>
              </w:rPr>
              <w:t xml:space="preserve">supplier </w:t>
            </w:r>
            <w:r w:rsidR="00E171C3" w:rsidRPr="00A00517">
              <w:rPr>
                <w:rFonts w:ascii="Arial" w:hAnsi="Arial" w:cs="Arial"/>
              </w:rPr>
              <w:t xml:space="preserve">costs and </w:t>
            </w:r>
            <w:r w:rsidR="00323A74" w:rsidRPr="00A00517">
              <w:rPr>
                <w:rFonts w:ascii="Arial" w:hAnsi="Arial" w:cs="Arial"/>
              </w:rPr>
              <w:t>supply delays could</w:t>
            </w:r>
            <w:r w:rsidR="00E171C3" w:rsidRPr="00A00517">
              <w:rPr>
                <w:rFonts w:ascii="Arial" w:hAnsi="Arial" w:cs="Arial"/>
              </w:rPr>
              <w:t xml:space="preserve"> impact on projects.</w:t>
            </w:r>
          </w:p>
          <w:p w14:paraId="68A032BC" w14:textId="6F89CD8E" w:rsidR="00F64309" w:rsidRPr="00A00517" w:rsidRDefault="00F64309" w:rsidP="00F64309">
            <w:pPr>
              <w:pStyle w:val="ListParagraph"/>
              <w:ind w:left="1440"/>
              <w:rPr>
                <w:rFonts w:ascii="Arial" w:hAnsi="Arial" w:cs="Arial"/>
              </w:rPr>
            </w:pPr>
          </w:p>
        </w:tc>
      </w:tr>
    </w:tbl>
    <w:p w14:paraId="068B1EB0" w14:textId="222501CF" w:rsidR="00272283" w:rsidRDefault="00272283">
      <w:pPr>
        <w:rPr>
          <w:rFonts w:ascii="Arial" w:hAnsi="Arial" w:cs="Arial"/>
          <w:b/>
          <w:bCs/>
        </w:rPr>
      </w:pPr>
    </w:p>
    <w:p w14:paraId="5F820161" w14:textId="43B17A2F" w:rsidR="00272283" w:rsidRPr="002A780D" w:rsidRDefault="00272283">
      <w:pPr>
        <w:rPr>
          <w:rFonts w:ascii="Arial" w:hAnsi="Arial" w:cs="Arial"/>
          <w:b/>
          <w:bCs/>
          <w:color w:val="FF0000"/>
        </w:rPr>
      </w:pPr>
      <w:r>
        <w:rPr>
          <w:rFonts w:ascii="Arial" w:hAnsi="Arial" w:cs="Arial"/>
          <w:b/>
          <w:bCs/>
        </w:rPr>
        <w:t>Decisions and/or</w:t>
      </w:r>
      <w:r w:rsidRPr="00172DA6">
        <w:rPr>
          <w:rFonts w:ascii="Arial" w:hAnsi="Arial" w:cs="Arial"/>
          <w:b/>
          <w:bCs/>
          <w:color w:val="C00000"/>
        </w:rPr>
        <w:t xml:space="preserve"> Reco</w:t>
      </w:r>
      <w:r w:rsidR="00181AB0" w:rsidRPr="00172DA6">
        <w:rPr>
          <w:rFonts w:ascii="Arial" w:hAnsi="Arial" w:cs="Arial"/>
          <w:b/>
          <w:bCs/>
          <w:color w:val="C00000"/>
        </w:rPr>
        <w:t>m</w:t>
      </w:r>
      <w:r w:rsidRPr="00172DA6">
        <w:rPr>
          <w:rFonts w:ascii="Arial" w:hAnsi="Arial" w:cs="Arial"/>
          <w:b/>
          <w:bCs/>
          <w:color w:val="C00000"/>
        </w:rPr>
        <w:t>mendations</w:t>
      </w:r>
    </w:p>
    <w:tbl>
      <w:tblPr>
        <w:tblStyle w:val="TableGrid"/>
        <w:tblW w:w="0" w:type="auto"/>
        <w:tblLook w:val="04A0" w:firstRow="1" w:lastRow="0" w:firstColumn="1" w:lastColumn="0" w:noHBand="0" w:noVBand="1"/>
      </w:tblPr>
      <w:tblGrid>
        <w:gridCol w:w="9322"/>
      </w:tblGrid>
      <w:tr w:rsidR="00181AB0" w14:paraId="7D5B019C" w14:textId="77777777" w:rsidTr="00181AB0">
        <w:tc>
          <w:tcPr>
            <w:tcW w:w="9322" w:type="dxa"/>
          </w:tcPr>
          <w:p w14:paraId="359D112A" w14:textId="77777777" w:rsidR="00181AB0" w:rsidRDefault="00181AB0">
            <w:pPr>
              <w:rPr>
                <w:rFonts w:ascii="Arial" w:hAnsi="Arial" w:cs="Arial"/>
              </w:rPr>
            </w:pPr>
          </w:p>
          <w:p w14:paraId="40FE7854" w14:textId="47C77F19" w:rsidR="002428FC" w:rsidRDefault="00194DFD" w:rsidP="00B505EF">
            <w:pPr>
              <w:pStyle w:val="ListParagraph"/>
              <w:numPr>
                <w:ilvl w:val="0"/>
                <w:numId w:val="3"/>
              </w:numPr>
              <w:rPr>
                <w:rFonts w:ascii="Arial" w:hAnsi="Arial" w:cs="Arial"/>
              </w:rPr>
            </w:pPr>
            <w:r w:rsidRPr="00394DCB">
              <w:rPr>
                <w:rFonts w:ascii="Arial" w:hAnsi="Arial" w:cs="Arial"/>
              </w:rPr>
              <w:t xml:space="preserve">Ratification of </w:t>
            </w:r>
            <w:r w:rsidR="004705B6" w:rsidRPr="00394DCB">
              <w:rPr>
                <w:rFonts w:ascii="Arial" w:hAnsi="Arial" w:cs="Arial"/>
              </w:rPr>
              <w:t>Andrew Barratt</w:t>
            </w:r>
            <w:r w:rsidRPr="00394DCB">
              <w:rPr>
                <w:rFonts w:ascii="Arial" w:hAnsi="Arial" w:cs="Arial"/>
              </w:rPr>
              <w:t xml:space="preserve"> appointment</w:t>
            </w:r>
            <w:r w:rsidR="0060642B" w:rsidRPr="00394DCB">
              <w:rPr>
                <w:rFonts w:ascii="Arial" w:hAnsi="Arial" w:cs="Arial"/>
              </w:rPr>
              <w:t xml:space="preserve"> </w:t>
            </w:r>
          </w:p>
        </w:tc>
      </w:tr>
    </w:tbl>
    <w:p w14:paraId="4157D631" w14:textId="77777777" w:rsidR="00394DCB" w:rsidRDefault="00394DCB" w:rsidP="00394DCB">
      <w:pPr>
        <w:spacing w:after="120"/>
        <w:rPr>
          <w:rFonts w:ascii="Arial" w:hAnsi="Arial" w:cs="Arial"/>
        </w:rPr>
      </w:pPr>
    </w:p>
    <w:p w14:paraId="4D0760BE" w14:textId="0D3EE806" w:rsidR="00B42F2B" w:rsidRPr="00ED7657" w:rsidRDefault="00B42F2B" w:rsidP="00394DCB">
      <w:pPr>
        <w:spacing w:after="120"/>
        <w:rPr>
          <w:rFonts w:ascii="Arial" w:hAnsi="Arial" w:cs="Arial"/>
        </w:rPr>
      </w:pPr>
      <w:r>
        <w:rPr>
          <w:rFonts w:ascii="Arial" w:hAnsi="Arial" w:cs="Arial"/>
        </w:rPr>
        <w:t>Full details of the meeting including agenda pac</w:t>
      </w:r>
      <w:r w:rsidR="00FE7956">
        <w:rPr>
          <w:rFonts w:ascii="Arial" w:hAnsi="Arial" w:cs="Arial"/>
        </w:rPr>
        <w:t xml:space="preserve">k, presentations and minutes can be found at </w:t>
      </w:r>
      <w:hyperlink r:id="rId7" w:history="1">
        <w:r w:rsidR="00925924">
          <w:rPr>
            <w:rStyle w:val="Hyperlink"/>
          </w:rPr>
          <w:t>StokeStaffsLEP | Minutes &amp; Agendas</w:t>
        </w:r>
      </w:hyperlink>
      <w:r w:rsidR="00925924">
        <w:t xml:space="preserve"> </w:t>
      </w:r>
      <w:r w:rsidR="00925924" w:rsidRPr="0060642B">
        <w:rPr>
          <w:rFonts w:ascii="Arial" w:hAnsi="Arial" w:cs="Arial"/>
        </w:rPr>
        <w:t xml:space="preserve">or </w:t>
      </w:r>
      <w:r w:rsidR="0060642B" w:rsidRPr="0060642B">
        <w:rPr>
          <w:rFonts w:ascii="Arial" w:hAnsi="Arial" w:cs="Arial"/>
        </w:rPr>
        <w:t>requested from</w:t>
      </w:r>
      <w:r w:rsidR="0060642B">
        <w:t xml:space="preserve"> </w:t>
      </w:r>
      <w:hyperlink r:id="rId8" w:history="1">
        <w:r w:rsidR="0060642B" w:rsidRPr="00160C38">
          <w:rPr>
            <w:rStyle w:val="Hyperlink"/>
          </w:rPr>
          <w:t>Sharon.palphreyman@staffordshire.gov.uk</w:t>
        </w:r>
      </w:hyperlink>
      <w:r w:rsidR="0060642B">
        <w:t xml:space="preserve"> </w:t>
      </w:r>
    </w:p>
    <w:sectPr w:rsidR="00B42F2B" w:rsidRPr="00ED7657" w:rsidSect="002E410C">
      <w:headerReference w:type="default" r:id="rId9"/>
      <w:pgSz w:w="11906" w:h="16838"/>
      <w:pgMar w:top="1440" w:right="1440"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EB7C" w14:textId="77777777" w:rsidR="00956DFA" w:rsidRDefault="00956DFA" w:rsidP="002E410C">
      <w:pPr>
        <w:spacing w:after="0" w:line="240" w:lineRule="auto"/>
      </w:pPr>
      <w:r>
        <w:separator/>
      </w:r>
    </w:p>
  </w:endnote>
  <w:endnote w:type="continuationSeparator" w:id="0">
    <w:p w14:paraId="5EFA6D24" w14:textId="77777777" w:rsidR="00956DFA" w:rsidRDefault="00956DFA" w:rsidP="002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CD84" w14:textId="77777777" w:rsidR="00956DFA" w:rsidRDefault="00956DFA" w:rsidP="002E410C">
      <w:pPr>
        <w:spacing w:after="0" w:line="240" w:lineRule="auto"/>
      </w:pPr>
      <w:r>
        <w:separator/>
      </w:r>
    </w:p>
  </w:footnote>
  <w:footnote w:type="continuationSeparator" w:id="0">
    <w:p w14:paraId="4386FB2C" w14:textId="77777777" w:rsidR="00956DFA" w:rsidRDefault="00956DFA" w:rsidP="002E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8141" w14:textId="07AE8440" w:rsidR="002E410C" w:rsidRDefault="002E410C" w:rsidP="002E410C">
    <w:pPr>
      <w:pStyle w:val="Header"/>
      <w:jc w:val="right"/>
    </w:pPr>
    <w:r>
      <w:rPr>
        <w:noProof/>
      </w:rPr>
      <mc:AlternateContent>
        <mc:Choice Requires="wps">
          <w:drawing>
            <wp:anchor distT="0" distB="0" distL="114300" distR="114300" simplePos="0" relativeHeight="251659264" behindDoc="0" locked="0" layoutInCell="1" allowOverlap="1" wp14:anchorId="4D142D0B" wp14:editId="3A66029A">
              <wp:simplePos x="0" y="0"/>
              <wp:positionH relativeFrom="column">
                <wp:posOffset>-98988</wp:posOffset>
              </wp:positionH>
              <wp:positionV relativeFrom="paragraph">
                <wp:posOffset>84623</wp:posOffset>
              </wp:positionV>
              <wp:extent cx="3993659" cy="465826"/>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993659" cy="465826"/>
                      </a:xfrm>
                      <a:prstGeom prst="rect">
                        <a:avLst/>
                      </a:prstGeom>
                      <a:solidFill>
                        <a:schemeClr val="lt1"/>
                      </a:solidFill>
                      <a:ln w="6350">
                        <a:noFill/>
                      </a:ln>
                    </wps:spPr>
                    <wps:txbx>
                      <w:txbxContent>
                        <w:p w14:paraId="3B11CF78" w14:textId="51D7A9A8" w:rsidR="002E410C" w:rsidRPr="002E410C" w:rsidRDefault="002E410C">
                          <w:pPr>
                            <w:rPr>
                              <w:rFonts w:ascii="Arial" w:hAnsi="Arial" w:cs="Arial"/>
                              <w:sz w:val="40"/>
                              <w:szCs w:val="40"/>
                            </w:rPr>
                          </w:pPr>
                          <w:r w:rsidRPr="002E410C">
                            <w:rPr>
                              <w:rFonts w:ascii="Arial" w:hAnsi="Arial" w:cs="Arial"/>
                              <w:sz w:val="40"/>
                              <w:szCs w:val="40"/>
                            </w:rPr>
                            <w:t>Subgroup summary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42D0B" id="_x0000_t202" coordsize="21600,21600" o:spt="202" path="m,l,21600r21600,l21600,xe">
              <v:stroke joinstyle="miter"/>
              <v:path gradientshapeok="t" o:connecttype="rect"/>
            </v:shapetype>
            <v:shape id="Text Box 2" o:spid="_x0000_s1026" type="#_x0000_t202" style="position:absolute;left:0;text-align:left;margin-left:-7.8pt;margin-top:6.65pt;width:314.4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" fillcolor="white [3201]" stroked="f" strokeweight=".5pt">
              <v:textbox>
                <w:txbxContent>
                  <w:p w14:paraId="3B11CF78" w14:textId="51D7A9A8" w:rsidR="002E410C" w:rsidRPr="002E410C" w:rsidRDefault="002E410C">
                    <w:pPr>
                      <w:rPr>
                        <w:rFonts w:ascii="Arial" w:hAnsi="Arial" w:cs="Arial"/>
                        <w:sz w:val="40"/>
                        <w:szCs w:val="40"/>
                      </w:rPr>
                    </w:pPr>
                    <w:r w:rsidRPr="002E410C">
                      <w:rPr>
                        <w:rFonts w:ascii="Arial" w:hAnsi="Arial" w:cs="Arial"/>
                        <w:sz w:val="40"/>
                        <w:szCs w:val="40"/>
                      </w:rPr>
                      <w:t>Subgroup summary report</w:t>
                    </w:r>
                  </w:p>
                </w:txbxContent>
              </v:textbox>
            </v:shape>
          </w:pict>
        </mc:Fallback>
      </mc:AlternateContent>
    </w:r>
    <w:r>
      <w:rPr>
        <w:noProof/>
      </w:rPr>
      <w:drawing>
        <wp:inline distT="0" distB="0" distL="0" distR="0" wp14:anchorId="3226DA8B" wp14:editId="14B993C0">
          <wp:extent cx="1423179" cy="569272"/>
          <wp:effectExtent l="0" t="0" r="5715"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2783" cy="601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24"/>
    <w:multiLevelType w:val="hybridMultilevel"/>
    <w:tmpl w:val="C1DA6F36"/>
    <w:lvl w:ilvl="0" w:tplc="E972406A">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B4561EC"/>
    <w:multiLevelType w:val="hybridMultilevel"/>
    <w:tmpl w:val="00AAD9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184602"/>
    <w:multiLevelType w:val="hybridMultilevel"/>
    <w:tmpl w:val="EE6A1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22C50"/>
    <w:multiLevelType w:val="hybridMultilevel"/>
    <w:tmpl w:val="87FA0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93C25F0"/>
    <w:multiLevelType w:val="hybridMultilevel"/>
    <w:tmpl w:val="A98E58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E5F745C"/>
    <w:multiLevelType w:val="hybridMultilevel"/>
    <w:tmpl w:val="EE024E9E"/>
    <w:lvl w:ilvl="0" w:tplc="50E243AE">
      <w:start w:val="1"/>
      <w:numFmt w:val="bullet"/>
      <w:lvlText w:val=""/>
      <w:lvlJc w:val="left"/>
      <w:pPr>
        <w:ind w:left="720" w:hanging="360"/>
      </w:pPr>
      <w:rPr>
        <w:rFonts w:ascii="Symbol" w:hAnsi="Symbol" w:hint="default"/>
        <w:color w:val="auto"/>
      </w:rPr>
    </w:lvl>
    <w:lvl w:ilvl="1" w:tplc="588ECCB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C"/>
    <w:rsid w:val="00017433"/>
    <w:rsid w:val="00021501"/>
    <w:rsid w:val="00040C19"/>
    <w:rsid w:val="00063D4A"/>
    <w:rsid w:val="00083C93"/>
    <w:rsid w:val="00097B75"/>
    <w:rsid w:val="000D1FC6"/>
    <w:rsid w:val="000D6BC8"/>
    <w:rsid w:val="00137D49"/>
    <w:rsid w:val="00145FAF"/>
    <w:rsid w:val="001477B0"/>
    <w:rsid w:val="00157ECE"/>
    <w:rsid w:val="00163127"/>
    <w:rsid w:val="00172DA6"/>
    <w:rsid w:val="00176678"/>
    <w:rsid w:val="00181AB0"/>
    <w:rsid w:val="0019379B"/>
    <w:rsid w:val="00194DFD"/>
    <w:rsid w:val="001A6CAB"/>
    <w:rsid w:val="001F1041"/>
    <w:rsid w:val="001F10FB"/>
    <w:rsid w:val="001F1817"/>
    <w:rsid w:val="001F4345"/>
    <w:rsid w:val="00201F1A"/>
    <w:rsid w:val="002428FC"/>
    <w:rsid w:val="00253145"/>
    <w:rsid w:val="00272283"/>
    <w:rsid w:val="002927E5"/>
    <w:rsid w:val="00297AE2"/>
    <w:rsid w:val="00297CFE"/>
    <w:rsid w:val="002A780D"/>
    <w:rsid w:val="002E410C"/>
    <w:rsid w:val="002F0443"/>
    <w:rsid w:val="00313E4F"/>
    <w:rsid w:val="00323A74"/>
    <w:rsid w:val="0032418E"/>
    <w:rsid w:val="00333F6E"/>
    <w:rsid w:val="00340D78"/>
    <w:rsid w:val="00367438"/>
    <w:rsid w:val="00376101"/>
    <w:rsid w:val="00394DCB"/>
    <w:rsid w:val="003A18F6"/>
    <w:rsid w:val="003A7BBF"/>
    <w:rsid w:val="003B14B9"/>
    <w:rsid w:val="003F66E1"/>
    <w:rsid w:val="00455A4D"/>
    <w:rsid w:val="00456689"/>
    <w:rsid w:val="004705B6"/>
    <w:rsid w:val="004A1D8B"/>
    <w:rsid w:val="004B3670"/>
    <w:rsid w:val="004C3D61"/>
    <w:rsid w:val="004D6F15"/>
    <w:rsid w:val="004F6414"/>
    <w:rsid w:val="00532869"/>
    <w:rsid w:val="00536140"/>
    <w:rsid w:val="00551F8C"/>
    <w:rsid w:val="00554312"/>
    <w:rsid w:val="00560764"/>
    <w:rsid w:val="005678E8"/>
    <w:rsid w:val="005766B1"/>
    <w:rsid w:val="00596194"/>
    <w:rsid w:val="005C79CB"/>
    <w:rsid w:val="00602CAA"/>
    <w:rsid w:val="0060642B"/>
    <w:rsid w:val="00617C44"/>
    <w:rsid w:val="00633F4E"/>
    <w:rsid w:val="0067628A"/>
    <w:rsid w:val="006914E0"/>
    <w:rsid w:val="006B0235"/>
    <w:rsid w:val="006E1FBF"/>
    <w:rsid w:val="00706817"/>
    <w:rsid w:val="00766CD9"/>
    <w:rsid w:val="00780729"/>
    <w:rsid w:val="0078323A"/>
    <w:rsid w:val="00783766"/>
    <w:rsid w:val="00793467"/>
    <w:rsid w:val="00795C51"/>
    <w:rsid w:val="007D2C66"/>
    <w:rsid w:val="007E2604"/>
    <w:rsid w:val="007E6B59"/>
    <w:rsid w:val="00844B73"/>
    <w:rsid w:val="008802C9"/>
    <w:rsid w:val="008B7CB5"/>
    <w:rsid w:val="008C4D7D"/>
    <w:rsid w:val="008D66E3"/>
    <w:rsid w:val="008D7320"/>
    <w:rsid w:val="008E179D"/>
    <w:rsid w:val="008E2A13"/>
    <w:rsid w:val="009119E7"/>
    <w:rsid w:val="00925924"/>
    <w:rsid w:val="00946D2A"/>
    <w:rsid w:val="00956DFA"/>
    <w:rsid w:val="0098385D"/>
    <w:rsid w:val="009947DA"/>
    <w:rsid w:val="009973D3"/>
    <w:rsid w:val="009D7314"/>
    <w:rsid w:val="009D74E5"/>
    <w:rsid w:val="009F73E8"/>
    <w:rsid w:val="00A00517"/>
    <w:rsid w:val="00A33610"/>
    <w:rsid w:val="00A34299"/>
    <w:rsid w:val="00A44A54"/>
    <w:rsid w:val="00A471AC"/>
    <w:rsid w:val="00A66E97"/>
    <w:rsid w:val="00A9312A"/>
    <w:rsid w:val="00A96AD0"/>
    <w:rsid w:val="00AA15A5"/>
    <w:rsid w:val="00AE5552"/>
    <w:rsid w:val="00B159AB"/>
    <w:rsid w:val="00B21C9C"/>
    <w:rsid w:val="00B42F2B"/>
    <w:rsid w:val="00B505EF"/>
    <w:rsid w:val="00B7012A"/>
    <w:rsid w:val="00B7197B"/>
    <w:rsid w:val="00BA25BC"/>
    <w:rsid w:val="00BC6AEF"/>
    <w:rsid w:val="00C21764"/>
    <w:rsid w:val="00C222FB"/>
    <w:rsid w:val="00C25871"/>
    <w:rsid w:val="00CC2919"/>
    <w:rsid w:val="00CE1B68"/>
    <w:rsid w:val="00CE42A7"/>
    <w:rsid w:val="00D10525"/>
    <w:rsid w:val="00D55C63"/>
    <w:rsid w:val="00D60507"/>
    <w:rsid w:val="00D703AC"/>
    <w:rsid w:val="00D75FAA"/>
    <w:rsid w:val="00DD5CFD"/>
    <w:rsid w:val="00DF43D3"/>
    <w:rsid w:val="00E171C3"/>
    <w:rsid w:val="00E3043F"/>
    <w:rsid w:val="00E61B71"/>
    <w:rsid w:val="00E82E76"/>
    <w:rsid w:val="00E86903"/>
    <w:rsid w:val="00ED7657"/>
    <w:rsid w:val="00F0265D"/>
    <w:rsid w:val="00F06BEE"/>
    <w:rsid w:val="00F13DBB"/>
    <w:rsid w:val="00F224D1"/>
    <w:rsid w:val="00F457D1"/>
    <w:rsid w:val="00F54274"/>
    <w:rsid w:val="00F64309"/>
    <w:rsid w:val="00FD2200"/>
    <w:rsid w:val="00FE5E48"/>
    <w:rsid w:val="00FE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204E1"/>
  <w15:chartTrackingRefBased/>
  <w15:docId w15:val="{BBBDE01A-4EAF-4352-BF26-D0337CFC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10C"/>
  </w:style>
  <w:style w:type="paragraph" w:styleId="Footer">
    <w:name w:val="footer"/>
    <w:basedOn w:val="Normal"/>
    <w:link w:val="FooterChar"/>
    <w:uiPriority w:val="99"/>
    <w:unhideWhenUsed/>
    <w:rsid w:val="002E4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10C"/>
  </w:style>
  <w:style w:type="table" w:styleId="TableGrid">
    <w:name w:val="Table Grid"/>
    <w:basedOn w:val="TableNormal"/>
    <w:uiPriority w:val="39"/>
    <w:rsid w:val="0018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AD0"/>
    <w:pPr>
      <w:ind w:left="720"/>
      <w:contextualSpacing/>
    </w:pPr>
  </w:style>
  <w:style w:type="character" w:styleId="Hyperlink">
    <w:name w:val="Hyperlink"/>
    <w:basedOn w:val="DefaultParagraphFont"/>
    <w:uiPriority w:val="99"/>
    <w:unhideWhenUsed/>
    <w:rsid w:val="00925924"/>
    <w:rPr>
      <w:color w:val="0000FF"/>
      <w:u w:val="single"/>
    </w:rPr>
  </w:style>
  <w:style w:type="character" w:styleId="UnresolvedMention">
    <w:name w:val="Unresolved Mention"/>
    <w:basedOn w:val="DefaultParagraphFont"/>
    <w:uiPriority w:val="99"/>
    <w:semiHidden/>
    <w:unhideWhenUsed/>
    <w:rsid w:val="0060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palphreyman@staffordshire.gov.uk" TargetMode="External"/><Relationship Id="rId3" Type="http://schemas.openxmlformats.org/officeDocument/2006/relationships/settings" Target="settings.xml"/><Relationship Id="rId7" Type="http://schemas.openxmlformats.org/officeDocument/2006/relationships/hyperlink" Target="https://www.stokestaffslep.org.uk/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Anne (EnterpriseStokeStaffs)</dc:creator>
  <cp:keywords/>
  <dc:description/>
  <cp:lastModifiedBy>Palphreyman, Sharon (Corporate)</cp:lastModifiedBy>
  <cp:revision>118</cp:revision>
  <dcterms:created xsi:type="dcterms:W3CDTF">2021-07-01T12:32:00Z</dcterms:created>
  <dcterms:modified xsi:type="dcterms:W3CDTF">2021-09-02T13:51:00Z</dcterms:modified>
</cp:coreProperties>
</file>