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EB03" w14:textId="16D2A3B1" w:rsidR="000A0584" w:rsidRDefault="000A0584" w:rsidP="008876E4">
      <w:pPr>
        <w:rPr>
          <w:rFonts w:ascii="Arial" w:hAnsi="Arial" w:cs="Arial"/>
        </w:rPr>
      </w:pPr>
    </w:p>
    <w:p w14:paraId="29DE695C" w14:textId="6B8F0726" w:rsidR="000A0584" w:rsidRPr="006973D5" w:rsidRDefault="000A0584" w:rsidP="008876E4">
      <w:pPr>
        <w:rPr>
          <w:rFonts w:ascii="Arial" w:hAnsi="Arial" w:cs="Arial"/>
          <w:u w:val="single"/>
        </w:rPr>
      </w:pPr>
      <w:r w:rsidRPr="006973D5">
        <w:rPr>
          <w:rFonts w:ascii="Arial" w:hAnsi="Arial" w:cs="Arial"/>
          <w:u w:val="single"/>
        </w:rPr>
        <w:t>Introduction</w:t>
      </w:r>
    </w:p>
    <w:p w14:paraId="69121D76" w14:textId="0487A6D6" w:rsidR="000A0584" w:rsidRPr="00A1129C" w:rsidRDefault="000A0584" w:rsidP="00CF68B1">
      <w:pPr>
        <w:jc w:val="both"/>
        <w:rPr>
          <w:rFonts w:ascii="Arial" w:hAnsi="Arial" w:cs="Arial"/>
        </w:rPr>
      </w:pPr>
      <w:r w:rsidRPr="00A1129C">
        <w:rPr>
          <w:rFonts w:ascii="Arial" w:hAnsi="Arial" w:cs="Arial"/>
        </w:rPr>
        <w:t>2021/22 is a significant year of change</w:t>
      </w:r>
      <w:r w:rsidR="0091178A" w:rsidRPr="00A1129C">
        <w:rPr>
          <w:rFonts w:ascii="Arial" w:hAnsi="Arial" w:cs="Arial"/>
        </w:rPr>
        <w:t>, for those that we serve</w:t>
      </w:r>
      <w:r w:rsidR="004E62E9" w:rsidRPr="00A1129C">
        <w:rPr>
          <w:rFonts w:ascii="Arial" w:hAnsi="Arial" w:cs="Arial"/>
        </w:rPr>
        <w:t>, post-pandemic and Brexit,</w:t>
      </w:r>
      <w:r w:rsidR="0091178A" w:rsidRPr="00A1129C">
        <w:rPr>
          <w:rFonts w:ascii="Arial" w:hAnsi="Arial" w:cs="Arial"/>
        </w:rPr>
        <w:t xml:space="preserve"> and for the LEP itself, as we undergo </w:t>
      </w:r>
      <w:r w:rsidR="009D50CC" w:rsidRPr="00A1129C">
        <w:rPr>
          <w:rFonts w:ascii="Arial" w:hAnsi="Arial" w:cs="Arial"/>
        </w:rPr>
        <w:t>a systematic review</w:t>
      </w:r>
      <w:r w:rsidR="00B53F89" w:rsidRPr="00A1129C">
        <w:rPr>
          <w:rFonts w:ascii="Arial" w:hAnsi="Arial" w:cs="Arial"/>
        </w:rPr>
        <w:t xml:space="preserve"> led by Government.</w:t>
      </w:r>
    </w:p>
    <w:p w14:paraId="1456CC73" w14:textId="6D529DF9" w:rsidR="00BA4B72" w:rsidRPr="00A1129C" w:rsidRDefault="00010F74" w:rsidP="00CF68B1">
      <w:pPr>
        <w:jc w:val="both"/>
        <w:rPr>
          <w:rFonts w:ascii="Arial" w:hAnsi="Arial" w:cs="Arial"/>
          <w:i/>
          <w:iCs/>
        </w:rPr>
      </w:pPr>
      <w:r w:rsidRPr="00A1129C">
        <w:rPr>
          <w:rFonts w:ascii="Arial" w:hAnsi="Arial" w:cs="Arial"/>
        </w:rPr>
        <w:t xml:space="preserve">SSLEP remains fully committed to delivering against </w:t>
      </w:r>
      <w:r w:rsidR="0060340F" w:rsidRPr="00A1129C">
        <w:rPr>
          <w:rFonts w:ascii="Arial" w:hAnsi="Arial" w:cs="Arial"/>
        </w:rPr>
        <w:t>its current strategy and contractual commitments</w:t>
      </w:r>
      <w:r w:rsidR="0028751B">
        <w:rPr>
          <w:rFonts w:ascii="Arial" w:hAnsi="Arial" w:cs="Arial"/>
        </w:rPr>
        <w:t>,</w:t>
      </w:r>
      <w:r w:rsidR="0060340F" w:rsidRPr="00A1129C">
        <w:rPr>
          <w:rFonts w:ascii="Arial" w:hAnsi="Arial" w:cs="Arial"/>
        </w:rPr>
        <w:t xml:space="preserve"> whilst </w:t>
      </w:r>
      <w:r w:rsidR="006973D5" w:rsidRPr="00A1129C">
        <w:rPr>
          <w:rFonts w:ascii="Arial" w:hAnsi="Arial" w:cs="Arial"/>
        </w:rPr>
        <w:t>undertaking development</w:t>
      </w:r>
      <w:r w:rsidR="00DA21BC" w:rsidRPr="00A1129C">
        <w:rPr>
          <w:rFonts w:ascii="Arial" w:hAnsi="Arial" w:cs="Arial"/>
        </w:rPr>
        <w:t>al</w:t>
      </w:r>
      <w:r w:rsidR="006973D5" w:rsidRPr="00A1129C">
        <w:rPr>
          <w:rFonts w:ascii="Arial" w:hAnsi="Arial" w:cs="Arial"/>
        </w:rPr>
        <w:t xml:space="preserve"> work to prepare for future change.</w:t>
      </w:r>
      <w:r w:rsidR="000217FF" w:rsidRPr="00A1129C">
        <w:rPr>
          <w:rFonts w:ascii="Arial" w:hAnsi="Arial" w:cs="Arial"/>
        </w:rPr>
        <w:t xml:space="preserve"> By 2022 we</w:t>
      </w:r>
      <w:r w:rsidR="0033341F" w:rsidRPr="00A1129C">
        <w:rPr>
          <w:rFonts w:ascii="Arial" w:hAnsi="Arial" w:cs="Arial"/>
        </w:rPr>
        <w:t xml:space="preserve"> will have migrated from our current LIS</w:t>
      </w:r>
      <w:r w:rsidR="00BD10B1" w:rsidRPr="00A1129C">
        <w:rPr>
          <w:rFonts w:ascii="Arial" w:hAnsi="Arial" w:cs="Arial"/>
        </w:rPr>
        <w:t xml:space="preserve">, building upon its strong foundation to </w:t>
      </w:r>
      <w:r w:rsidR="003571CF" w:rsidRPr="00A1129C">
        <w:rPr>
          <w:rFonts w:ascii="Arial" w:hAnsi="Arial" w:cs="Arial"/>
        </w:rPr>
        <w:t>define our</w:t>
      </w:r>
      <w:r w:rsidR="0033341F" w:rsidRPr="00A1129C">
        <w:rPr>
          <w:rFonts w:ascii="Arial" w:hAnsi="Arial" w:cs="Arial"/>
        </w:rPr>
        <w:t xml:space="preserve"> </w:t>
      </w:r>
      <w:proofErr w:type="gramStart"/>
      <w:r w:rsidR="0033341F" w:rsidRPr="00A1129C">
        <w:rPr>
          <w:rFonts w:ascii="Arial" w:hAnsi="Arial" w:cs="Arial"/>
        </w:rPr>
        <w:t>future Plan</w:t>
      </w:r>
      <w:proofErr w:type="gramEnd"/>
      <w:r w:rsidR="0033341F" w:rsidRPr="00A1129C">
        <w:rPr>
          <w:rFonts w:ascii="Arial" w:hAnsi="Arial" w:cs="Arial"/>
        </w:rPr>
        <w:t xml:space="preserve"> for Growth</w:t>
      </w:r>
      <w:r w:rsidR="003571CF" w:rsidRPr="00A1129C">
        <w:rPr>
          <w:rFonts w:ascii="Arial" w:hAnsi="Arial" w:cs="Arial"/>
        </w:rPr>
        <w:t xml:space="preserve">. We will ensure </w:t>
      </w:r>
      <w:r w:rsidR="009118F9" w:rsidRPr="00A1129C">
        <w:rPr>
          <w:rFonts w:ascii="Arial" w:hAnsi="Arial" w:cs="Arial"/>
        </w:rPr>
        <w:t xml:space="preserve">that </w:t>
      </w:r>
      <w:r w:rsidR="005E43C8" w:rsidRPr="00A1129C">
        <w:rPr>
          <w:rFonts w:ascii="Arial" w:hAnsi="Arial" w:cs="Arial"/>
        </w:rPr>
        <w:t xml:space="preserve">partnerships, resources and </w:t>
      </w:r>
      <w:r w:rsidR="009118F9" w:rsidRPr="00A1129C">
        <w:rPr>
          <w:rFonts w:ascii="Arial" w:hAnsi="Arial" w:cs="Arial"/>
        </w:rPr>
        <w:t>structures are in place</w:t>
      </w:r>
      <w:r w:rsidR="00BA4B72" w:rsidRPr="00A1129C">
        <w:rPr>
          <w:rFonts w:ascii="Arial" w:hAnsi="Arial" w:cs="Arial"/>
        </w:rPr>
        <w:t xml:space="preserve"> to </w:t>
      </w:r>
      <w:r w:rsidR="005E43C8" w:rsidRPr="00A1129C">
        <w:rPr>
          <w:rFonts w:ascii="Arial" w:hAnsi="Arial" w:cs="Arial"/>
        </w:rPr>
        <w:t xml:space="preserve">deliver against </w:t>
      </w:r>
      <w:r w:rsidR="003012E5" w:rsidRPr="00A1129C">
        <w:rPr>
          <w:rFonts w:ascii="Arial" w:hAnsi="Arial" w:cs="Arial"/>
        </w:rPr>
        <w:t>our ambition to be a</w:t>
      </w:r>
      <w:r w:rsidR="00EC5454" w:rsidRPr="00A1129C">
        <w:rPr>
          <w:rStyle w:val="normaltextrun"/>
          <w:rFonts w:ascii="Arial" w:hAnsi="Arial" w:cs="Arial"/>
          <w:shd w:val="clear" w:color="auto" w:fill="FFFFFF"/>
        </w:rPr>
        <w:t xml:space="preserve"> region that </w:t>
      </w:r>
      <w:r w:rsidR="00EC5454" w:rsidRPr="00A1129C">
        <w:rPr>
          <w:rStyle w:val="normaltextrun"/>
          <w:rFonts w:ascii="Arial" w:hAnsi="Arial" w:cs="Arial"/>
          <w:i/>
          <w:iCs/>
          <w:shd w:val="clear" w:color="auto" w:fill="FFFFFF"/>
        </w:rPr>
        <w:t>thrives and succeeds based on a progressive, diverse and inclusive economy led by our innovative and creative mix of digital, energy and advanced manufacturing, making Stoke-on-Trent and Staffordshire the best place to live, learn, work and do business</w:t>
      </w:r>
      <w:r w:rsidR="006B0C5C">
        <w:rPr>
          <w:rStyle w:val="normaltextrun"/>
          <w:rFonts w:ascii="Arial" w:hAnsi="Arial" w:cs="Arial"/>
          <w:i/>
          <w:iCs/>
          <w:shd w:val="clear" w:color="auto" w:fill="FFFFFF"/>
        </w:rPr>
        <w:t>.</w:t>
      </w:r>
    </w:p>
    <w:p w14:paraId="0E34928B" w14:textId="573AAB1D" w:rsidR="006973D5" w:rsidRDefault="006B0C5C" w:rsidP="00CF6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an organisation and partnership</w:t>
      </w:r>
      <w:r w:rsidR="00765BFF">
        <w:rPr>
          <w:rFonts w:ascii="Arial" w:hAnsi="Arial" w:cs="Arial"/>
        </w:rPr>
        <w:t xml:space="preserve"> dealing with uncertainty, we will endeavour to</w:t>
      </w:r>
      <w:r w:rsidR="002530FE">
        <w:rPr>
          <w:rFonts w:ascii="Arial" w:hAnsi="Arial" w:cs="Arial"/>
        </w:rPr>
        <w:t xml:space="preserve"> </w:t>
      </w:r>
      <w:r w:rsidR="006973D5" w:rsidRPr="00295C50">
        <w:rPr>
          <w:rFonts w:ascii="Arial" w:hAnsi="Arial" w:cs="Arial"/>
        </w:rPr>
        <w:t>add-value</w:t>
      </w:r>
      <w:r w:rsidR="008067AF">
        <w:rPr>
          <w:rFonts w:ascii="Arial" w:hAnsi="Arial" w:cs="Arial"/>
        </w:rPr>
        <w:t xml:space="preserve"> through our wide range of existing </w:t>
      </w:r>
      <w:r w:rsidR="00C20E52">
        <w:rPr>
          <w:rFonts w:ascii="Arial" w:hAnsi="Arial" w:cs="Arial"/>
        </w:rPr>
        <w:t>programmes</w:t>
      </w:r>
      <w:r w:rsidR="006973D5" w:rsidRPr="00295C50">
        <w:rPr>
          <w:rFonts w:ascii="Arial" w:hAnsi="Arial" w:cs="Arial"/>
        </w:rPr>
        <w:t xml:space="preserve">, </w:t>
      </w:r>
      <w:r w:rsidR="00C20E52">
        <w:rPr>
          <w:rFonts w:ascii="Arial" w:hAnsi="Arial" w:cs="Arial"/>
        </w:rPr>
        <w:t>embrace</w:t>
      </w:r>
      <w:r w:rsidR="00583744">
        <w:rPr>
          <w:rFonts w:ascii="Arial" w:hAnsi="Arial" w:cs="Arial"/>
        </w:rPr>
        <w:t xml:space="preserve"> and lead</w:t>
      </w:r>
      <w:r w:rsidR="006973D5" w:rsidRPr="00295C50">
        <w:rPr>
          <w:rFonts w:ascii="Arial" w:hAnsi="Arial" w:cs="Arial"/>
        </w:rPr>
        <w:t xml:space="preserve"> change</w:t>
      </w:r>
      <w:r w:rsidR="00583744">
        <w:rPr>
          <w:rFonts w:ascii="Arial" w:hAnsi="Arial" w:cs="Arial"/>
        </w:rPr>
        <w:t xml:space="preserve"> positively and continue to </w:t>
      </w:r>
      <w:r w:rsidR="006973D5">
        <w:rPr>
          <w:rFonts w:ascii="Arial" w:hAnsi="Arial" w:cs="Arial"/>
        </w:rPr>
        <w:t xml:space="preserve">champion </w:t>
      </w:r>
      <w:r w:rsidR="00CF68B1">
        <w:rPr>
          <w:rFonts w:ascii="Arial" w:hAnsi="Arial" w:cs="Arial"/>
        </w:rPr>
        <w:t>and promote place.</w:t>
      </w:r>
    </w:p>
    <w:p w14:paraId="00C35DD1" w14:textId="298D0CDD" w:rsidR="00C428AE" w:rsidRDefault="00C428AE" w:rsidP="00CF6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document is not an outward-facing strategy, but </w:t>
      </w:r>
      <w:r w:rsidR="005270E0">
        <w:rPr>
          <w:rFonts w:ascii="Arial" w:hAnsi="Arial" w:cs="Arial"/>
        </w:rPr>
        <w:t>a delivery plan that sets ou</w:t>
      </w:r>
      <w:r w:rsidR="00C02F12">
        <w:rPr>
          <w:rFonts w:ascii="Arial" w:hAnsi="Arial" w:cs="Arial"/>
        </w:rPr>
        <w:t>t our</w:t>
      </w:r>
      <w:r w:rsidR="005270E0">
        <w:rPr>
          <w:rFonts w:ascii="Arial" w:hAnsi="Arial" w:cs="Arial"/>
        </w:rPr>
        <w:t xml:space="preserve"> roadmap </w:t>
      </w:r>
      <w:r w:rsidR="002B0D31">
        <w:rPr>
          <w:rFonts w:ascii="Arial" w:hAnsi="Arial" w:cs="Arial"/>
        </w:rPr>
        <w:t>to</w:t>
      </w:r>
      <w:r w:rsidR="005270E0">
        <w:rPr>
          <w:rFonts w:ascii="Arial" w:hAnsi="Arial" w:cs="Arial"/>
        </w:rPr>
        <w:t xml:space="preserve"> balance existing delivery w</w:t>
      </w:r>
      <w:r w:rsidR="00907126">
        <w:rPr>
          <w:rFonts w:ascii="Arial" w:hAnsi="Arial" w:cs="Arial"/>
        </w:rPr>
        <w:t xml:space="preserve">hilst </w:t>
      </w:r>
      <w:r w:rsidR="00C02F12">
        <w:rPr>
          <w:rFonts w:ascii="Arial" w:hAnsi="Arial" w:cs="Arial"/>
        </w:rPr>
        <w:t>implementing</w:t>
      </w:r>
      <w:r w:rsidR="00907126">
        <w:rPr>
          <w:rFonts w:ascii="Arial" w:hAnsi="Arial" w:cs="Arial"/>
        </w:rPr>
        <w:t xml:space="preserve"> change</w:t>
      </w:r>
      <w:r w:rsidR="001E179B">
        <w:rPr>
          <w:rFonts w:ascii="Arial" w:hAnsi="Arial" w:cs="Arial"/>
        </w:rPr>
        <w:t xml:space="preserve"> and improvement. </w:t>
      </w:r>
      <w:r w:rsidR="004365BE">
        <w:rPr>
          <w:rFonts w:ascii="Arial" w:hAnsi="Arial" w:cs="Arial"/>
        </w:rPr>
        <w:t xml:space="preserve">We aim </w:t>
      </w:r>
      <w:r w:rsidR="00AB6F5D">
        <w:rPr>
          <w:rFonts w:ascii="Arial" w:hAnsi="Arial" w:cs="Arial"/>
        </w:rPr>
        <w:t>to position S</w:t>
      </w:r>
      <w:r w:rsidR="00940746">
        <w:rPr>
          <w:rFonts w:ascii="Arial" w:hAnsi="Arial" w:cs="Arial"/>
        </w:rPr>
        <w:t>toke-On-Trent and Staffordshire region as</w:t>
      </w:r>
      <w:r w:rsidR="004365BE">
        <w:rPr>
          <w:rFonts w:ascii="Arial" w:hAnsi="Arial" w:cs="Arial"/>
        </w:rPr>
        <w:t xml:space="preserve"> a community that </w:t>
      </w:r>
      <w:r w:rsidR="00E869AF">
        <w:rPr>
          <w:rFonts w:ascii="Arial" w:hAnsi="Arial" w:cs="Arial"/>
        </w:rPr>
        <w:t xml:space="preserve">works collaboratively, </w:t>
      </w:r>
      <w:r w:rsidR="004365BE">
        <w:rPr>
          <w:rFonts w:ascii="Arial" w:hAnsi="Arial" w:cs="Arial"/>
        </w:rPr>
        <w:t>embraces innovation</w:t>
      </w:r>
      <w:r w:rsidR="00E869AF">
        <w:rPr>
          <w:rFonts w:ascii="Arial" w:hAnsi="Arial" w:cs="Arial"/>
        </w:rPr>
        <w:t xml:space="preserve"> and</w:t>
      </w:r>
      <w:r w:rsidR="004365BE">
        <w:rPr>
          <w:rFonts w:ascii="Arial" w:hAnsi="Arial" w:cs="Arial"/>
        </w:rPr>
        <w:t xml:space="preserve"> </w:t>
      </w:r>
      <w:r w:rsidR="004116E5">
        <w:rPr>
          <w:rFonts w:ascii="Arial" w:hAnsi="Arial" w:cs="Arial"/>
        </w:rPr>
        <w:t>‘</w:t>
      </w:r>
      <w:r w:rsidR="004365BE">
        <w:rPr>
          <w:rFonts w:ascii="Arial" w:hAnsi="Arial" w:cs="Arial"/>
        </w:rPr>
        <w:t>get</w:t>
      </w:r>
      <w:r w:rsidR="003B63FE">
        <w:rPr>
          <w:rFonts w:ascii="Arial" w:hAnsi="Arial" w:cs="Arial"/>
        </w:rPr>
        <w:t>s</w:t>
      </w:r>
      <w:r w:rsidR="004365BE">
        <w:rPr>
          <w:rFonts w:ascii="Arial" w:hAnsi="Arial" w:cs="Arial"/>
        </w:rPr>
        <w:t xml:space="preserve"> things done</w:t>
      </w:r>
      <w:r w:rsidR="004116E5">
        <w:rPr>
          <w:rFonts w:ascii="Arial" w:hAnsi="Arial" w:cs="Arial"/>
        </w:rPr>
        <w:t>’</w:t>
      </w:r>
      <w:r w:rsidR="00E869AF">
        <w:rPr>
          <w:rFonts w:ascii="Arial" w:hAnsi="Arial" w:cs="Arial"/>
        </w:rPr>
        <w:t>, thus highly investable</w:t>
      </w:r>
      <w:r w:rsidR="004116E5">
        <w:rPr>
          <w:rFonts w:ascii="Arial" w:hAnsi="Arial" w:cs="Arial"/>
        </w:rPr>
        <w:t>.</w:t>
      </w:r>
    </w:p>
    <w:p w14:paraId="7A3CAB6F" w14:textId="057AAACA" w:rsidR="008876E4" w:rsidRDefault="008876E4" w:rsidP="00771F96">
      <w:pPr>
        <w:ind w:firstLine="720"/>
        <w:rPr>
          <w:rFonts w:ascii="Arial" w:hAnsi="Arial" w:cs="Arial"/>
          <w:u w:val="single"/>
        </w:rPr>
      </w:pPr>
    </w:p>
    <w:p w14:paraId="03D3CEF5" w14:textId="335C6287" w:rsidR="0061630E" w:rsidRDefault="00CF7234" w:rsidP="008876E4">
      <w:pPr>
        <w:rPr>
          <w:rFonts w:ascii="Arial" w:hAnsi="Arial" w:cs="Arial"/>
          <w:u w:val="single"/>
        </w:rPr>
      </w:pPr>
      <w:r w:rsidRPr="00771F96">
        <w:rPr>
          <w:rFonts w:ascii="Arial" w:hAnsi="Arial" w:cs="Arial"/>
          <w:u w:val="single"/>
        </w:rPr>
        <w:t>Objectives:</w:t>
      </w:r>
    </w:p>
    <w:p w14:paraId="69F049CE" w14:textId="77777777" w:rsidR="00771F96" w:rsidRPr="00452DE3" w:rsidRDefault="00771F96" w:rsidP="00771F96">
      <w:pPr>
        <w:ind w:firstLine="720"/>
        <w:rPr>
          <w:rFonts w:ascii="Arial" w:hAnsi="Arial" w:cs="Arial"/>
          <w:sz w:val="6"/>
          <w:szCs w:val="6"/>
          <w:u w:val="single"/>
        </w:rPr>
      </w:pPr>
    </w:p>
    <w:p w14:paraId="6FB73191" w14:textId="202C76B8" w:rsidR="0061630E" w:rsidRPr="00295C50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295C50">
        <w:rPr>
          <w:rFonts w:ascii="Arial" w:eastAsia="Times New Roman" w:hAnsi="Arial" w:cs="Arial"/>
          <w:b/>
          <w:bCs/>
        </w:rPr>
        <w:t>Governance</w:t>
      </w:r>
      <w:r w:rsidRPr="00295C50">
        <w:rPr>
          <w:rFonts w:ascii="Arial" w:eastAsia="Times New Roman" w:hAnsi="Arial" w:cs="Arial"/>
        </w:rPr>
        <w:t>: continue to drive strategic change through evidenced-based, ambitious strategy underpinned by robust governance</w:t>
      </w:r>
      <w:r w:rsidR="00177166">
        <w:rPr>
          <w:rFonts w:ascii="Arial" w:eastAsia="Times New Roman" w:hAnsi="Arial" w:cs="Arial"/>
        </w:rPr>
        <w:t>; a platform for future growth</w:t>
      </w:r>
    </w:p>
    <w:p w14:paraId="61F58596" w14:textId="77777777" w:rsidR="0061630E" w:rsidRPr="00295C50" w:rsidRDefault="0061630E" w:rsidP="008876E4">
      <w:pPr>
        <w:rPr>
          <w:rFonts w:ascii="Arial" w:eastAsiaTheme="minorHAnsi" w:hAnsi="Arial" w:cs="Arial"/>
        </w:rPr>
      </w:pPr>
    </w:p>
    <w:p w14:paraId="2312BA77" w14:textId="59ACF5D4" w:rsidR="0061630E" w:rsidRPr="00295C50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295C50">
        <w:rPr>
          <w:rFonts w:ascii="Arial" w:eastAsia="Times New Roman" w:hAnsi="Arial" w:cs="Arial"/>
          <w:b/>
          <w:bCs/>
        </w:rPr>
        <w:t>Operations</w:t>
      </w:r>
      <w:r w:rsidRPr="00295C50">
        <w:rPr>
          <w:rFonts w:ascii="Arial" w:eastAsia="Times New Roman" w:hAnsi="Arial" w:cs="Arial"/>
        </w:rPr>
        <w:t xml:space="preserve">: </w:t>
      </w:r>
      <w:r w:rsidR="00D65367">
        <w:rPr>
          <w:rFonts w:ascii="Arial" w:eastAsia="Times New Roman" w:hAnsi="Arial" w:cs="Arial"/>
        </w:rPr>
        <w:t>continue to progress</w:t>
      </w:r>
      <w:r w:rsidR="0032415C">
        <w:rPr>
          <w:rFonts w:ascii="Arial" w:eastAsia="Times New Roman" w:hAnsi="Arial" w:cs="Arial"/>
        </w:rPr>
        <w:t xml:space="preserve"> local projects and initiatives, </w:t>
      </w:r>
      <w:r w:rsidRPr="00295C50">
        <w:rPr>
          <w:rFonts w:ascii="Arial" w:eastAsia="Times New Roman" w:hAnsi="Arial" w:cs="Arial"/>
        </w:rPr>
        <w:t>demonstrat</w:t>
      </w:r>
      <w:r w:rsidR="0032415C">
        <w:rPr>
          <w:rFonts w:ascii="Arial" w:eastAsia="Times New Roman" w:hAnsi="Arial" w:cs="Arial"/>
        </w:rPr>
        <w:t>ing</w:t>
      </w:r>
      <w:r w:rsidRPr="00295C50">
        <w:rPr>
          <w:rFonts w:ascii="Arial" w:eastAsia="Times New Roman" w:hAnsi="Arial" w:cs="Arial"/>
        </w:rPr>
        <w:t xml:space="preserve"> high-impact delivery of capital schemes </w:t>
      </w:r>
      <w:r w:rsidR="00B16E26">
        <w:rPr>
          <w:rFonts w:ascii="Arial" w:eastAsia="Times New Roman" w:hAnsi="Arial" w:cs="Arial"/>
        </w:rPr>
        <w:t xml:space="preserve">and test-bed projects, </w:t>
      </w:r>
      <w:r w:rsidR="004305F2">
        <w:rPr>
          <w:rFonts w:ascii="Arial" w:eastAsia="Times New Roman" w:hAnsi="Arial" w:cs="Arial"/>
        </w:rPr>
        <w:t>w</w:t>
      </w:r>
      <w:r w:rsidR="00B16E26">
        <w:rPr>
          <w:rFonts w:ascii="Arial" w:eastAsia="Times New Roman" w:hAnsi="Arial" w:cs="Arial"/>
        </w:rPr>
        <w:t>hilst</w:t>
      </w:r>
      <w:r w:rsidRPr="00295C50">
        <w:rPr>
          <w:rFonts w:ascii="Arial" w:eastAsia="Times New Roman" w:hAnsi="Arial" w:cs="Arial"/>
        </w:rPr>
        <w:t xml:space="preserve"> develop</w:t>
      </w:r>
      <w:r w:rsidR="00B16E26">
        <w:rPr>
          <w:rFonts w:ascii="Arial" w:eastAsia="Times New Roman" w:hAnsi="Arial" w:cs="Arial"/>
        </w:rPr>
        <w:t>ing</w:t>
      </w:r>
      <w:r w:rsidRPr="00295C50">
        <w:rPr>
          <w:rFonts w:ascii="Arial" w:eastAsia="Times New Roman" w:hAnsi="Arial" w:cs="Arial"/>
        </w:rPr>
        <w:t xml:space="preserve"> granular-level insight to support policy and investment decisions</w:t>
      </w:r>
      <w:r w:rsidR="00F62A26">
        <w:rPr>
          <w:rFonts w:ascii="Arial" w:eastAsia="Times New Roman" w:hAnsi="Arial" w:cs="Arial"/>
        </w:rPr>
        <w:t>.</w:t>
      </w:r>
    </w:p>
    <w:p w14:paraId="20881B15" w14:textId="77777777" w:rsidR="0061630E" w:rsidRPr="00295C50" w:rsidRDefault="0061630E" w:rsidP="008876E4">
      <w:pPr>
        <w:rPr>
          <w:rFonts w:ascii="Arial" w:eastAsiaTheme="minorHAnsi" w:hAnsi="Arial" w:cs="Arial"/>
        </w:rPr>
      </w:pPr>
    </w:p>
    <w:p w14:paraId="2083C2C8" w14:textId="77777777" w:rsidR="0061630E" w:rsidRPr="00295C50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295C50">
        <w:rPr>
          <w:rFonts w:ascii="Arial" w:eastAsia="Times New Roman" w:hAnsi="Arial" w:cs="Arial"/>
          <w:b/>
          <w:bCs/>
        </w:rPr>
        <w:t>Stakeholder engagement</w:t>
      </w:r>
      <w:r w:rsidRPr="00295C50">
        <w:rPr>
          <w:rFonts w:ascii="Arial" w:eastAsia="Times New Roman" w:hAnsi="Arial" w:cs="Arial"/>
        </w:rPr>
        <w:t xml:space="preserve">: building </w:t>
      </w:r>
      <w:proofErr w:type="gramStart"/>
      <w:r w:rsidRPr="00295C50">
        <w:rPr>
          <w:rFonts w:ascii="Arial" w:eastAsia="Times New Roman" w:hAnsi="Arial" w:cs="Arial"/>
        </w:rPr>
        <w:t>mutually-beneficial</w:t>
      </w:r>
      <w:proofErr w:type="gramEnd"/>
      <w:r w:rsidRPr="00295C50">
        <w:rPr>
          <w:rFonts w:ascii="Arial" w:eastAsia="Times New Roman" w:hAnsi="Arial" w:cs="Arial"/>
        </w:rPr>
        <w:t xml:space="preserve"> relationships at a local/regional/national level whilst amplifying the voice of business and the brand of our place.</w:t>
      </w:r>
    </w:p>
    <w:p w14:paraId="79D43770" w14:textId="77777777" w:rsidR="0061630E" w:rsidRDefault="0061630E" w:rsidP="0061630E">
      <w:pPr>
        <w:pStyle w:val="ListParagraph"/>
        <w:rPr>
          <w:rFonts w:ascii="Verdana" w:hAnsi="Verdana"/>
        </w:rPr>
      </w:pPr>
    </w:p>
    <w:p w14:paraId="430D1999" w14:textId="3C3332E9" w:rsidR="0061630E" w:rsidRDefault="0061630E"/>
    <w:p w14:paraId="1334F143" w14:textId="71184365" w:rsidR="00600155" w:rsidRDefault="00600155"/>
    <w:p w14:paraId="3805D652" w14:textId="52FBCC0C" w:rsidR="0061630E" w:rsidRDefault="0061630E"/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410"/>
        <w:gridCol w:w="2835"/>
        <w:gridCol w:w="3827"/>
      </w:tblGrid>
      <w:tr w:rsidR="0061630E" w:rsidRPr="00043428" w14:paraId="10A24992" w14:textId="77777777" w:rsidTr="00C2447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24D730" w14:textId="176A8847" w:rsidR="0061630E" w:rsidRPr="007368F0" w:rsidRDefault="00D5023E" w:rsidP="00360C8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45FF0DB" w14:textId="77777777" w:rsidR="0061630E" w:rsidRPr="007368F0" w:rsidRDefault="0061630E" w:rsidP="00360C8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>Qtr</w:t>
            </w:r>
            <w:proofErr w:type="spellEnd"/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1: Apr-Jun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FA7BFAD" w14:textId="77777777" w:rsidR="0061630E" w:rsidRPr="007368F0" w:rsidRDefault="0061630E" w:rsidP="00360C8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>Qtr2: Jul-Sep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1711994" w14:textId="77777777" w:rsidR="0061630E" w:rsidRPr="007368F0" w:rsidRDefault="0061630E" w:rsidP="00360C8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>Qtr3: Oct-Dec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AEF126B" w14:textId="77777777" w:rsidR="0061630E" w:rsidRPr="007368F0" w:rsidRDefault="0061630E" w:rsidP="00360C8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>Qtr</w:t>
            </w:r>
            <w:proofErr w:type="spellEnd"/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4: Jan-Mar</w:t>
            </w:r>
          </w:p>
        </w:tc>
      </w:tr>
      <w:tr w:rsidR="0061630E" w:rsidRPr="00150196" w14:paraId="1D284379" w14:textId="77777777" w:rsidTr="00C2447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86B8A" w14:textId="77777777" w:rsidR="0061630E" w:rsidRPr="008876E4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6E4"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3CED3072" w14:textId="761A0439" w:rsidR="00944A6B" w:rsidRPr="00097739" w:rsidRDefault="00547966" w:rsidP="00360C83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Ongoing</w:t>
            </w:r>
            <w:r w:rsidR="00944A6B" w:rsidRPr="000977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work</w:t>
            </w:r>
            <w:r w:rsidR="000977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programme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6A32A1" w14:textId="77777777" w:rsidR="00F87D60" w:rsidRPr="00D46045" w:rsidRDefault="00F87D60" w:rsidP="00360C83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268470C" w14:textId="570D4DB0" w:rsidR="0061630E" w:rsidRPr="008876E4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NED recruitment</w:t>
            </w:r>
          </w:p>
          <w:p w14:paraId="01EE8E40" w14:textId="77777777" w:rsidR="0061630E" w:rsidRPr="008876E4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Fulfilment of (LEP actionable) improvement Plan/APR actions:</w:t>
            </w:r>
          </w:p>
          <w:p w14:paraId="37D3E79F" w14:textId="77777777" w:rsidR="0061630E" w:rsidRPr="008876E4" w:rsidRDefault="0061630E" w:rsidP="00360C83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Private sector NED recruitment</w:t>
            </w:r>
          </w:p>
          <w:p w14:paraId="57698558" w14:textId="77777777" w:rsidR="0061630E" w:rsidRPr="008876E4" w:rsidRDefault="0061630E" w:rsidP="00360C83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City Deal Carbon Emissions Reduction Targets reported to SPMG</w:t>
            </w:r>
          </w:p>
          <w:p w14:paraId="062D75DC" w14:textId="77777777" w:rsidR="0061630E" w:rsidRPr="008876E4" w:rsidRDefault="0061630E" w:rsidP="00360C83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 xml:space="preserve">LGF Evaluation Plan implementation and quarterly data returns to CLGU </w:t>
            </w:r>
          </w:p>
          <w:p w14:paraId="190F3A30" w14:textId="77777777" w:rsidR="0061630E" w:rsidRPr="008876E4" w:rsidRDefault="0061630E" w:rsidP="00360C83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Monthly meetings between CLGU Area Lead, LEP CEO &amp; S151</w:t>
            </w:r>
          </w:p>
          <w:p w14:paraId="7837FEED" w14:textId="77777777" w:rsidR="0061630E" w:rsidRPr="008876E4" w:rsidRDefault="0061630E" w:rsidP="00360C83">
            <w:pPr>
              <w:pStyle w:val="ListParagraph"/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F8257" w14:textId="77777777" w:rsidR="00F87D60" w:rsidRPr="00D46045" w:rsidRDefault="00F87D60" w:rsidP="00360C83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01D781C" w14:textId="77777777" w:rsidR="0061630E" w:rsidRPr="008876E4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Mid-Year review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94256C" w14:textId="77777777" w:rsidR="00F87D60" w:rsidRPr="00D46045" w:rsidRDefault="00F87D60" w:rsidP="00360C83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595AAD4" w14:textId="7B581114" w:rsidR="0061630E" w:rsidRPr="008876E4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AGM + formal appointment of new NEDs</w:t>
            </w:r>
          </w:p>
          <w:p w14:paraId="19C76CFF" w14:textId="77777777" w:rsidR="0061630E" w:rsidRPr="008876E4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Induction of new NEDs</w:t>
            </w:r>
          </w:p>
          <w:p w14:paraId="67E606A7" w14:textId="22BB3B1F" w:rsidR="0061630E" w:rsidRPr="008876E4" w:rsidRDefault="0061630E" w:rsidP="009B75C7">
            <w:pPr>
              <w:pStyle w:val="ListParagraph"/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00D52" w14:textId="77777777" w:rsidR="00F87D60" w:rsidRPr="00D46045" w:rsidRDefault="00F87D60" w:rsidP="00360C83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E9A21E9" w14:textId="5A6C957F" w:rsidR="0061630E" w:rsidRPr="008876E4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Annual Performance Review</w:t>
            </w:r>
          </w:p>
          <w:p w14:paraId="67BB0CB3" w14:textId="77777777" w:rsidR="0061630E" w:rsidRPr="008876E4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NED recruitment</w:t>
            </w:r>
          </w:p>
          <w:p w14:paraId="4DDF3382" w14:textId="77777777" w:rsidR="0061630E" w:rsidRDefault="0061630E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Development of Business Plan and Budget 2022/23</w:t>
            </w:r>
          </w:p>
          <w:p w14:paraId="788EE65C" w14:textId="0C40269E" w:rsidR="00E964CA" w:rsidRPr="008876E4" w:rsidRDefault="00E964CA" w:rsidP="00360C8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E6" w:rsidRPr="00150196" w14:paraId="0F01CDA7" w14:textId="77777777" w:rsidTr="00C2447F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159F41" w14:textId="77777777" w:rsidR="00A27AC9" w:rsidRPr="008876E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6E4"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13D8BBAA" w14:textId="6B217F7D" w:rsidR="006A64E6" w:rsidRPr="00A27AC9" w:rsidRDefault="000D74C9" w:rsidP="00360C83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A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developments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5D17F4B" w14:textId="77777777" w:rsidR="005F5381" w:rsidRPr="005F5381" w:rsidRDefault="005F5381" w:rsidP="00DA0833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68335ED2" w14:textId="3FC0783C" w:rsidR="00DA0833" w:rsidRPr="008876E4" w:rsidRDefault="00DA0833" w:rsidP="00DA083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Development of new T&amp;F Group to oversee strategic change</w:t>
            </w:r>
          </w:p>
          <w:p w14:paraId="15C9882A" w14:textId="77777777" w:rsidR="00DA0833" w:rsidRPr="008876E4" w:rsidRDefault="00DA0833" w:rsidP="00DA083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Alignment of Growth Hub (Governance and Operations)</w:t>
            </w:r>
          </w:p>
          <w:p w14:paraId="7CA42632" w14:textId="77777777" w:rsidR="006A64E6" w:rsidRPr="00D46045" w:rsidRDefault="006A64E6" w:rsidP="00360C83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7C9FE00" w14:textId="77777777" w:rsidR="005F5381" w:rsidRPr="005F5381" w:rsidRDefault="005F5381" w:rsidP="0009773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6EDE1ECA" w14:textId="610D56DB" w:rsidR="00097739" w:rsidRPr="008876E4" w:rsidRDefault="00097739" w:rsidP="0009773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Sub-group strategic review</w:t>
            </w:r>
          </w:p>
          <w:p w14:paraId="5A502178" w14:textId="77777777" w:rsidR="00097739" w:rsidRPr="008876E4" w:rsidRDefault="00097739" w:rsidP="0009773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Reserves Policy development</w:t>
            </w:r>
          </w:p>
          <w:p w14:paraId="4F20DC9F" w14:textId="77777777" w:rsidR="00097739" w:rsidRPr="008876E4" w:rsidRDefault="00097739" w:rsidP="0009773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Review and risk assessment of LEP accountabilities</w:t>
            </w:r>
          </w:p>
          <w:p w14:paraId="405A4A45" w14:textId="77777777" w:rsidR="006A64E6" w:rsidRPr="00D46045" w:rsidRDefault="006A64E6" w:rsidP="00360C83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6ADBE4" w14:textId="77777777" w:rsidR="005F5381" w:rsidRPr="005F5381" w:rsidRDefault="005F5381" w:rsidP="009B75C7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3D7C86A" w14:textId="7B223C29" w:rsidR="009B75C7" w:rsidRPr="008876E4" w:rsidRDefault="009B75C7" w:rsidP="009B75C7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Strategy review/refresh</w:t>
            </w:r>
          </w:p>
          <w:p w14:paraId="08304E2C" w14:textId="77777777" w:rsidR="009B75C7" w:rsidRPr="008876E4" w:rsidRDefault="009B75C7" w:rsidP="009B75C7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Structural review</w:t>
            </w:r>
          </w:p>
          <w:p w14:paraId="4033A249" w14:textId="34A6C4EB" w:rsidR="009B75C7" w:rsidRPr="008876E4" w:rsidRDefault="009B75C7" w:rsidP="009B75C7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="000B0BC9">
              <w:rPr>
                <w:rFonts w:ascii="Arial" w:hAnsi="Arial" w:cs="Arial"/>
                <w:sz w:val="20"/>
                <w:szCs w:val="20"/>
              </w:rPr>
              <w:t xml:space="preserve">Governance and </w:t>
            </w:r>
            <w:r w:rsidR="003C3302">
              <w:rPr>
                <w:rFonts w:ascii="Arial" w:hAnsi="Arial" w:cs="Arial"/>
                <w:sz w:val="20"/>
                <w:szCs w:val="20"/>
              </w:rPr>
              <w:t xml:space="preserve">of associated </w:t>
            </w:r>
            <w:r w:rsidRPr="008876E4">
              <w:rPr>
                <w:rFonts w:ascii="Arial" w:hAnsi="Arial" w:cs="Arial"/>
                <w:sz w:val="20"/>
                <w:szCs w:val="20"/>
              </w:rPr>
              <w:t xml:space="preserve">Assurance Framework </w:t>
            </w:r>
          </w:p>
          <w:p w14:paraId="17E59C1F" w14:textId="77777777" w:rsidR="009B75C7" w:rsidRPr="008876E4" w:rsidRDefault="009B75C7" w:rsidP="009B75C7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Implementation of any recommendations emerging from:</w:t>
            </w:r>
          </w:p>
          <w:p w14:paraId="064CF902" w14:textId="77777777" w:rsidR="00C67E82" w:rsidRDefault="009B75C7" w:rsidP="00C67E82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review of accountabilities</w:t>
            </w:r>
          </w:p>
          <w:p w14:paraId="62E00784" w14:textId="1BD99C46" w:rsidR="006A64E6" w:rsidRPr="00C67E82" w:rsidRDefault="009B75C7" w:rsidP="00C67E82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C67E82">
              <w:rPr>
                <w:rFonts w:ascii="Arial" w:hAnsi="Arial" w:cs="Arial"/>
                <w:sz w:val="20"/>
                <w:szCs w:val="20"/>
              </w:rPr>
              <w:t>Mid-Year Review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79B3F86" w14:textId="77777777" w:rsidR="005F5381" w:rsidRPr="005F5381" w:rsidRDefault="005F5381" w:rsidP="009B75C7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56C2BF69" w14:textId="7D82A25A" w:rsidR="009B75C7" w:rsidRPr="008876E4" w:rsidRDefault="009B75C7" w:rsidP="009B75C7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Launch of SSLEP Strategy 2022+</w:t>
            </w:r>
          </w:p>
          <w:p w14:paraId="625A8CE3" w14:textId="77777777" w:rsidR="009B75C7" w:rsidRPr="008876E4" w:rsidRDefault="009B75C7" w:rsidP="009B75C7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Implementation of any recommendations emerging from:</w:t>
            </w:r>
          </w:p>
          <w:p w14:paraId="264AA40D" w14:textId="77777777" w:rsidR="003C3302" w:rsidRPr="003C3302" w:rsidRDefault="003C3302" w:rsidP="003C3302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3C3302">
              <w:rPr>
                <w:rFonts w:ascii="Arial" w:hAnsi="Arial" w:cs="Arial"/>
                <w:sz w:val="20"/>
                <w:szCs w:val="20"/>
              </w:rPr>
              <w:t xml:space="preserve">Review of Governance and of associated Assurance Framework </w:t>
            </w:r>
          </w:p>
          <w:p w14:paraId="46DBD7AD" w14:textId="4E4ACA95" w:rsidR="009B75C7" w:rsidRPr="008876E4" w:rsidRDefault="009B75C7" w:rsidP="003C3302">
            <w:pPr>
              <w:pStyle w:val="ListParagraph"/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/any newly released guidance</w:t>
            </w:r>
          </w:p>
          <w:p w14:paraId="7AEDE14F" w14:textId="77777777" w:rsidR="009B75C7" w:rsidRPr="008876E4" w:rsidRDefault="009B75C7" w:rsidP="009B75C7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review of Sub-groups</w:t>
            </w:r>
          </w:p>
          <w:p w14:paraId="12E98F42" w14:textId="77777777" w:rsidR="009B75C7" w:rsidRPr="008876E4" w:rsidRDefault="009B75C7" w:rsidP="009B75C7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structural review</w:t>
            </w:r>
          </w:p>
          <w:p w14:paraId="25299EAF" w14:textId="77777777" w:rsidR="009B75C7" w:rsidRPr="008876E4" w:rsidRDefault="009B75C7" w:rsidP="009B75C7">
            <w:pPr>
              <w:pStyle w:val="ListParagraph"/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497458" w14:textId="77777777" w:rsidR="00C2447F" w:rsidRDefault="009B75C7" w:rsidP="0078155E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Review/conclusion of T&amp;F (Strategic Change)</w:t>
            </w:r>
            <w:r w:rsidR="00781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8D339C" w14:textId="6F1B4C42" w:rsidR="006A64E6" w:rsidRPr="00D46045" w:rsidRDefault="009B75C7" w:rsidP="0078155E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Marketing Strategy and Stakeholder Engagement Plan</w:t>
            </w:r>
            <w:r w:rsidR="000D7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7A40B1D" w14:textId="603EB36C" w:rsidR="00A27AC9" w:rsidRDefault="00A27AC9">
      <w:r>
        <w:br w:type="page"/>
      </w:r>
    </w:p>
    <w:p w14:paraId="6076110C" w14:textId="77777777" w:rsidR="00420E7C" w:rsidRDefault="00420E7C"/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410"/>
        <w:gridCol w:w="2835"/>
        <w:gridCol w:w="3827"/>
      </w:tblGrid>
      <w:tr w:rsidR="00A27AC9" w:rsidRPr="00150196" w14:paraId="56A98D72" w14:textId="77777777" w:rsidTr="00C2447F">
        <w:tc>
          <w:tcPr>
            <w:tcW w:w="1701" w:type="dxa"/>
            <w:tcBorders>
              <w:bottom w:val="single" w:sz="4" w:space="0" w:color="auto"/>
            </w:tcBorders>
          </w:tcPr>
          <w:p w14:paraId="11C5B314" w14:textId="6DACBD86" w:rsidR="00A27AC9" w:rsidRPr="00D46045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73B9AA" w14:textId="16EFAAB4" w:rsidR="00A27AC9" w:rsidRPr="00F65C83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>Qtr</w:t>
            </w:r>
            <w:proofErr w:type="spellEnd"/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1: Apr-Jun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A69FD3" w14:textId="037479F6" w:rsidR="00A27AC9" w:rsidRPr="00F65C83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>Qtr2: Jul-Sep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4E3F2A" w14:textId="2677792F" w:rsidR="00A27AC9" w:rsidRPr="00F65C83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>Qtr3: Oct-Dec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5D9FC1C" w14:textId="5070B6FF" w:rsidR="00A27AC9" w:rsidRPr="00F65C83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>Qtr</w:t>
            </w:r>
            <w:proofErr w:type="spellEnd"/>
            <w:r w:rsidRPr="007368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4: Jan-Mar</w:t>
            </w:r>
          </w:p>
        </w:tc>
      </w:tr>
      <w:tr w:rsidR="00A27AC9" w:rsidRPr="00150196" w14:paraId="760DDBA6" w14:textId="77777777" w:rsidTr="00C2447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9BB9F" w14:textId="178B5762" w:rsidR="00A27AC9" w:rsidRPr="00D46045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76D6539" w14:textId="01FF0BA4" w:rsidR="00A27AC9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6E4">
              <w:rPr>
                <w:rFonts w:ascii="Arial" w:hAnsi="Arial" w:cs="Arial"/>
                <w:b/>
                <w:bCs/>
                <w:sz w:val="20"/>
                <w:szCs w:val="20"/>
              </w:rPr>
              <w:t>Operations</w:t>
            </w:r>
          </w:p>
          <w:p w14:paraId="1CBBBEC3" w14:textId="030B37A9" w:rsidR="00547966" w:rsidRPr="008876E4" w:rsidRDefault="00547966" w:rsidP="00547966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Ongoing</w:t>
            </w:r>
            <w:r w:rsidRPr="000977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work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programme</w:t>
            </w:r>
          </w:p>
          <w:p w14:paraId="2CB129BD" w14:textId="4DE6EB54" w:rsidR="00A27AC9" w:rsidRPr="00A77959" w:rsidRDefault="00A27AC9" w:rsidP="00A27A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9AA085" w14:textId="77777777" w:rsidR="00A27AC9" w:rsidRPr="00F65C83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239AF4A7" w14:textId="1E591C2D" w:rsidR="00A27AC9" w:rsidRPr="008876E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Appointment and onboarding of CEO</w:t>
            </w:r>
          </w:p>
          <w:p w14:paraId="6D5B27E5" w14:textId="77777777" w:rsidR="00A27AC9" w:rsidRPr="008876E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 xml:space="preserve">Programme Management/M&amp;E of grant programmes </w:t>
            </w:r>
            <w:proofErr w:type="spellStart"/>
            <w:r w:rsidRPr="008876E4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8876E4">
              <w:rPr>
                <w:rFonts w:ascii="Arial" w:hAnsi="Arial" w:cs="Arial"/>
                <w:sz w:val="20"/>
                <w:szCs w:val="20"/>
              </w:rPr>
              <w:t xml:space="preserve"> LGF / GBF / GPF / EZ’s / ESIF / City Deal</w:t>
            </w:r>
          </w:p>
          <w:p w14:paraId="0AA87EF7" w14:textId="09CE7166" w:rsidR="00A27AC9" w:rsidRPr="008876E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13229B" w14:textId="77777777" w:rsidR="00A27AC9" w:rsidRPr="00F65C83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249BF509" w14:textId="77777777" w:rsidR="00A27AC9" w:rsidRPr="008876E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 xml:space="preserve">Programme Management/M&amp;E of grant programmes </w:t>
            </w:r>
            <w:proofErr w:type="spellStart"/>
            <w:r w:rsidRPr="008876E4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8876E4">
              <w:rPr>
                <w:rFonts w:ascii="Arial" w:hAnsi="Arial" w:cs="Arial"/>
                <w:sz w:val="20"/>
                <w:szCs w:val="20"/>
              </w:rPr>
              <w:t xml:space="preserve"> LGF / GBF / GPF / EZ’s / ESIF / City Deal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8D563D" w14:textId="77777777" w:rsidR="00A27AC9" w:rsidRPr="00F65C83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5E91A00D" w14:textId="737EDC0B" w:rsidR="00A27AC9" w:rsidRPr="008876E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 xml:space="preserve">Programme Management/M&amp;E of grant programmes </w:t>
            </w:r>
            <w:proofErr w:type="spellStart"/>
            <w:r w:rsidRPr="008876E4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8876E4">
              <w:rPr>
                <w:rFonts w:ascii="Arial" w:hAnsi="Arial" w:cs="Arial"/>
                <w:sz w:val="20"/>
                <w:szCs w:val="20"/>
              </w:rPr>
              <w:t xml:space="preserve"> LGF / GBF / GPF / EZ’s / ESIF / City Deal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B1E790" w14:textId="77777777" w:rsidR="00A27AC9" w:rsidRPr="00F65C83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AB9696A" w14:textId="6E4F6210" w:rsidR="00A27AC9" w:rsidRPr="008876E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 xml:space="preserve">Programme Management/M&amp;E of grant programmes </w:t>
            </w:r>
            <w:proofErr w:type="spellStart"/>
            <w:r w:rsidRPr="008876E4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8876E4">
              <w:rPr>
                <w:rFonts w:ascii="Arial" w:hAnsi="Arial" w:cs="Arial"/>
                <w:sz w:val="20"/>
                <w:szCs w:val="20"/>
              </w:rPr>
              <w:t xml:space="preserve"> LGF / GBF / GPF / EZ’s / ESIF / City Deal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2B12" w:rsidRPr="00150196" w14:paraId="283743CD" w14:textId="77777777" w:rsidTr="00C2447F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738DB08" w14:textId="77777777" w:rsidR="008154B0" w:rsidRDefault="008154B0" w:rsidP="008154B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6E4">
              <w:rPr>
                <w:rFonts w:ascii="Arial" w:hAnsi="Arial" w:cs="Arial"/>
                <w:b/>
                <w:bCs/>
                <w:sz w:val="20"/>
                <w:szCs w:val="20"/>
              </w:rPr>
              <w:t>Operations</w:t>
            </w:r>
          </w:p>
          <w:p w14:paraId="6B378FC1" w14:textId="1A9EEFA3" w:rsidR="008154B0" w:rsidRPr="008876E4" w:rsidRDefault="008154B0" w:rsidP="008154B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New developments</w:t>
            </w:r>
          </w:p>
          <w:p w14:paraId="61AC8381" w14:textId="12FC98E8" w:rsidR="00512B12" w:rsidRPr="00D46045" w:rsidRDefault="00512B12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323DD1EB" w14:textId="4FE0FE5E" w:rsidR="00512B12" w:rsidRPr="00F65C83" w:rsidRDefault="008154B0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Review of existing human and financial resources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29CB6D9" w14:textId="77777777" w:rsidR="008154B0" w:rsidRPr="008876E4" w:rsidRDefault="008154B0" w:rsidP="008154B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Insight Commission to develop local SITREP, increase ‘voice of business’ and provide granular-level insights locally and nationally</w:t>
            </w:r>
          </w:p>
          <w:p w14:paraId="08AAE6FC" w14:textId="77777777" w:rsidR="00512B12" w:rsidRPr="00F65C83" w:rsidRDefault="00512B12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0CD497F" w14:textId="77777777" w:rsidR="008154B0" w:rsidRPr="008876E4" w:rsidRDefault="008154B0" w:rsidP="008154B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Recruitment of Growth Hub lead</w:t>
            </w:r>
          </w:p>
          <w:p w14:paraId="5E893F43" w14:textId="77777777" w:rsidR="008154B0" w:rsidRPr="008876E4" w:rsidRDefault="008154B0" w:rsidP="008154B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 xml:space="preserve">SITREP modelling/testing </w:t>
            </w:r>
            <w:proofErr w:type="spellStart"/>
            <w:r w:rsidRPr="008876E4">
              <w:rPr>
                <w:rFonts w:ascii="Arial" w:eastAsia="Times New Roman" w:hAnsi="Arial" w:cs="Arial"/>
                <w:sz w:val="20"/>
                <w:szCs w:val="20"/>
              </w:rPr>
              <w:t>Incl.new</w:t>
            </w:r>
            <w:proofErr w:type="spellEnd"/>
            <w:r w:rsidRPr="008876E4">
              <w:rPr>
                <w:rFonts w:ascii="Arial" w:eastAsia="Times New Roman" w:hAnsi="Arial" w:cs="Arial"/>
                <w:sz w:val="20"/>
                <w:szCs w:val="20"/>
              </w:rPr>
              <w:t xml:space="preserve"> economic briefing notes developed for local leaders </w:t>
            </w:r>
          </w:p>
          <w:p w14:paraId="524CDB09" w14:textId="77777777" w:rsidR="008154B0" w:rsidRPr="008876E4" w:rsidRDefault="008154B0" w:rsidP="008154B0">
            <w:pPr>
              <w:tabs>
                <w:tab w:val="left" w:pos="12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876E4">
              <w:rPr>
                <w:rFonts w:ascii="Arial" w:eastAsia="Times New Roman" w:hAnsi="Arial" w:cs="Arial"/>
                <w:sz w:val="20"/>
                <w:szCs w:val="20"/>
              </w:rPr>
              <w:t>Business Support Review Commission</w:t>
            </w:r>
          </w:p>
          <w:p w14:paraId="1F6C1762" w14:textId="77777777" w:rsidR="00512B12" w:rsidRPr="00F65C83" w:rsidRDefault="00512B12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27061513" w14:textId="77777777" w:rsidR="008154B0" w:rsidRPr="008876E4" w:rsidRDefault="008154B0" w:rsidP="008154B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Appointment and onboarding of Growth Hub Lead</w:t>
            </w:r>
          </w:p>
          <w:p w14:paraId="2F633E50" w14:textId="77777777" w:rsidR="008154B0" w:rsidRPr="008876E4" w:rsidRDefault="008154B0" w:rsidP="008154B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SITREP mainstreamed with review cycle</w:t>
            </w:r>
          </w:p>
          <w:p w14:paraId="0D5A56B0" w14:textId="77777777" w:rsidR="008154B0" w:rsidRPr="008876E4" w:rsidRDefault="008154B0" w:rsidP="008154B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876E4">
              <w:rPr>
                <w:rFonts w:ascii="Arial" w:hAnsi="Arial" w:cs="Arial"/>
                <w:sz w:val="20"/>
                <w:szCs w:val="20"/>
              </w:rPr>
              <w:t>Business Support Review</w:t>
            </w:r>
          </w:p>
          <w:p w14:paraId="10C9C92B" w14:textId="77777777" w:rsidR="00512B12" w:rsidRPr="00F65C83" w:rsidRDefault="00512B12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7AC9" w:rsidRPr="00383347" w14:paraId="06960717" w14:textId="77777777" w:rsidTr="00C2447F">
        <w:tc>
          <w:tcPr>
            <w:tcW w:w="1701" w:type="dxa"/>
            <w:tcBorders>
              <w:bottom w:val="nil"/>
            </w:tcBorders>
            <w:vAlign w:val="center"/>
          </w:tcPr>
          <w:p w14:paraId="633E6CC6" w14:textId="68B27A04" w:rsidR="00A27AC9" w:rsidRPr="00383347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3686" w:type="dxa"/>
            <w:tcBorders>
              <w:bottom w:val="nil"/>
            </w:tcBorders>
          </w:tcPr>
          <w:p w14:paraId="62B14ADA" w14:textId="1DADEDA4" w:rsidR="00A27AC9" w:rsidRPr="00383347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6B6ED13" w14:textId="1918F7E2" w:rsidR="00A27AC9" w:rsidRPr="00383347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F82DBD9" w14:textId="77777777" w:rsidR="00A27AC9" w:rsidRPr="00383347" w:rsidRDefault="00A27AC9" w:rsidP="00A27AC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01BE8F8F" w14:textId="72FE9CEE" w:rsidR="00A27AC9" w:rsidRPr="00383347" w:rsidRDefault="00A27AC9" w:rsidP="00A27AC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4F3D8B1" w14:textId="77777777" w:rsidR="00512B12" w:rsidRDefault="00512B12">
      <w:r>
        <w:br w:type="page"/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693"/>
        <w:gridCol w:w="3119"/>
        <w:gridCol w:w="3260"/>
      </w:tblGrid>
      <w:tr w:rsidR="00A27AC9" w:rsidRPr="00383347" w14:paraId="34839485" w14:textId="77777777" w:rsidTr="00C2447F"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BD630D" w14:textId="0E6933C6" w:rsidR="00A27AC9" w:rsidRPr="00383347" w:rsidRDefault="00A27AC9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8334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Theme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DA763" w14:textId="0DE3A175" w:rsidR="00A27AC9" w:rsidRPr="00383347" w:rsidRDefault="00A27AC9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83347">
              <w:rPr>
                <w:rFonts w:ascii="Arial" w:hAnsi="Arial" w:cs="Arial"/>
                <w:b/>
                <w:bCs/>
                <w:sz w:val="21"/>
                <w:szCs w:val="21"/>
              </w:rPr>
              <w:t>Qtr</w:t>
            </w:r>
            <w:proofErr w:type="spellEnd"/>
            <w:r w:rsidRPr="0038334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1: Apr-Jun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5B6D9C" w14:textId="70B5BBAD" w:rsidR="00A27AC9" w:rsidRPr="00383347" w:rsidRDefault="00A27AC9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347">
              <w:rPr>
                <w:rFonts w:ascii="Arial" w:hAnsi="Arial" w:cs="Arial"/>
                <w:b/>
                <w:bCs/>
                <w:sz w:val="21"/>
                <w:szCs w:val="21"/>
              </w:rPr>
              <w:t>Qtr2: Jul-Sep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8E20D" w14:textId="06EDC234" w:rsidR="00A27AC9" w:rsidRPr="00383347" w:rsidRDefault="00A27AC9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3347">
              <w:rPr>
                <w:rFonts w:ascii="Arial" w:hAnsi="Arial" w:cs="Arial"/>
                <w:b/>
                <w:bCs/>
                <w:sz w:val="21"/>
                <w:szCs w:val="21"/>
              </w:rPr>
              <w:t>Qtr3: Oct-Dec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54C12D" w14:textId="6A3FFD29" w:rsidR="00A27AC9" w:rsidRPr="00383347" w:rsidRDefault="00A27AC9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83347">
              <w:rPr>
                <w:rFonts w:ascii="Arial" w:hAnsi="Arial" w:cs="Arial"/>
                <w:b/>
                <w:bCs/>
                <w:sz w:val="21"/>
                <w:szCs w:val="21"/>
              </w:rPr>
              <w:t>Qtr</w:t>
            </w:r>
            <w:proofErr w:type="spellEnd"/>
            <w:r w:rsidRPr="0038334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4: Jan-Mar</w:t>
            </w:r>
          </w:p>
        </w:tc>
      </w:tr>
      <w:tr w:rsidR="00A27AC9" w:rsidRPr="00383347" w14:paraId="22A77897" w14:textId="77777777" w:rsidTr="00C2447F"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7551A8" w14:textId="4ACB64BD" w:rsidR="00A27AC9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78D">
              <w:rPr>
                <w:rFonts w:ascii="Arial" w:hAnsi="Arial" w:cs="Arial"/>
                <w:b/>
                <w:bCs/>
                <w:sz w:val="20"/>
                <w:szCs w:val="20"/>
              </w:rPr>
              <w:t>Stakeholder engagement</w:t>
            </w:r>
          </w:p>
          <w:p w14:paraId="16F3FFB7" w14:textId="5236CECA" w:rsidR="003613AB" w:rsidRPr="008876E4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Ongoing</w:t>
            </w:r>
            <w:r w:rsidRPr="000977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work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programme</w:t>
            </w:r>
          </w:p>
          <w:p w14:paraId="77E4934E" w14:textId="77777777" w:rsidR="003613AB" w:rsidRPr="00AA378D" w:rsidRDefault="003613AB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C216BF" w14:textId="2C78D8E5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6440842F" w14:textId="77777777" w:rsidR="00A27AC9" w:rsidRPr="0057342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196F56A5" w14:textId="7DE56429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New CEO Intro meetings and PR</w:t>
            </w:r>
          </w:p>
          <w:p w14:paraId="05155620" w14:textId="147E29D6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Video case studies</w:t>
            </w:r>
          </w:p>
          <w:p w14:paraId="7F011D7D" w14:textId="15EA04B9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Thought leadership: Local Gov/MJ articles</w:t>
            </w:r>
          </w:p>
          <w:p w14:paraId="1B94FEE7" w14:textId="5F5BC856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Monthly 121 with all LA Leaders/CEOS</w:t>
            </w:r>
          </w:p>
          <w:p w14:paraId="632A2018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78D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AA378D">
              <w:rPr>
                <w:rFonts w:ascii="Arial" w:hAnsi="Arial" w:cs="Arial"/>
                <w:sz w:val="20"/>
                <w:szCs w:val="20"/>
              </w:rPr>
              <w:t xml:space="preserve"> response task force</w:t>
            </w:r>
          </w:p>
          <w:p w14:paraId="385F8C7B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Network of Networks event</w:t>
            </w:r>
          </w:p>
          <w:p w14:paraId="32FA96FF" w14:textId="7EAEE8F5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Strategic engagement with local initiatives and working groups to accelerate growth</w:t>
            </w:r>
          </w:p>
          <w:p w14:paraId="67EF5150" w14:textId="74D86CBF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Championing the interests of SOT/Staffs through strategic engagement with Midlands Engine/LEP Network/Peers/ Government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D3A2E31" w14:textId="77777777" w:rsidR="00A27AC9" w:rsidRPr="0057342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DC48672" w14:textId="1A1BF2B1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Annual report 20/21 video/press promo highlighting impact of investment</w:t>
            </w:r>
          </w:p>
          <w:p w14:paraId="79A38856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Monthly 121 with all LA Leaders/CEOS</w:t>
            </w:r>
          </w:p>
          <w:p w14:paraId="11B2533D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78D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AA378D">
              <w:rPr>
                <w:rFonts w:ascii="Arial" w:hAnsi="Arial" w:cs="Arial"/>
                <w:sz w:val="20"/>
                <w:szCs w:val="20"/>
              </w:rPr>
              <w:t xml:space="preserve"> response task force</w:t>
            </w:r>
          </w:p>
          <w:p w14:paraId="3E3B6762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Network of Networks event</w:t>
            </w:r>
          </w:p>
          <w:p w14:paraId="7FA4DAD1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Strategic engagement with local initiatives and working groups to accelerate growth</w:t>
            </w:r>
          </w:p>
          <w:p w14:paraId="630F562F" w14:textId="726B8B52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Championing the interests of SOT/Staffs through strategic engagement with Midlands Engine/LEP Network/Peers/ Government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9990DEC" w14:textId="77777777" w:rsidR="00A27AC9" w:rsidRPr="0057342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5D6C3CE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Monthly 121 with all LA Leaders/CEOS</w:t>
            </w:r>
          </w:p>
          <w:p w14:paraId="5B229ED9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78D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AA378D">
              <w:rPr>
                <w:rFonts w:ascii="Arial" w:hAnsi="Arial" w:cs="Arial"/>
                <w:sz w:val="20"/>
                <w:szCs w:val="20"/>
              </w:rPr>
              <w:t xml:space="preserve"> response task force</w:t>
            </w:r>
          </w:p>
          <w:p w14:paraId="1E86C03C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Network of Networks event</w:t>
            </w:r>
          </w:p>
          <w:p w14:paraId="20D53D3C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Strategic engagement with local initiatives and working groups to accelerate growth</w:t>
            </w:r>
          </w:p>
          <w:p w14:paraId="5E6A2708" w14:textId="2F9AF579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Championing the interests of SOT/Staffs through strategic engagement with Midlands Engine/LEP Network/Peers/ Government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F2F2F2" w:themeFill="background1" w:themeFillShade="F2"/>
          </w:tcPr>
          <w:p w14:paraId="1EE58575" w14:textId="77777777" w:rsidR="00A27AC9" w:rsidRPr="00573424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6AD2FFB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Monthly 121 with all LA Leaders/CEOS</w:t>
            </w:r>
          </w:p>
          <w:p w14:paraId="7D16958F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78D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AA378D">
              <w:rPr>
                <w:rFonts w:ascii="Arial" w:hAnsi="Arial" w:cs="Arial"/>
                <w:sz w:val="20"/>
                <w:szCs w:val="20"/>
              </w:rPr>
              <w:t xml:space="preserve"> response task force</w:t>
            </w:r>
          </w:p>
          <w:p w14:paraId="33F4DDFF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Network of Networks event</w:t>
            </w:r>
          </w:p>
          <w:p w14:paraId="1FA1C226" w14:textId="77777777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Strategic engagement with local initiatives and working groups to accelerate growth</w:t>
            </w:r>
          </w:p>
          <w:p w14:paraId="29685592" w14:textId="1BA1E893" w:rsidR="00A27AC9" w:rsidRPr="00AA378D" w:rsidRDefault="00A27AC9" w:rsidP="00A27AC9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Championing the interests of SOT/Staffs through strategic engagement with Midlands Engine/LEP Network/Peers/ Government</w:t>
            </w:r>
          </w:p>
        </w:tc>
      </w:tr>
      <w:tr w:rsidR="00420E7C" w:rsidRPr="00383347" w14:paraId="1F6788F9" w14:textId="77777777" w:rsidTr="008876E4"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004D2E3" w14:textId="77777777" w:rsidR="003613AB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78D">
              <w:rPr>
                <w:rFonts w:ascii="Arial" w:hAnsi="Arial" w:cs="Arial"/>
                <w:b/>
                <w:bCs/>
                <w:sz w:val="20"/>
                <w:szCs w:val="20"/>
              </w:rPr>
              <w:t>Stakeholder engagement</w:t>
            </w:r>
          </w:p>
          <w:p w14:paraId="133210CA" w14:textId="12A901DA" w:rsidR="00420E7C" w:rsidRPr="00AA378D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New developments</w:t>
            </w:r>
            <w:r w:rsidRPr="00AA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bottom w:val="nil"/>
            </w:tcBorders>
          </w:tcPr>
          <w:p w14:paraId="02BAE14A" w14:textId="77777777" w:rsidR="00420E7C" w:rsidRPr="00573424" w:rsidRDefault="00420E7C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7086CAD" w14:textId="77777777" w:rsidR="00420E7C" w:rsidRPr="00AA378D" w:rsidRDefault="00420E7C" w:rsidP="00420E7C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Economic Insight forum launch to share existing insights and support the development of new SITREP</w:t>
            </w:r>
          </w:p>
          <w:p w14:paraId="5661876F" w14:textId="77777777" w:rsidR="00420E7C" w:rsidRPr="00573424" w:rsidRDefault="00420E7C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51CF636" w14:textId="77777777" w:rsidR="003613AB" w:rsidRPr="00AA378D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Business engagement: test-bed survey launch</w:t>
            </w:r>
          </w:p>
          <w:p w14:paraId="131E2B58" w14:textId="77777777" w:rsidR="003613AB" w:rsidRPr="00AA378D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Thought leadership: series of round table events - economic changes/recovery/</w:t>
            </w:r>
            <w:r>
              <w:rPr>
                <w:rFonts w:ascii="Arial" w:hAnsi="Arial" w:cs="Arial"/>
                <w:sz w:val="20"/>
                <w:szCs w:val="20"/>
              </w:rPr>
              <w:t>net zero etc</w:t>
            </w:r>
            <w:r w:rsidRPr="00AA3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718B84" w14:textId="77777777" w:rsidR="003613AB" w:rsidRPr="00AA378D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Strategy refresh consultation</w:t>
            </w:r>
          </w:p>
          <w:p w14:paraId="769585F7" w14:textId="77777777" w:rsidR="00420E7C" w:rsidRPr="00573424" w:rsidRDefault="00420E7C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9FD9F54" w14:textId="77777777" w:rsidR="003613AB" w:rsidRPr="00AA378D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SSLEP Strategy Launch event</w:t>
            </w:r>
          </w:p>
          <w:p w14:paraId="61D600A0" w14:textId="77777777" w:rsidR="003613AB" w:rsidRPr="00AA378D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SITREP disseminated locally</w:t>
            </w:r>
          </w:p>
          <w:p w14:paraId="69E2F348" w14:textId="77777777" w:rsidR="003613AB" w:rsidRPr="00AA378D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>Business engagement: ongoing surveys</w:t>
            </w:r>
          </w:p>
          <w:p w14:paraId="429C0658" w14:textId="77777777" w:rsidR="003613AB" w:rsidRPr="00AA378D" w:rsidRDefault="003613AB" w:rsidP="003613AB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A378D">
              <w:rPr>
                <w:rFonts w:ascii="Arial" w:hAnsi="Arial" w:cs="Arial"/>
                <w:sz w:val="20"/>
                <w:szCs w:val="20"/>
              </w:rPr>
              <w:t xml:space="preserve">Thought leadership: series of round table events - economic changes/recovery/renaissance </w:t>
            </w:r>
          </w:p>
          <w:p w14:paraId="61414100" w14:textId="77777777" w:rsidR="00420E7C" w:rsidRPr="00573424" w:rsidRDefault="00420E7C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A0CB2E0" w14:textId="77777777" w:rsidR="00E159E7" w:rsidRPr="00BC14DF" w:rsidRDefault="00E159E7" w:rsidP="00BC14DF">
      <w:pPr>
        <w:tabs>
          <w:tab w:val="left" w:pos="1260"/>
        </w:tabs>
      </w:pPr>
    </w:p>
    <w:sectPr w:rsidR="00E159E7" w:rsidRPr="00BC14DF" w:rsidSect="008876E4">
      <w:headerReference w:type="default" r:id="rId10"/>
      <w:footerReference w:type="default" r:id="rId11"/>
      <w:pgSz w:w="16838" w:h="11906" w:orient="landscape"/>
      <w:pgMar w:top="964" w:right="1077" w:bottom="397" w:left="136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753B" w14:textId="77777777" w:rsidR="00EE6083" w:rsidRDefault="00EE6083" w:rsidP="00FF65E3">
      <w:pPr>
        <w:spacing w:after="0" w:line="240" w:lineRule="auto"/>
      </w:pPr>
      <w:r>
        <w:separator/>
      </w:r>
    </w:p>
  </w:endnote>
  <w:endnote w:type="continuationSeparator" w:id="0">
    <w:p w14:paraId="4ED89518" w14:textId="77777777" w:rsidR="00EE6083" w:rsidRDefault="00EE6083" w:rsidP="00F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E9C9" w14:textId="3FD8514E" w:rsidR="00F43FEB" w:rsidRPr="0009767C" w:rsidRDefault="00383347" w:rsidP="00383347">
    <w:pPr>
      <w:pStyle w:val="Footer"/>
      <w:tabs>
        <w:tab w:val="left" w:pos="8460"/>
        <w:tab w:val="right" w:pos="144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9767C">
      <w:rPr>
        <w:rFonts w:ascii="Arial" w:hAnsi="Arial" w:cs="Arial"/>
      </w:rPr>
      <w:t>v.</w:t>
    </w:r>
    <w:r w:rsidR="00864324">
      <w:rPr>
        <w:rFonts w:ascii="Arial" w:hAnsi="Arial" w:cs="Arial"/>
      </w:rPr>
      <w:t>4</w:t>
    </w:r>
    <w:r w:rsidR="0009767C" w:rsidRPr="0009767C">
      <w:rPr>
        <w:rFonts w:ascii="Arial" w:hAnsi="Arial" w:cs="Arial"/>
      </w:rPr>
      <w:t xml:space="preserve"> </w:t>
    </w:r>
    <w:r w:rsidR="00C00FDB">
      <w:rPr>
        <w:rFonts w:ascii="Arial" w:hAnsi="Arial" w:cs="Arial"/>
      </w:rPr>
      <w:t>Sept</w:t>
    </w:r>
    <w:r w:rsidR="0009767C" w:rsidRPr="0009767C">
      <w:rPr>
        <w:rFonts w:ascii="Arial" w:hAnsi="Arial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5383" w14:textId="77777777" w:rsidR="00EE6083" w:rsidRDefault="00EE6083" w:rsidP="00FF65E3">
      <w:pPr>
        <w:spacing w:after="0" w:line="240" w:lineRule="auto"/>
      </w:pPr>
      <w:r>
        <w:separator/>
      </w:r>
    </w:p>
  </w:footnote>
  <w:footnote w:type="continuationSeparator" w:id="0">
    <w:p w14:paraId="090A237F" w14:textId="77777777" w:rsidR="00EE6083" w:rsidRDefault="00EE6083" w:rsidP="00FF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EB56" w14:textId="431B9B08" w:rsidR="00FF65E3" w:rsidRDefault="001F0CE7" w:rsidP="001F0CE7">
    <w:pPr>
      <w:pStyle w:val="Header"/>
      <w:tabs>
        <w:tab w:val="left" w:pos="3722"/>
        <w:tab w:val="right" w:pos="14456"/>
      </w:tabs>
    </w:pPr>
    <w:r>
      <w:tab/>
    </w:r>
    <w:r>
      <w:tab/>
    </w:r>
    <w:r>
      <w:tab/>
    </w:r>
    <w:r>
      <w:tab/>
    </w:r>
    <w:r w:rsidR="000F10E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EB843" wp14:editId="3B166C58">
              <wp:simplePos x="0" y="0"/>
              <wp:positionH relativeFrom="column">
                <wp:posOffset>-104775</wp:posOffset>
              </wp:positionH>
              <wp:positionV relativeFrom="paragraph">
                <wp:posOffset>236220</wp:posOffset>
              </wp:positionV>
              <wp:extent cx="4610100" cy="4667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CD8C68" w14:textId="77777777" w:rsidR="000F10E7" w:rsidRPr="000F10E7" w:rsidRDefault="000F10E7" w:rsidP="000F10E7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0F10E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SSLEP Delivery Plan 2021/22</w:t>
                          </w:r>
                        </w:p>
                        <w:p w14:paraId="465AA57E" w14:textId="77777777" w:rsidR="000F10E7" w:rsidRDefault="000F10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EB8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25pt;margin-top:18.6pt;width:363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" fillcolor="white [3201]" stroked="f" strokeweight=".5pt">
              <v:textbox>
                <w:txbxContent>
                  <w:p w14:paraId="49CD8C68" w14:textId="77777777" w:rsidR="000F10E7" w:rsidRPr="000F10E7" w:rsidRDefault="000F10E7" w:rsidP="000F10E7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0F10E7">
                      <w:rPr>
                        <w:rFonts w:ascii="Arial" w:hAnsi="Arial" w:cs="Arial"/>
                        <w:sz w:val="40"/>
                        <w:szCs w:val="40"/>
                      </w:rPr>
                      <w:t>SSLEP Delivery Plan 2021/22</w:t>
                    </w:r>
                  </w:p>
                  <w:p w14:paraId="465AA57E" w14:textId="77777777" w:rsidR="000F10E7" w:rsidRDefault="000F10E7"/>
                </w:txbxContent>
              </v:textbox>
            </v:shape>
          </w:pict>
        </mc:Fallback>
      </mc:AlternateContent>
    </w:r>
    <w:r w:rsidR="000F10E7">
      <w:rPr>
        <w:noProof/>
      </w:rPr>
      <w:drawing>
        <wp:inline distT="0" distB="0" distL="0" distR="0" wp14:anchorId="0DC6CDD3" wp14:editId="1ED2DE03">
          <wp:extent cx="1885950" cy="754380"/>
          <wp:effectExtent l="0" t="0" r="0" b="762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441345203"/>
        <w:docPartObj>
          <w:docPartGallery w:val="Watermarks"/>
          <w:docPartUnique/>
        </w:docPartObj>
      </w:sdtPr>
      <w:sdtEndPr/>
      <w:sdtContent>
        <w:r w:rsidR="00EE6083">
          <w:rPr>
            <w:noProof/>
          </w:rPr>
          <w:pict w14:anchorId="429AFA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784"/>
    <w:multiLevelType w:val="hybridMultilevel"/>
    <w:tmpl w:val="CE08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668"/>
    <w:multiLevelType w:val="hybridMultilevel"/>
    <w:tmpl w:val="26CE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ADB"/>
    <w:multiLevelType w:val="hybridMultilevel"/>
    <w:tmpl w:val="1FAA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2C47"/>
    <w:multiLevelType w:val="hybridMultilevel"/>
    <w:tmpl w:val="733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3A6E"/>
    <w:multiLevelType w:val="hybridMultilevel"/>
    <w:tmpl w:val="F3B8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19BF"/>
    <w:multiLevelType w:val="hybridMultilevel"/>
    <w:tmpl w:val="4E0E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952D0"/>
    <w:multiLevelType w:val="hybridMultilevel"/>
    <w:tmpl w:val="7E52A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70FC1"/>
    <w:multiLevelType w:val="hybridMultilevel"/>
    <w:tmpl w:val="3E489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88D"/>
    <w:multiLevelType w:val="hybridMultilevel"/>
    <w:tmpl w:val="3E489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E3"/>
    <w:rsid w:val="000041E4"/>
    <w:rsid w:val="00010F74"/>
    <w:rsid w:val="00012DAA"/>
    <w:rsid w:val="000217FF"/>
    <w:rsid w:val="00043428"/>
    <w:rsid w:val="00063DE3"/>
    <w:rsid w:val="0009767C"/>
    <w:rsid w:val="00097739"/>
    <w:rsid w:val="000A0584"/>
    <w:rsid w:val="000B0BC9"/>
    <w:rsid w:val="000B30BB"/>
    <w:rsid w:val="000D74C9"/>
    <w:rsid w:val="000E5F13"/>
    <w:rsid w:val="000F10E7"/>
    <w:rsid w:val="00147D8F"/>
    <w:rsid w:val="00150196"/>
    <w:rsid w:val="00154A64"/>
    <w:rsid w:val="00177166"/>
    <w:rsid w:val="001A0A73"/>
    <w:rsid w:val="001A6D9E"/>
    <w:rsid w:val="001B3B04"/>
    <w:rsid w:val="001D6614"/>
    <w:rsid w:val="001E0FBB"/>
    <w:rsid w:val="001E179B"/>
    <w:rsid w:val="001F0CE7"/>
    <w:rsid w:val="001F26E6"/>
    <w:rsid w:val="00211F56"/>
    <w:rsid w:val="00215973"/>
    <w:rsid w:val="00251B60"/>
    <w:rsid w:val="002530FE"/>
    <w:rsid w:val="00256401"/>
    <w:rsid w:val="00262E69"/>
    <w:rsid w:val="002649F8"/>
    <w:rsid w:val="0028751B"/>
    <w:rsid w:val="00295C50"/>
    <w:rsid w:val="002B0D31"/>
    <w:rsid w:val="002F02BE"/>
    <w:rsid w:val="002F4366"/>
    <w:rsid w:val="003012E5"/>
    <w:rsid w:val="00313A6A"/>
    <w:rsid w:val="00320117"/>
    <w:rsid w:val="0032415C"/>
    <w:rsid w:val="00332C87"/>
    <w:rsid w:val="0033341F"/>
    <w:rsid w:val="003571CF"/>
    <w:rsid w:val="003613AB"/>
    <w:rsid w:val="003832CB"/>
    <w:rsid w:val="00383347"/>
    <w:rsid w:val="003919AE"/>
    <w:rsid w:val="0039499B"/>
    <w:rsid w:val="003B63FE"/>
    <w:rsid w:val="003B724A"/>
    <w:rsid w:val="003C0216"/>
    <w:rsid w:val="003C3302"/>
    <w:rsid w:val="003E44BE"/>
    <w:rsid w:val="004116E5"/>
    <w:rsid w:val="004137A5"/>
    <w:rsid w:val="00420E7C"/>
    <w:rsid w:val="004305F2"/>
    <w:rsid w:val="004365BE"/>
    <w:rsid w:val="00450624"/>
    <w:rsid w:val="0045143C"/>
    <w:rsid w:val="00452DE3"/>
    <w:rsid w:val="00484871"/>
    <w:rsid w:val="004A4C10"/>
    <w:rsid w:val="004D0EFA"/>
    <w:rsid w:val="004E38DC"/>
    <w:rsid w:val="004E62E9"/>
    <w:rsid w:val="00506F4E"/>
    <w:rsid w:val="00512434"/>
    <w:rsid w:val="00512B12"/>
    <w:rsid w:val="005270E0"/>
    <w:rsid w:val="00547966"/>
    <w:rsid w:val="00553699"/>
    <w:rsid w:val="00573424"/>
    <w:rsid w:val="00583744"/>
    <w:rsid w:val="00585D72"/>
    <w:rsid w:val="00587136"/>
    <w:rsid w:val="005D7235"/>
    <w:rsid w:val="005E2336"/>
    <w:rsid w:val="005E43C8"/>
    <w:rsid w:val="005F3FCE"/>
    <w:rsid w:val="005F5381"/>
    <w:rsid w:val="00600155"/>
    <w:rsid w:val="006019DD"/>
    <w:rsid w:val="0060340F"/>
    <w:rsid w:val="006159B0"/>
    <w:rsid w:val="0061630E"/>
    <w:rsid w:val="0061772F"/>
    <w:rsid w:val="006209CC"/>
    <w:rsid w:val="0063533B"/>
    <w:rsid w:val="00635AD4"/>
    <w:rsid w:val="00647994"/>
    <w:rsid w:val="0066224E"/>
    <w:rsid w:val="00673023"/>
    <w:rsid w:val="00695D26"/>
    <w:rsid w:val="006973D5"/>
    <w:rsid w:val="006A64E6"/>
    <w:rsid w:val="006B0C5C"/>
    <w:rsid w:val="006C09E5"/>
    <w:rsid w:val="006E339F"/>
    <w:rsid w:val="006F7CA3"/>
    <w:rsid w:val="00714FC5"/>
    <w:rsid w:val="007368F0"/>
    <w:rsid w:val="0074564B"/>
    <w:rsid w:val="00765AF9"/>
    <w:rsid w:val="00765BFF"/>
    <w:rsid w:val="00771F96"/>
    <w:rsid w:val="00772082"/>
    <w:rsid w:val="00775CB1"/>
    <w:rsid w:val="007807C5"/>
    <w:rsid w:val="0078141F"/>
    <w:rsid w:val="0078155E"/>
    <w:rsid w:val="007B7C80"/>
    <w:rsid w:val="007F5B0F"/>
    <w:rsid w:val="008067AF"/>
    <w:rsid w:val="008154B0"/>
    <w:rsid w:val="00817D30"/>
    <w:rsid w:val="00822603"/>
    <w:rsid w:val="00825665"/>
    <w:rsid w:val="008375CE"/>
    <w:rsid w:val="00841CE2"/>
    <w:rsid w:val="008609D2"/>
    <w:rsid w:val="0086332E"/>
    <w:rsid w:val="00864324"/>
    <w:rsid w:val="008876E4"/>
    <w:rsid w:val="008D4140"/>
    <w:rsid w:val="008D6776"/>
    <w:rsid w:val="008E6FD7"/>
    <w:rsid w:val="00907126"/>
    <w:rsid w:val="0091178A"/>
    <w:rsid w:val="009118F9"/>
    <w:rsid w:val="00940746"/>
    <w:rsid w:val="00944A6B"/>
    <w:rsid w:val="00952FB0"/>
    <w:rsid w:val="009538E6"/>
    <w:rsid w:val="00984489"/>
    <w:rsid w:val="00990A3B"/>
    <w:rsid w:val="009A0CCD"/>
    <w:rsid w:val="009A46FC"/>
    <w:rsid w:val="009B75C7"/>
    <w:rsid w:val="009C7A68"/>
    <w:rsid w:val="009D48FC"/>
    <w:rsid w:val="009D50CC"/>
    <w:rsid w:val="009E156C"/>
    <w:rsid w:val="009E6AA9"/>
    <w:rsid w:val="00A00BC8"/>
    <w:rsid w:val="00A05B6D"/>
    <w:rsid w:val="00A1129C"/>
    <w:rsid w:val="00A203DE"/>
    <w:rsid w:val="00A22160"/>
    <w:rsid w:val="00A26E4D"/>
    <w:rsid w:val="00A27AC9"/>
    <w:rsid w:val="00A355B7"/>
    <w:rsid w:val="00A40CC9"/>
    <w:rsid w:val="00A531CF"/>
    <w:rsid w:val="00A775EA"/>
    <w:rsid w:val="00A77959"/>
    <w:rsid w:val="00AA378D"/>
    <w:rsid w:val="00AA4122"/>
    <w:rsid w:val="00AB6F5D"/>
    <w:rsid w:val="00AE27DB"/>
    <w:rsid w:val="00AF30CC"/>
    <w:rsid w:val="00B16E26"/>
    <w:rsid w:val="00B229EF"/>
    <w:rsid w:val="00B35580"/>
    <w:rsid w:val="00B40A68"/>
    <w:rsid w:val="00B520AE"/>
    <w:rsid w:val="00B53F89"/>
    <w:rsid w:val="00B60847"/>
    <w:rsid w:val="00B7671A"/>
    <w:rsid w:val="00B85EAB"/>
    <w:rsid w:val="00B95C98"/>
    <w:rsid w:val="00BA1759"/>
    <w:rsid w:val="00BA4B72"/>
    <w:rsid w:val="00BA5A51"/>
    <w:rsid w:val="00BB1CCA"/>
    <w:rsid w:val="00BC14DF"/>
    <w:rsid w:val="00BC6275"/>
    <w:rsid w:val="00BD10B1"/>
    <w:rsid w:val="00BE615B"/>
    <w:rsid w:val="00BF486F"/>
    <w:rsid w:val="00C00902"/>
    <w:rsid w:val="00C00FDB"/>
    <w:rsid w:val="00C02F12"/>
    <w:rsid w:val="00C20E52"/>
    <w:rsid w:val="00C2447F"/>
    <w:rsid w:val="00C35408"/>
    <w:rsid w:val="00C428AE"/>
    <w:rsid w:val="00C67E82"/>
    <w:rsid w:val="00C704EE"/>
    <w:rsid w:val="00C71057"/>
    <w:rsid w:val="00C9745A"/>
    <w:rsid w:val="00CD0525"/>
    <w:rsid w:val="00CE216A"/>
    <w:rsid w:val="00CF68B1"/>
    <w:rsid w:val="00CF7234"/>
    <w:rsid w:val="00D01D1C"/>
    <w:rsid w:val="00D175F1"/>
    <w:rsid w:val="00D37270"/>
    <w:rsid w:val="00D46045"/>
    <w:rsid w:val="00D5023E"/>
    <w:rsid w:val="00D65367"/>
    <w:rsid w:val="00D7451D"/>
    <w:rsid w:val="00D7530B"/>
    <w:rsid w:val="00DA0833"/>
    <w:rsid w:val="00DA21BC"/>
    <w:rsid w:val="00DC31E1"/>
    <w:rsid w:val="00DE35EB"/>
    <w:rsid w:val="00DF289E"/>
    <w:rsid w:val="00DF6014"/>
    <w:rsid w:val="00E11F0E"/>
    <w:rsid w:val="00E159E7"/>
    <w:rsid w:val="00E31608"/>
    <w:rsid w:val="00E57BA1"/>
    <w:rsid w:val="00E63B50"/>
    <w:rsid w:val="00E74EFA"/>
    <w:rsid w:val="00E81CBA"/>
    <w:rsid w:val="00E869AF"/>
    <w:rsid w:val="00E911FC"/>
    <w:rsid w:val="00E964CA"/>
    <w:rsid w:val="00E97135"/>
    <w:rsid w:val="00E9775F"/>
    <w:rsid w:val="00EC5454"/>
    <w:rsid w:val="00ED2590"/>
    <w:rsid w:val="00EE6083"/>
    <w:rsid w:val="00F02FEC"/>
    <w:rsid w:val="00F151CB"/>
    <w:rsid w:val="00F20750"/>
    <w:rsid w:val="00F23BA0"/>
    <w:rsid w:val="00F43FEB"/>
    <w:rsid w:val="00F555BD"/>
    <w:rsid w:val="00F62A26"/>
    <w:rsid w:val="00F65C83"/>
    <w:rsid w:val="00F72367"/>
    <w:rsid w:val="00F816BE"/>
    <w:rsid w:val="00F87D60"/>
    <w:rsid w:val="00F95DF9"/>
    <w:rsid w:val="00FA4481"/>
    <w:rsid w:val="00FC12A6"/>
    <w:rsid w:val="00FD5E7D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9F1ED2"/>
  <w15:chartTrackingRefBased/>
  <w15:docId w15:val="{871B9692-524A-4E4E-A796-52DFEF7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5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5E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C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A0"/>
    <w:pPr>
      <w:spacing w:after="0" w:line="240" w:lineRule="auto"/>
      <w:ind w:left="720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EC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3A20CB54574192834CA2AD2EF0EF" ma:contentTypeVersion="9" ma:contentTypeDescription="Create a new document." ma:contentTypeScope="" ma:versionID="c2e26aeec47569c3b61882f9a8f81514">
  <xsd:schema xmlns:xsd="http://www.w3.org/2001/XMLSchema" xmlns:xs="http://www.w3.org/2001/XMLSchema" xmlns:p="http://schemas.microsoft.com/office/2006/metadata/properties" xmlns:ns3="4cf64d44-ed6d-4582-b9a5-e0a92e6d0e4a" targetNamespace="http://schemas.microsoft.com/office/2006/metadata/properties" ma:root="true" ma:fieldsID="f774898265acb91a26d7647b7db43be4" ns3:_="">
    <xsd:import namespace="4cf64d44-ed6d-4582-b9a5-e0a92e6d0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d44-ed6d-4582-b9a5-e0a92e6d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DAC32-4268-442F-A9D9-29FBEB673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4d44-ed6d-4582-b9a5-e0a92e6d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5B575-A315-4F38-87EA-24288B07F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ABF7D-66B7-4489-A761-AC7629473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Boyd, Anne (EnterpriseStokeStaffs)</cp:lastModifiedBy>
  <cp:revision>83</cp:revision>
  <dcterms:created xsi:type="dcterms:W3CDTF">2021-09-02T08:56:00Z</dcterms:created>
  <dcterms:modified xsi:type="dcterms:W3CDTF">2021-09-02T11:47:00Z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0x010100C5AD3A20CB54574192834CA2AD2EF0EF</vt:lpwstr>
  </property>
</Properties>
</file>