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2AC7" w14:textId="190F3753" w:rsidR="0B8D88C2" w:rsidRDefault="0B8D88C2" w:rsidP="40B02FB1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0B02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SKILLS ADVISORY PANELS</w:t>
      </w:r>
      <w:r w:rsidR="00C400F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40B02FB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Use of Funds Statement</w:t>
      </w:r>
      <w:r w:rsidR="0089021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FY 20</w:t>
      </w:r>
      <w:r w:rsidR="00F80F9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20-21</w:t>
      </w:r>
    </w:p>
    <w:p w14:paraId="30C4138A" w14:textId="0F68D4A4" w:rsidR="0B8D88C2" w:rsidRDefault="0B8D88C2"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The Memorandum of Understanding that accompanied the £75k </w:t>
      </w:r>
      <w:r w:rsidR="3252008F" w:rsidRPr="21EDFEA8">
        <w:rPr>
          <w:rFonts w:ascii="Arial" w:eastAsia="Arial" w:hAnsi="Arial" w:cs="Arial"/>
          <w:color w:val="000000" w:themeColor="text1"/>
          <w:sz w:val="24"/>
          <w:szCs w:val="24"/>
        </w:rPr>
        <w:t>grant</w:t>
      </w:r>
      <w:r w:rsidR="04DF1DF9"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paid to you in </w:t>
      </w:r>
      <w:r w:rsidR="00367258">
        <w:rPr>
          <w:rFonts w:ascii="Arial" w:eastAsia="Arial" w:hAnsi="Arial" w:cs="Arial"/>
          <w:color w:val="000000" w:themeColor="text1"/>
          <w:sz w:val="24"/>
          <w:szCs w:val="24"/>
        </w:rPr>
        <w:t>FY 2020-21</w:t>
      </w:r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 set out that you shall provide </w:t>
      </w:r>
      <w:r w:rsidR="444428BB"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use of funds statement, confirming the grant received and spent was used wholly for the purposes for which it was given, signed </w:t>
      </w:r>
      <w:r w:rsidR="4665CFDA"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off </w:t>
      </w:r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>by your Accounting Officer</w:t>
      </w:r>
      <w:r w:rsidR="2A1B9803" w:rsidRPr="21EDFEA8">
        <w:rPr>
          <w:rFonts w:ascii="Arial" w:eastAsia="Arial" w:hAnsi="Arial" w:cs="Arial"/>
          <w:color w:val="000000" w:themeColor="text1"/>
          <w:sz w:val="24"/>
          <w:szCs w:val="24"/>
        </w:rPr>
        <w:t xml:space="preserve"> (please return the audit chain alongside this statement)</w:t>
      </w:r>
      <w:r w:rsidRPr="21EDFEA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533"/>
      </w:tblGrid>
      <w:tr w:rsidR="69B740AA" w14:paraId="52B7FF0A" w14:textId="77777777" w:rsidTr="17C9F4AB">
        <w:trPr>
          <w:trHeight w:val="300"/>
        </w:trPr>
        <w:tc>
          <w:tcPr>
            <w:tcW w:w="10855" w:type="dxa"/>
            <w:shd w:val="clear" w:color="auto" w:fill="FFFFFF" w:themeFill="background1"/>
          </w:tcPr>
          <w:p w14:paraId="6A9C6682" w14:textId="39B24A5D" w:rsidR="69B740AA" w:rsidRDefault="69B740AA" w:rsidP="69B740A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B740A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LEP/MCA Name:</w:t>
            </w:r>
            <w:r w:rsidR="0064137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Stoke-on-Trent &amp; Staffordshire LEP</w:t>
            </w:r>
          </w:p>
        </w:tc>
        <w:tc>
          <w:tcPr>
            <w:tcW w:w="4533" w:type="dxa"/>
          </w:tcPr>
          <w:p w14:paraId="666CA3B4" w14:textId="19978EAE" w:rsidR="69B740AA" w:rsidRDefault="69B740AA" w:rsidP="69B740AA">
            <w:pPr>
              <w:rPr>
                <w:rFonts w:ascii="Arial" w:eastAsia="Arial" w:hAnsi="Arial" w:cs="Arial"/>
                <w:b/>
                <w:bCs/>
              </w:rPr>
            </w:pPr>
            <w:r w:rsidRPr="69B740AA">
              <w:rPr>
                <w:rFonts w:ascii="Arial" w:eastAsia="Arial" w:hAnsi="Arial" w:cs="Arial"/>
                <w:b/>
                <w:bCs/>
              </w:rPr>
              <w:t>Date Completed:</w:t>
            </w:r>
          </w:p>
        </w:tc>
      </w:tr>
      <w:tr w:rsidR="2607C227" w14:paraId="4D470859" w14:textId="77777777" w:rsidTr="17C9F4AB">
        <w:trPr>
          <w:trHeight w:val="300"/>
        </w:trPr>
        <w:tc>
          <w:tcPr>
            <w:tcW w:w="10855" w:type="dxa"/>
            <w:shd w:val="clear" w:color="auto" w:fill="FFFFFF" w:themeFill="background1"/>
          </w:tcPr>
          <w:p w14:paraId="1C5A570A" w14:textId="7E6530D0" w:rsidR="2607C227" w:rsidRDefault="6E014E18" w:rsidP="2607C22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501A1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Accounting Officer sign off:</w:t>
            </w:r>
            <w:r w:rsidR="003C64C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C64C9">
              <w:rPr>
                <w:noProof/>
              </w:rPr>
              <w:drawing>
                <wp:inline distT="0" distB="0" distL="0" distR="0" wp14:anchorId="29C6FBE2" wp14:editId="56B9CAD9">
                  <wp:extent cx="951230" cy="427304"/>
                  <wp:effectExtent l="0" t="0" r="127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58" cy="46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C64C9">
              <w:rPr>
                <w:rFonts w:ascii="Arial" w:eastAsia="MS ??" w:hAnsi="Arial" w:cs="Arial"/>
              </w:rPr>
              <w:t xml:space="preserve"> </w:t>
            </w:r>
            <w:r w:rsidR="003C64C9">
              <w:rPr>
                <w:rFonts w:ascii="Arial" w:eastAsia="MS ??" w:hAnsi="Arial" w:cs="Arial"/>
              </w:rPr>
              <w:t>Assistant County Treasurer (Deputy 151)</w:t>
            </w:r>
          </w:p>
        </w:tc>
        <w:tc>
          <w:tcPr>
            <w:tcW w:w="4533" w:type="dxa"/>
          </w:tcPr>
          <w:p w14:paraId="497D8B55" w14:textId="77777777" w:rsidR="003C64C9" w:rsidRDefault="5A4A8355" w:rsidP="2607C227">
            <w:pPr>
              <w:rPr>
                <w:rFonts w:ascii="Arial" w:eastAsia="Arial" w:hAnsi="Arial" w:cs="Arial"/>
                <w:b/>
                <w:bCs/>
              </w:rPr>
            </w:pPr>
            <w:r w:rsidRPr="17C9F4AB">
              <w:rPr>
                <w:rFonts w:ascii="Arial" w:eastAsia="Arial" w:hAnsi="Arial" w:cs="Arial"/>
                <w:b/>
                <w:bCs/>
              </w:rPr>
              <w:t xml:space="preserve">Date </w:t>
            </w:r>
            <w:r w:rsidR="3EF48C30" w:rsidRPr="17C9F4AB">
              <w:rPr>
                <w:rFonts w:ascii="Arial" w:eastAsia="Arial" w:hAnsi="Arial" w:cs="Arial"/>
                <w:b/>
                <w:bCs/>
              </w:rPr>
              <w:t>C</w:t>
            </w:r>
            <w:r w:rsidRPr="17C9F4AB">
              <w:rPr>
                <w:rFonts w:ascii="Arial" w:eastAsia="Arial" w:hAnsi="Arial" w:cs="Arial"/>
                <w:b/>
                <w:bCs/>
              </w:rPr>
              <w:t>ompleted:</w:t>
            </w:r>
            <w:r w:rsidR="003C64C9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5BE3E79" w14:textId="77777777" w:rsidR="003C64C9" w:rsidRDefault="003C64C9" w:rsidP="2607C227">
            <w:pPr>
              <w:rPr>
                <w:rFonts w:ascii="Arial" w:eastAsia="Arial" w:hAnsi="Arial" w:cs="Arial"/>
                <w:b/>
                <w:bCs/>
              </w:rPr>
            </w:pPr>
          </w:p>
          <w:p w14:paraId="3D548DBA" w14:textId="70570741" w:rsidR="2607C227" w:rsidRDefault="003C64C9" w:rsidP="2607C22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01-07-2021</w:t>
            </w:r>
          </w:p>
        </w:tc>
      </w:tr>
    </w:tbl>
    <w:p w14:paraId="71026AE1" w14:textId="6D3C3055" w:rsidR="69B740AA" w:rsidRDefault="69B740AA" w:rsidP="69B740A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533"/>
      </w:tblGrid>
      <w:tr w:rsidR="001606A6" w14:paraId="3EDDD971" w14:textId="77777777" w:rsidTr="00137AE2">
        <w:trPr>
          <w:trHeight w:val="300"/>
        </w:trPr>
        <w:tc>
          <w:tcPr>
            <w:tcW w:w="10855" w:type="dxa"/>
            <w:shd w:val="clear" w:color="auto" w:fill="FFFFFF" w:themeFill="background1"/>
          </w:tcPr>
          <w:p w14:paraId="5B89B8F8" w14:textId="0AAAE6B9" w:rsidR="001606A6" w:rsidRPr="001606A6" w:rsidRDefault="001606A6" w:rsidP="001606A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Specify the value of any funding exceptionally carried over from SAPs grant</w:t>
            </w:r>
            <w:r w:rsidR="00216B00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BD0445">
              <w:rPr>
                <w:rStyle w:val="normaltextrun"/>
                <w:rFonts w:ascii="Arial" w:hAnsi="Arial" w:cs="Arial"/>
                <w:b/>
                <w:bCs/>
              </w:rPr>
              <w:t xml:space="preserve">in </w:t>
            </w:r>
            <w:r w:rsidR="007334D0">
              <w:rPr>
                <w:rStyle w:val="normaltextrun"/>
                <w:rFonts w:ascii="Arial" w:hAnsi="Arial" w:cs="Arial"/>
                <w:b/>
                <w:bCs/>
              </w:rPr>
              <w:t xml:space="preserve">FY </w:t>
            </w:r>
            <w:r w:rsidR="00E71617">
              <w:rPr>
                <w:rStyle w:val="normaltextrun"/>
                <w:rFonts w:ascii="Arial" w:hAnsi="Arial" w:cs="Arial"/>
                <w:b/>
                <w:bCs/>
              </w:rPr>
              <w:t>2019-20</w:t>
            </w:r>
            <w:r>
              <w:rPr>
                <w:rStyle w:val="normaltextrun"/>
                <w:rFonts w:ascii="Arial" w:hAnsi="Arial" w:cs="Arial"/>
              </w:rPr>
              <w:t> 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33" w:type="dxa"/>
          </w:tcPr>
          <w:p w14:paraId="4D89E9DE" w14:textId="232E1D98" w:rsidR="001606A6" w:rsidRDefault="001606A6" w:rsidP="00137AE2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</w:t>
            </w:r>
            <w:r w:rsidR="003C64C9">
              <w:rPr>
                <w:rFonts w:ascii="Arial" w:eastAsia="Arial" w:hAnsi="Arial" w:cs="Arial"/>
                <w:b/>
                <w:bCs/>
              </w:rPr>
              <w:t>Nil</w:t>
            </w:r>
          </w:p>
        </w:tc>
      </w:tr>
    </w:tbl>
    <w:p w14:paraId="24CEF979" w14:textId="77777777" w:rsidR="001606A6" w:rsidRDefault="001606A6" w:rsidP="69B740A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2830"/>
        <w:gridCol w:w="3004"/>
        <w:gridCol w:w="1408"/>
        <w:gridCol w:w="8118"/>
      </w:tblGrid>
      <w:tr w:rsidR="00534749" w14:paraId="05CEE7FD" w14:textId="77777777" w:rsidTr="436AEFFA">
        <w:tc>
          <w:tcPr>
            <w:tcW w:w="3480" w:type="dxa"/>
          </w:tcPr>
          <w:p w14:paraId="6A87C116" w14:textId="139F8C94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>Category of spend</w:t>
            </w:r>
          </w:p>
        </w:tc>
        <w:tc>
          <w:tcPr>
            <w:tcW w:w="4005" w:type="dxa"/>
          </w:tcPr>
          <w:p w14:paraId="702AA3B0" w14:textId="0EF70732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>Activities</w:t>
            </w:r>
          </w:p>
          <w:p w14:paraId="75074DEB" w14:textId="03530D6C" w:rsidR="00534749" w:rsidRPr="00534749" w:rsidRDefault="5A60B5A6" w:rsidP="40B02FB1">
            <w:pPr>
              <w:rPr>
                <w:rFonts w:ascii="Arial" w:eastAsia="Arial" w:hAnsi="Arial" w:cs="Arial"/>
              </w:rPr>
            </w:pPr>
            <w:r w:rsidRPr="5FB44D11">
              <w:rPr>
                <w:rFonts w:ascii="Arial" w:eastAsia="Arial" w:hAnsi="Arial" w:cs="Arial"/>
              </w:rPr>
              <w:t>Please outline any activities undertaken</w:t>
            </w:r>
            <w:r w:rsidR="4247ADE7" w:rsidRPr="5FB44D11">
              <w:rPr>
                <w:rFonts w:ascii="Arial" w:eastAsia="Arial" w:hAnsi="Arial" w:cs="Arial"/>
              </w:rPr>
              <w:t xml:space="preserve"> </w:t>
            </w:r>
            <w:r w:rsidRPr="5FB44D11">
              <w:rPr>
                <w:rFonts w:ascii="Arial" w:eastAsia="Arial" w:hAnsi="Arial" w:cs="Arial"/>
              </w:rPr>
              <w:t>using the funds provided</w:t>
            </w:r>
          </w:p>
        </w:tc>
        <w:tc>
          <w:tcPr>
            <w:tcW w:w="1665" w:type="dxa"/>
          </w:tcPr>
          <w:p w14:paraId="37F343FE" w14:textId="09795769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 xml:space="preserve">Cost </w:t>
            </w:r>
          </w:p>
          <w:p w14:paraId="6DFDEDA7" w14:textId="69490F63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>(</w:t>
            </w:r>
            <w:r w:rsidR="4938E022" w:rsidRPr="40B02FB1">
              <w:rPr>
                <w:rFonts w:ascii="Arial" w:eastAsia="Arial" w:hAnsi="Arial" w:cs="Arial"/>
                <w:b/>
                <w:bCs/>
              </w:rPr>
              <w:t xml:space="preserve">£ </w:t>
            </w:r>
            <w:r w:rsidRPr="40B02FB1">
              <w:rPr>
                <w:rFonts w:ascii="Arial" w:eastAsia="Arial" w:hAnsi="Arial" w:cs="Arial"/>
                <w:b/>
                <w:bCs/>
              </w:rPr>
              <w:t>spent)</w:t>
            </w:r>
          </w:p>
          <w:p w14:paraId="0AA7C8BC" w14:textId="4A9CC811" w:rsidR="00534749" w:rsidRPr="00534749" w:rsidRDefault="301B9C87" w:rsidP="40B02FB1">
            <w:pPr>
              <w:rPr>
                <w:rFonts w:ascii="Arial" w:eastAsia="Arial" w:hAnsi="Arial" w:cs="Arial"/>
              </w:rPr>
            </w:pPr>
            <w:r w:rsidRPr="40B02FB1">
              <w:rPr>
                <w:rFonts w:ascii="Arial" w:eastAsia="Arial" w:hAnsi="Arial" w:cs="Arial"/>
              </w:rPr>
              <w:t>H</w:t>
            </w:r>
            <w:r w:rsidR="2AE5FA04" w:rsidRPr="40B02FB1">
              <w:rPr>
                <w:rFonts w:ascii="Arial" w:eastAsia="Arial" w:hAnsi="Arial" w:cs="Arial"/>
              </w:rPr>
              <w:t>ow much each activity has cost to date</w:t>
            </w:r>
          </w:p>
        </w:tc>
        <w:tc>
          <w:tcPr>
            <w:tcW w:w="6210" w:type="dxa"/>
          </w:tcPr>
          <w:p w14:paraId="36ED2C43" w14:textId="4969578E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>Comments</w:t>
            </w:r>
          </w:p>
          <w:p w14:paraId="047EF154" w14:textId="01484758" w:rsidR="00534749" w:rsidRPr="00534749" w:rsidRDefault="7995E565" w:rsidP="40B02FB1">
            <w:pPr>
              <w:rPr>
                <w:rFonts w:ascii="Arial" w:eastAsia="Arial" w:hAnsi="Arial" w:cs="Arial"/>
              </w:rPr>
            </w:pPr>
            <w:r w:rsidRPr="508D5793">
              <w:rPr>
                <w:rFonts w:ascii="Arial" w:eastAsia="Arial" w:hAnsi="Arial" w:cs="Arial"/>
              </w:rPr>
              <w:t>Please add any other information you feel may be relevant/useful, e.g benefits, outcomes, any difficulties encountered</w:t>
            </w:r>
          </w:p>
          <w:p w14:paraId="5B7F7F14" w14:textId="718AA9A1" w:rsidR="00534749" w:rsidRPr="00534749" w:rsidRDefault="00534749" w:rsidP="40B02FB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641371" w14:paraId="103B73E9" w14:textId="77777777" w:rsidTr="00F31818">
        <w:trPr>
          <w:trHeight w:val="1134"/>
        </w:trPr>
        <w:tc>
          <w:tcPr>
            <w:tcW w:w="3480" w:type="dxa"/>
          </w:tcPr>
          <w:p w14:paraId="6DA68EC1" w14:textId="383D3975" w:rsidR="00641371" w:rsidRDefault="00641371" w:rsidP="00641371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 xml:space="preserve">Building in-house capability – </w:t>
            </w:r>
            <w:r w:rsidRPr="436AEFFA">
              <w:rPr>
                <w:rFonts w:ascii="Arial" w:eastAsia="Arial" w:hAnsi="Arial" w:cs="Arial"/>
              </w:rPr>
              <w:t>staffing costs</w:t>
            </w:r>
          </w:p>
        </w:tc>
        <w:tc>
          <w:tcPr>
            <w:tcW w:w="4005" w:type="dxa"/>
          </w:tcPr>
          <w:p w14:paraId="29BF64A5" w14:textId="25EEBAAD" w:rsidR="00641371" w:rsidRDefault="00641371" w:rsidP="00641371">
            <w:pPr>
              <w:rPr>
                <w:rFonts w:ascii="Arial" w:eastAsia="Arial" w:hAnsi="Arial" w:cs="Arial"/>
              </w:rPr>
            </w:pPr>
            <w:r w:rsidRPr="0066108A">
              <w:rPr>
                <w:rFonts w:ascii="Arial" w:hAnsi="Arial" w:cs="Arial"/>
                <w:bCs/>
              </w:rPr>
              <w:t xml:space="preserve">The Economy &amp; Skills Analyst was permanently appointed by Staffordshire County Council in July 2019. The post was part funded £15,000 from 2020/21 SAP grants and the balance of the salary costs met by the </w:t>
            </w:r>
            <w:r>
              <w:rPr>
                <w:rFonts w:ascii="Arial" w:hAnsi="Arial" w:cs="Arial"/>
                <w:bCs/>
              </w:rPr>
              <w:t xml:space="preserve">Staffordshire </w:t>
            </w:r>
            <w:r w:rsidRPr="0066108A">
              <w:rPr>
                <w:rFonts w:ascii="Arial" w:hAnsi="Arial" w:cs="Arial"/>
                <w:bCs/>
              </w:rPr>
              <w:t>County Council</w:t>
            </w:r>
            <w:r>
              <w:rPr>
                <w:rFonts w:ascii="Arial" w:hAnsi="Arial" w:cs="Arial"/>
                <w:bCs/>
              </w:rPr>
              <w:t xml:space="preserve"> and Stoke-on-Trent </w:t>
            </w:r>
            <w:r w:rsidRPr="0066108A">
              <w:rPr>
                <w:rFonts w:ascii="Arial" w:hAnsi="Arial" w:cs="Arial"/>
                <w:bCs/>
              </w:rPr>
              <w:t xml:space="preserve">City Council. The main duties of the role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Pr="0066108A">
              <w:rPr>
                <w:rFonts w:ascii="Arial" w:hAnsi="Arial" w:cs="Arial"/>
                <w:bCs/>
              </w:rPr>
              <w:t xml:space="preserve">include the </w:t>
            </w:r>
            <w:r>
              <w:rPr>
                <w:rFonts w:ascii="Arial" w:hAnsi="Arial" w:cs="Arial"/>
                <w:bCs/>
              </w:rPr>
              <w:t xml:space="preserve">refresh of </w:t>
            </w:r>
            <w:r w:rsidRPr="0066108A">
              <w:rPr>
                <w:rFonts w:ascii="Arial" w:hAnsi="Arial" w:cs="Arial"/>
                <w:bCs/>
              </w:rPr>
              <w:t>SAP evidence base</w:t>
            </w:r>
            <w:r>
              <w:rPr>
                <w:rFonts w:ascii="Arial" w:hAnsi="Arial" w:cs="Arial"/>
                <w:bCs/>
              </w:rPr>
              <w:t xml:space="preserve"> and the LSR, </w:t>
            </w:r>
            <w:r w:rsidRPr="0066108A">
              <w:rPr>
                <w:rFonts w:ascii="Arial" w:hAnsi="Arial" w:cs="Arial"/>
                <w:bCs/>
              </w:rPr>
              <w:t>consultation with key partners</w:t>
            </w:r>
            <w:r w:rsidR="00DB71C0">
              <w:rPr>
                <w:rFonts w:ascii="Arial" w:hAnsi="Arial" w:cs="Arial"/>
                <w:bCs/>
              </w:rPr>
              <w:t>.</w:t>
            </w:r>
            <w:r w:rsidRPr="006610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65" w:type="dxa"/>
          </w:tcPr>
          <w:p w14:paraId="7543355C" w14:textId="1ADB7A5F" w:rsidR="00641371" w:rsidRDefault="00641371" w:rsidP="006413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£15</w:t>
            </w:r>
            <w:r w:rsidR="000B4199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6210" w:type="dxa"/>
          </w:tcPr>
          <w:p w14:paraId="195D96D1" w14:textId="15AA1B18" w:rsidR="00641371" w:rsidRDefault="00641371" w:rsidP="00641371">
            <w:pPr>
              <w:rPr>
                <w:rFonts w:ascii="Arial" w:hAnsi="Arial" w:cs="Arial"/>
              </w:rPr>
            </w:pPr>
            <w:r w:rsidRPr="00126EA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post</w:t>
            </w:r>
            <w:r w:rsidRPr="00126E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has </w:t>
            </w:r>
            <w:r w:rsidRPr="00126EAE">
              <w:rPr>
                <w:rFonts w:ascii="Arial" w:hAnsi="Arial" w:cs="Arial"/>
              </w:rPr>
              <w:t>provide</w:t>
            </w:r>
            <w:r>
              <w:rPr>
                <w:rFonts w:ascii="Arial" w:hAnsi="Arial" w:cs="Arial"/>
              </w:rPr>
              <w:t>d</w:t>
            </w:r>
            <w:r w:rsidRPr="00126EAE">
              <w:rPr>
                <w:rFonts w:ascii="Arial" w:hAnsi="Arial" w:cs="Arial"/>
              </w:rPr>
              <w:t xml:space="preserve"> additional analytical capacity</w:t>
            </w:r>
            <w:r>
              <w:rPr>
                <w:rFonts w:ascii="Arial" w:hAnsi="Arial" w:cs="Arial"/>
              </w:rPr>
              <w:t xml:space="preserve"> </w:t>
            </w:r>
            <w:r w:rsidRPr="00126EAE">
              <w:rPr>
                <w:rFonts w:ascii="Arial" w:hAnsi="Arial" w:cs="Arial"/>
              </w:rPr>
              <w:t xml:space="preserve">to undertake the qualitative engagement of businesses and key stakeholders </w:t>
            </w:r>
            <w:r>
              <w:rPr>
                <w:rFonts w:ascii="Arial" w:hAnsi="Arial" w:cs="Arial"/>
              </w:rPr>
              <w:t xml:space="preserve">to </w:t>
            </w:r>
            <w:r w:rsidRPr="00126EAE">
              <w:rPr>
                <w:rFonts w:ascii="Arial" w:hAnsi="Arial" w:cs="Arial"/>
              </w:rPr>
              <w:t>collat</w:t>
            </w:r>
            <w:r>
              <w:rPr>
                <w:rFonts w:ascii="Arial" w:hAnsi="Arial" w:cs="Arial"/>
              </w:rPr>
              <w:t xml:space="preserve">e </w:t>
            </w:r>
            <w:r w:rsidRPr="00126EAE">
              <w:rPr>
                <w:rFonts w:ascii="Arial" w:hAnsi="Arial" w:cs="Arial"/>
              </w:rPr>
              <w:t>and analys</w:t>
            </w:r>
            <w:r>
              <w:rPr>
                <w:rFonts w:ascii="Arial" w:hAnsi="Arial" w:cs="Arial"/>
              </w:rPr>
              <w:t>e</w:t>
            </w:r>
            <w:r w:rsidRPr="00126EAE">
              <w:rPr>
                <w:rFonts w:ascii="Arial" w:hAnsi="Arial" w:cs="Arial"/>
              </w:rPr>
              <w:t xml:space="preserve"> local skills and LMI </w:t>
            </w:r>
            <w:r>
              <w:rPr>
                <w:rFonts w:ascii="Arial" w:hAnsi="Arial" w:cs="Arial"/>
              </w:rPr>
              <w:t xml:space="preserve">to complete the SAP evidence base and </w:t>
            </w:r>
            <w:r w:rsidR="00DB71C0">
              <w:rPr>
                <w:rFonts w:ascii="Arial" w:hAnsi="Arial" w:cs="Arial"/>
              </w:rPr>
              <w:t>the Local Skills Report.</w:t>
            </w:r>
          </w:p>
          <w:p w14:paraId="709206C2" w14:textId="77777777" w:rsidR="00641371" w:rsidRDefault="00641371" w:rsidP="00641371">
            <w:pPr>
              <w:rPr>
                <w:rFonts w:ascii="Arial" w:hAnsi="Arial" w:cs="Arial"/>
              </w:rPr>
            </w:pPr>
          </w:p>
          <w:p w14:paraId="3AEDBEA4" w14:textId="555AC725" w:rsidR="00641371" w:rsidRDefault="00641371" w:rsidP="00641371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The post has also provided the skills data and analysis to inform ongoing </w:t>
            </w:r>
            <w:r w:rsidRPr="0066108A">
              <w:rPr>
                <w:rFonts w:ascii="Arial" w:hAnsi="Arial" w:cs="Arial"/>
                <w:bCs/>
              </w:rPr>
              <w:t xml:space="preserve">COVID-19 economic and skills strategic assessment to inform local COVID-19 recovery strategies, and general economy and skills analyst support to the </w:t>
            </w:r>
            <w:r>
              <w:rPr>
                <w:rFonts w:ascii="Arial" w:hAnsi="Arial" w:cs="Arial"/>
                <w:bCs/>
              </w:rPr>
              <w:t xml:space="preserve">Stoke-on-Trent &amp; Staffordshire LEP, Staffordshire </w:t>
            </w:r>
            <w:r w:rsidRPr="0066108A">
              <w:rPr>
                <w:rFonts w:ascii="Arial" w:hAnsi="Arial" w:cs="Arial"/>
                <w:bCs/>
              </w:rPr>
              <w:t>County Council</w:t>
            </w:r>
            <w:r>
              <w:rPr>
                <w:rFonts w:ascii="Arial" w:hAnsi="Arial" w:cs="Arial"/>
                <w:bCs/>
              </w:rPr>
              <w:t>, Stoke-on-Trent City Council</w:t>
            </w:r>
            <w:r w:rsidRPr="0066108A">
              <w:rPr>
                <w:rFonts w:ascii="Arial" w:hAnsi="Arial" w:cs="Arial"/>
                <w:bCs/>
              </w:rPr>
              <w:t xml:space="preserve"> and wider partners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534749" w14:paraId="7AAF28FD" w14:textId="77777777" w:rsidTr="00F31818">
        <w:trPr>
          <w:trHeight w:val="1134"/>
        </w:trPr>
        <w:tc>
          <w:tcPr>
            <w:tcW w:w="3480" w:type="dxa"/>
          </w:tcPr>
          <w:p w14:paraId="53DA6E69" w14:textId="094073C5" w:rsidR="00534749" w:rsidRDefault="2F974CC4" w:rsidP="436AEFFA">
            <w:pPr>
              <w:rPr>
                <w:rFonts w:ascii="Arial" w:eastAsia="Arial" w:hAnsi="Arial" w:cs="Arial"/>
                <w:b/>
                <w:bCs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lastRenderedPageBreak/>
              <w:t xml:space="preserve">Building in-house capability – </w:t>
            </w:r>
            <w:r w:rsidRPr="436AEFFA">
              <w:rPr>
                <w:rFonts w:ascii="Arial" w:eastAsia="Arial" w:hAnsi="Arial" w:cs="Arial"/>
              </w:rPr>
              <w:t>other (e.g. training)</w:t>
            </w:r>
          </w:p>
        </w:tc>
        <w:tc>
          <w:tcPr>
            <w:tcW w:w="4005" w:type="dxa"/>
          </w:tcPr>
          <w:p w14:paraId="7DCA97E5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</w:tcPr>
          <w:p w14:paraId="15DE4F44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</w:tcPr>
          <w:p w14:paraId="7DF5466C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</w:tr>
      <w:tr w:rsidR="00534749" w14:paraId="77BCA593" w14:textId="77777777" w:rsidTr="00F31818">
        <w:trPr>
          <w:trHeight w:val="1134"/>
        </w:trPr>
        <w:tc>
          <w:tcPr>
            <w:tcW w:w="3480" w:type="dxa"/>
          </w:tcPr>
          <w:p w14:paraId="2CC47BA1" w14:textId="627D9737" w:rsidR="00534749" w:rsidRDefault="2F974CC4" w:rsidP="436AEFFA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>Purchasing data or other analytical tools</w:t>
            </w:r>
          </w:p>
        </w:tc>
        <w:tc>
          <w:tcPr>
            <w:tcW w:w="4005" w:type="dxa"/>
          </w:tcPr>
          <w:p w14:paraId="08731095" w14:textId="05AD6094" w:rsidR="00641371" w:rsidRDefault="00641371" w:rsidP="00641371">
            <w:pPr>
              <w:rPr>
                <w:rFonts w:ascii="Arial" w:eastAsia="Times New Roman" w:hAnsi="Arial" w:cs="Arial"/>
                <w:lang w:eastAsia="en-GB"/>
              </w:rPr>
            </w:pPr>
            <w:r w:rsidRPr="00E71005">
              <w:rPr>
                <w:rFonts w:ascii="Arial" w:eastAsia="Arial" w:hAnsi="Arial" w:cs="Arial"/>
                <w:lang w:eastAsia="en-GB"/>
              </w:rPr>
              <w:t>T</w:t>
            </w:r>
            <w:r>
              <w:rPr>
                <w:rFonts w:ascii="Arial" w:eastAsia="Arial" w:hAnsi="Arial" w:cs="Arial"/>
                <w:lang w:eastAsia="en-GB"/>
              </w:rPr>
              <w:t>he 2</w:t>
            </w:r>
            <w:r w:rsidR="00DB71C0">
              <w:rPr>
                <w:rFonts w:ascii="Arial" w:eastAsia="Arial" w:hAnsi="Arial" w:cs="Arial"/>
                <w:lang w:eastAsia="en-GB"/>
              </w:rPr>
              <w:t>0</w:t>
            </w:r>
            <w:r>
              <w:rPr>
                <w:rFonts w:ascii="Arial" w:eastAsia="Arial" w:hAnsi="Arial" w:cs="Arial"/>
                <w:lang w:eastAsia="en-GB"/>
              </w:rPr>
              <w:t>/2</w:t>
            </w:r>
            <w:r w:rsidR="00DB71C0">
              <w:rPr>
                <w:rFonts w:ascii="Arial" w:eastAsia="Arial" w:hAnsi="Arial" w:cs="Arial"/>
                <w:lang w:eastAsia="en-GB"/>
              </w:rPr>
              <w:t>1</w:t>
            </w:r>
            <w:r>
              <w:rPr>
                <w:rFonts w:ascii="Arial" w:eastAsia="Arial" w:hAnsi="Arial" w:cs="Arial"/>
                <w:lang w:eastAsia="en-GB"/>
              </w:rPr>
              <w:t xml:space="preserve"> SAP grant provide</w:t>
            </w:r>
            <w:r w:rsidR="00DB71C0">
              <w:rPr>
                <w:rFonts w:ascii="Arial" w:eastAsia="Arial" w:hAnsi="Arial" w:cs="Arial"/>
                <w:lang w:eastAsia="en-GB"/>
              </w:rPr>
              <w:t>d</w:t>
            </w:r>
            <w:r>
              <w:rPr>
                <w:rFonts w:ascii="Arial" w:eastAsia="Arial" w:hAnsi="Arial" w:cs="Arial"/>
                <w:lang w:eastAsia="en-GB"/>
              </w:rPr>
              <w:t xml:space="preserve"> £5k, matched by £10k from</w:t>
            </w:r>
            <w:r w:rsidRPr="00126EAE">
              <w:rPr>
                <w:rFonts w:ascii="Arial" w:hAnsi="Arial" w:cs="Arial"/>
              </w:rPr>
              <w:t xml:space="preserve"> Staffordshire CC and Stoke-on-Trent CC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lang w:eastAsia="en-GB"/>
              </w:rPr>
              <w:t xml:space="preserve">to fund the </w:t>
            </w:r>
            <w:r w:rsidRPr="00E71005">
              <w:rPr>
                <w:rFonts w:ascii="Arial" w:eastAsia="Arial" w:hAnsi="Arial" w:cs="Arial"/>
                <w:lang w:eastAsia="en-GB"/>
              </w:rPr>
              <w:t xml:space="preserve">purchase </w:t>
            </w:r>
            <w:r>
              <w:rPr>
                <w:rFonts w:ascii="Arial" w:eastAsia="Arial" w:hAnsi="Arial" w:cs="Arial"/>
                <w:lang w:eastAsia="en-GB"/>
              </w:rPr>
              <w:t xml:space="preserve">of </w:t>
            </w:r>
            <w:r w:rsidRPr="00E71005">
              <w:rPr>
                <w:rFonts w:ascii="Arial" w:eastAsia="Arial" w:hAnsi="Arial" w:cs="Arial"/>
                <w:lang w:eastAsia="en-GB"/>
              </w:rPr>
              <w:t>a one-year licence fo</w:t>
            </w:r>
            <w:r>
              <w:rPr>
                <w:rFonts w:ascii="Arial" w:eastAsia="Arial" w:hAnsi="Arial" w:cs="Arial"/>
                <w:lang w:eastAsia="en-GB"/>
              </w:rPr>
              <w:t xml:space="preserve">r </w:t>
            </w:r>
            <w:r w:rsidRPr="00E71005">
              <w:rPr>
                <w:rFonts w:ascii="Arial" w:eastAsia="Arial" w:hAnsi="Arial" w:cs="Arial"/>
                <w:lang w:eastAsia="en-GB"/>
              </w:rPr>
              <w:t>the EMSI analyst tool</w:t>
            </w:r>
            <w:r>
              <w:rPr>
                <w:rFonts w:ascii="Arial" w:eastAsia="Arial" w:hAnsi="Arial" w:cs="Arial"/>
                <w:lang w:eastAsia="en-GB"/>
              </w:rPr>
              <w:t xml:space="preserve"> for ten users across the LEP, Staffordshire &amp; Stoke-on-Trent Councils.</w:t>
            </w:r>
            <w:r w:rsidRPr="00E7100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8C7A3F0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</w:tcPr>
          <w:p w14:paraId="37FE58FE" w14:textId="1A969A00" w:rsidR="00534749" w:rsidRDefault="00641371" w:rsidP="40B02F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£5</w:t>
            </w:r>
            <w:r w:rsidR="000B4199">
              <w:rPr>
                <w:rFonts w:ascii="Arial" w:eastAsia="Arial" w:hAnsi="Arial" w:cs="Arial"/>
              </w:rPr>
              <w:t>,000</w:t>
            </w:r>
          </w:p>
        </w:tc>
        <w:tc>
          <w:tcPr>
            <w:tcW w:w="6210" w:type="dxa"/>
          </w:tcPr>
          <w:p w14:paraId="7D99484A" w14:textId="1259B505" w:rsidR="00641371" w:rsidRDefault="00641371" w:rsidP="00641371">
            <w:pPr>
              <w:rPr>
                <w:rFonts w:ascii="Arial" w:eastAsia="Times New Roman" w:hAnsi="Arial" w:cs="Arial"/>
                <w:lang w:eastAsia="en-GB"/>
              </w:rPr>
            </w:pPr>
            <w:r w:rsidRPr="00E71005">
              <w:rPr>
                <w:rFonts w:ascii="Arial" w:eastAsia="Times New Roman" w:hAnsi="Arial" w:cs="Arial"/>
                <w:lang w:eastAsia="en-GB"/>
              </w:rPr>
              <w:t xml:space="preserve">There is </w:t>
            </w:r>
            <w:r>
              <w:rPr>
                <w:rFonts w:ascii="Arial" w:eastAsia="Times New Roman" w:hAnsi="Arial" w:cs="Arial"/>
                <w:lang w:eastAsia="en-GB"/>
              </w:rPr>
              <w:t xml:space="preserve">increasing </w:t>
            </w:r>
            <w:r w:rsidRPr="00E71005">
              <w:rPr>
                <w:rFonts w:ascii="Arial" w:eastAsia="Times New Roman" w:hAnsi="Arial" w:cs="Arial"/>
                <w:lang w:eastAsia="en-GB"/>
              </w:rPr>
              <w:t>demand for better labour market information (LMI) in Staffordshire and Stoke-on-Trent, especially since the creation of the SSLEP Skills Advisory Panel (SAP)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the more acutely following the COVID-19 pandemic</w:t>
            </w:r>
            <w:r w:rsidRPr="00E71005">
              <w:rPr>
                <w:rFonts w:ascii="Arial" w:eastAsia="Times New Roman" w:hAnsi="Arial" w:cs="Arial"/>
                <w:lang w:eastAsia="en-GB"/>
              </w:rPr>
              <w:t xml:space="preserve">. It is recognised that good LMI is vital to making informed decisions regarding the development and growth of the local economy and the effective commissioning of successful employment and skills programmes. </w:t>
            </w:r>
            <w:r w:rsidR="00DB71C0">
              <w:rPr>
                <w:rFonts w:ascii="Arial" w:eastAsia="Times New Roman" w:hAnsi="Arial" w:cs="Arial"/>
                <w:lang w:eastAsia="en-GB"/>
              </w:rPr>
              <w:t xml:space="preserve">The EMSI analyst tool was purchased </w:t>
            </w:r>
            <w:r w:rsidRPr="00E71005">
              <w:rPr>
                <w:rFonts w:ascii="Arial" w:eastAsia="Times New Roman" w:hAnsi="Arial" w:cs="Arial"/>
                <w:lang w:eastAsia="en-GB"/>
              </w:rPr>
              <w:t>to further improve our understanding of employment and skills needs in Staffordshire and Stoke-on-Trent (</w:t>
            </w:r>
            <w:hyperlink r:id="rId9" w:history="1">
              <w:r w:rsidRPr="00E71005">
                <w:rPr>
                  <w:rFonts w:ascii="Arial" w:eastAsia="Times New Roman" w:hAnsi="Arial" w:cs="Arial"/>
                  <w:color w:val="0563C1" w:themeColor="hyperlink"/>
                  <w:u w:val="single"/>
                  <w:lang w:eastAsia="en-GB"/>
                </w:rPr>
                <w:t>https://www.economicmodelling.co.uk/</w:t>
              </w:r>
            </w:hyperlink>
            <w:r w:rsidRPr="00E71005">
              <w:rPr>
                <w:rFonts w:ascii="Arial" w:eastAsia="Times New Roman" w:hAnsi="Arial" w:cs="Arial"/>
                <w:lang w:eastAsia="en-GB"/>
              </w:rPr>
              <w:t>)</w:t>
            </w:r>
          </w:p>
          <w:p w14:paraId="1879BBB4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</w:tr>
      <w:tr w:rsidR="00534749" w14:paraId="5D61F623" w14:textId="77777777" w:rsidTr="00F31818">
        <w:trPr>
          <w:trHeight w:val="1134"/>
        </w:trPr>
        <w:tc>
          <w:tcPr>
            <w:tcW w:w="3480" w:type="dxa"/>
          </w:tcPr>
          <w:p w14:paraId="1B290066" w14:textId="0D882C5E" w:rsidR="00534749" w:rsidRDefault="57C0C2E3" w:rsidP="009628EF">
            <w:pPr>
              <w:rPr>
                <w:rFonts w:ascii="Arial" w:eastAsia="Arial" w:hAnsi="Arial" w:cs="Arial"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 xml:space="preserve">External commissioning or contracting </w:t>
            </w:r>
            <w:r w:rsidRPr="436AEFFA">
              <w:rPr>
                <w:rFonts w:ascii="Arial" w:eastAsia="Arial" w:hAnsi="Arial" w:cs="Arial"/>
              </w:rPr>
              <w:t>- analytical reporting, deep dives or secondary research</w:t>
            </w:r>
          </w:p>
        </w:tc>
        <w:tc>
          <w:tcPr>
            <w:tcW w:w="4005" w:type="dxa"/>
          </w:tcPr>
          <w:p w14:paraId="797EC814" w14:textId="77777777" w:rsidR="00641371" w:rsidRPr="00641371" w:rsidRDefault="00641371" w:rsidP="00641371">
            <w:pPr>
              <w:rPr>
                <w:rFonts w:ascii="Arial" w:hAnsi="Arial" w:cs="Arial"/>
              </w:rPr>
            </w:pPr>
          </w:p>
          <w:p w14:paraId="35F9DA20" w14:textId="4D31D84A" w:rsidR="00641371" w:rsidRDefault="00641371" w:rsidP="00641371">
            <w:pPr>
              <w:rPr>
                <w:rFonts w:ascii="Arial" w:hAnsi="Arial" w:cs="Arial"/>
              </w:rPr>
            </w:pPr>
          </w:p>
          <w:p w14:paraId="0C43607C" w14:textId="77777777" w:rsidR="00641371" w:rsidRPr="00641371" w:rsidRDefault="00641371" w:rsidP="00641371">
            <w:pPr>
              <w:rPr>
                <w:rFonts w:ascii="Arial" w:hAnsi="Arial" w:cs="Arial"/>
              </w:rPr>
            </w:pPr>
          </w:p>
          <w:p w14:paraId="0F01169C" w14:textId="77777777" w:rsidR="00534749" w:rsidRPr="00641371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</w:tcPr>
          <w:p w14:paraId="56E6CBDD" w14:textId="67AA7DA0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</w:tcPr>
          <w:p w14:paraId="3D7C2910" w14:textId="5F40100B" w:rsidR="000B406A" w:rsidRDefault="000B406A" w:rsidP="00FE3502">
            <w:pPr>
              <w:rPr>
                <w:rFonts w:ascii="Arial" w:hAnsi="Arial" w:cs="Arial"/>
              </w:rPr>
            </w:pPr>
          </w:p>
          <w:p w14:paraId="6E3B835B" w14:textId="77777777" w:rsidR="00FE3502" w:rsidRPr="00FE3502" w:rsidRDefault="00FE3502" w:rsidP="00FE3502">
            <w:pPr>
              <w:rPr>
                <w:rFonts w:ascii="Arial" w:hAnsi="Arial" w:cs="Arial"/>
              </w:rPr>
            </w:pPr>
          </w:p>
          <w:p w14:paraId="513B2D9B" w14:textId="77777777" w:rsidR="00534749" w:rsidRDefault="00534749" w:rsidP="00FE3502">
            <w:pPr>
              <w:rPr>
                <w:rFonts w:ascii="Arial" w:eastAsia="Arial" w:hAnsi="Arial" w:cs="Arial"/>
              </w:rPr>
            </w:pPr>
          </w:p>
        </w:tc>
      </w:tr>
      <w:tr w:rsidR="00534749" w14:paraId="1F9CDF4F" w14:textId="77777777" w:rsidTr="00F31818">
        <w:trPr>
          <w:trHeight w:val="1134"/>
        </w:trPr>
        <w:tc>
          <w:tcPr>
            <w:tcW w:w="3480" w:type="dxa"/>
            <w:tcBorders>
              <w:bottom w:val="single" w:sz="4" w:space="0" w:color="auto"/>
            </w:tcBorders>
          </w:tcPr>
          <w:p w14:paraId="561D599A" w14:textId="778EA2F9" w:rsidR="00534749" w:rsidRDefault="57C0C2E3" w:rsidP="436AEFFA">
            <w:pPr>
              <w:rPr>
                <w:rFonts w:ascii="Arial" w:eastAsia="Arial" w:hAnsi="Arial" w:cs="Arial"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>External commissioning or contracting</w:t>
            </w:r>
            <w:r w:rsidRPr="436AEFFA">
              <w:rPr>
                <w:rFonts w:ascii="Arial" w:eastAsia="Arial" w:hAnsi="Arial" w:cs="Arial"/>
              </w:rPr>
              <w:t xml:space="preserve"> - surveys, evaluation or primary research</w:t>
            </w:r>
          </w:p>
          <w:p w14:paraId="52F76747" w14:textId="799A462A" w:rsidR="00534749" w:rsidRDefault="00534749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7841EDCD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6C3C364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E2C5899" w14:textId="77777777" w:rsidR="00534749" w:rsidRDefault="00534749" w:rsidP="40B02FB1">
            <w:pPr>
              <w:rPr>
                <w:rFonts w:ascii="Arial" w:eastAsia="Arial" w:hAnsi="Arial" w:cs="Arial"/>
              </w:rPr>
            </w:pPr>
          </w:p>
        </w:tc>
      </w:tr>
      <w:tr w:rsidR="436AEFFA" w14:paraId="3D5C30EB" w14:textId="77777777" w:rsidTr="00F31818">
        <w:trPr>
          <w:trHeight w:val="1134"/>
        </w:trPr>
        <w:tc>
          <w:tcPr>
            <w:tcW w:w="3480" w:type="dxa"/>
            <w:tcBorders>
              <w:bottom w:val="single" w:sz="4" w:space="0" w:color="auto"/>
            </w:tcBorders>
          </w:tcPr>
          <w:p w14:paraId="2B16436E" w14:textId="40226A3F" w:rsidR="57C0C2E3" w:rsidRDefault="57C0C2E3" w:rsidP="436AEFFA">
            <w:pPr>
              <w:rPr>
                <w:rFonts w:ascii="Arial" w:eastAsia="Arial" w:hAnsi="Arial" w:cs="Arial"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>External commissioning or contracting</w:t>
            </w:r>
            <w:r w:rsidRPr="436AEFFA">
              <w:rPr>
                <w:rFonts w:ascii="Arial" w:eastAsia="Arial" w:hAnsi="Arial" w:cs="Arial"/>
              </w:rPr>
              <w:t xml:space="preserve"> - other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C6BE53B" w14:textId="5492D860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15721AD" w14:textId="79D2D2F7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628673F" w14:textId="6B75AF1B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</w:tr>
      <w:tr w:rsidR="436AEFFA" w14:paraId="7B481EB4" w14:textId="77777777" w:rsidTr="00F31818">
        <w:trPr>
          <w:trHeight w:val="1134"/>
        </w:trPr>
        <w:tc>
          <w:tcPr>
            <w:tcW w:w="3480" w:type="dxa"/>
            <w:tcBorders>
              <w:bottom w:val="single" w:sz="4" w:space="0" w:color="auto"/>
            </w:tcBorders>
          </w:tcPr>
          <w:p w14:paraId="5AE33800" w14:textId="401C4F6E" w:rsidR="57C0C2E3" w:rsidRDefault="57C0C2E3" w:rsidP="436AEFFA">
            <w:pPr>
              <w:rPr>
                <w:rFonts w:ascii="Arial" w:eastAsia="Arial" w:hAnsi="Arial" w:cs="Arial"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>Stakeholder engagement</w:t>
            </w:r>
            <w:r w:rsidRPr="436AEFFA">
              <w:rPr>
                <w:rFonts w:ascii="Arial" w:eastAsia="Arial" w:hAnsi="Arial" w:cs="Arial"/>
              </w:rPr>
              <w:t xml:space="preserve"> (e.g. events, consultations)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7D6261C9" w14:textId="5A01D64B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62C41897" w14:textId="1FDAE21C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AAF01A9" w14:textId="4458031E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</w:tr>
      <w:tr w:rsidR="436AEFFA" w14:paraId="3B5CDF0D" w14:textId="77777777" w:rsidTr="00F31818">
        <w:trPr>
          <w:trHeight w:val="1134"/>
        </w:trPr>
        <w:tc>
          <w:tcPr>
            <w:tcW w:w="3480" w:type="dxa"/>
            <w:tcBorders>
              <w:bottom w:val="single" w:sz="4" w:space="0" w:color="auto"/>
            </w:tcBorders>
          </w:tcPr>
          <w:p w14:paraId="5155A930" w14:textId="3E06CB32" w:rsidR="57C0C2E3" w:rsidRDefault="57C0C2E3" w:rsidP="436AEFFA">
            <w:pPr>
              <w:rPr>
                <w:rFonts w:ascii="Arial" w:eastAsia="Arial" w:hAnsi="Arial" w:cs="Arial"/>
                <w:b/>
                <w:bCs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t>Allowable administrative costs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14:paraId="694DAC4C" w14:textId="07E59DEA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A9D5B8B" w14:textId="21F2A1C8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38FFE57" w14:textId="1552553F" w:rsidR="436AEFFA" w:rsidRDefault="436AEFFA" w:rsidP="436AEFFA">
            <w:pPr>
              <w:rPr>
                <w:rFonts w:ascii="Arial" w:eastAsia="Arial" w:hAnsi="Arial" w:cs="Arial"/>
              </w:rPr>
            </w:pPr>
          </w:p>
        </w:tc>
      </w:tr>
      <w:tr w:rsidR="00BD25A2" w14:paraId="1A250EB7" w14:textId="77777777" w:rsidTr="00F31818">
        <w:trPr>
          <w:trHeight w:val="515"/>
        </w:trPr>
        <w:tc>
          <w:tcPr>
            <w:tcW w:w="3480" w:type="dxa"/>
            <w:tcBorders>
              <w:bottom w:val="single" w:sz="12" w:space="0" w:color="auto"/>
            </w:tcBorders>
          </w:tcPr>
          <w:p w14:paraId="687AAFD7" w14:textId="679A949B" w:rsidR="00BD25A2" w:rsidRPr="00CC7513" w:rsidRDefault="70BC4392" w:rsidP="40B02FB1">
            <w:pPr>
              <w:rPr>
                <w:rFonts w:ascii="Arial" w:eastAsia="Arial" w:hAnsi="Arial" w:cs="Arial"/>
                <w:b/>
                <w:bCs/>
              </w:rPr>
            </w:pPr>
            <w:r w:rsidRPr="40B02FB1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40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B8C34A" w14:textId="77777777" w:rsidR="00BD25A2" w:rsidRPr="00CC7513" w:rsidRDefault="00BD25A2" w:rsidP="40B02FB1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14:paraId="5C28D535" w14:textId="0DA7EEA6" w:rsidR="00BD25A2" w:rsidRPr="00CC7513" w:rsidRDefault="000B4199" w:rsidP="40B02FB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£20,000</w:t>
            </w:r>
          </w:p>
        </w:tc>
        <w:tc>
          <w:tcPr>
            <w:tcW w:w="62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6D66672" w14:textId="77777777" w:rsidR="00BD25A2" w:rsidRPr="00CC7513" w:rsidRDefault="00BD25A2" w:rsidP="40B02FB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2CD48465" w14:paraId="7C214F22" w14:textId="77777777" w:rsidTr="436AEFFA">
        <w:trPr>
          <w:trHeight w:val="1263"/>
        </w:trPr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14:paraId="3AE90095" w14:textId="4F5AF0E9" w:rsidR="1BBA3900" w:rsidRDefault="446F9211" w:rsidP="2CD48465">
            <w:pPr>
              <w:rPr>
                <w:rFonts w:ascii="Arial" w:eastAsia="Arial" w:hAnsi="Arial" w:cs="Arial"/>
                <w:b/>
                <w:bCs/>
              </w:rPr>
            </w:pPr>
            <w:r w:rsidRPr="436AEFFA">
              <w:rPr>
                <w:rFonts w:ascii="Arial" w:eastAsia="Arial" w:hAnsi="Arial" w:cs="Arial"/>
                <w:b/>
                <w:bCs/>
              </w:rPr>
              <w:lastRenderedPageBreak/>
              <w:t>Total of</w:t>
            </w:r>
            <w:r w:rsidR="2327EC1D" w:rsidRPr="436AEFFA">
              <w:rPr>
                <w:rFonts w:ascii="Arial" w:eastAsia="Arial" w:hAnsi="Arial" w:cs="Arial"/>
                <w:b/>
                <w:bCs/>
              </w:rPr>
              <w:t xml:space="preserve"> any</w:t>
            </w:r>
            <w:r w:rsidRPr="436AEFFA">
              <w:rPr>
                <w:rFonts w:ascii="Arial" w:eastAsia="Arial" w:hAnsi="Arial" w:cs="Arial"/>
                <w:b/>
                <w:bCs/>
              </w:rPr>
              <w:t xml:space="preserve"> funding</w:t>
            </w:r>
            <w:r w:rsidR="113403D4" w:rsidRPr="436AEFFA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436AEFFA">
              <w:rPr>
                <w:rFonts w:ascii="Arial" w:eastAsia="Arial" w:hAnsi="Arial" w:cs="Arial"/>
                <w:b/>
                <w:bCs/>
              </w:rPr>
              <w:t>not spent by 31/03/202</w:t>
            </w:r>
            <w:r w:rsidR="67AD6A27" w:rsidRPr="436AEFFA">
              <w:rPr>
                <w:rFonts w:ascii="Arial" w:eastAsia="Arial" w:hAnsi="Arial" w:cs="Arial"/>
                <w:b/>
                <w:bCs/>
              </w:rPr>
              <w:t>1</w:t>
            </w:r>
            <w:r w:rsidR="43DE892E" w:rsidRPr="436AEFFA">
              <w:rPr>
                <w:rFonts w:ascii="Arial" w:eastAsia="Arial" w:hAnsi="Arial" w:cs="Arial"/>
                <w:b/>
                <w:bCs/>
              </w:rPr>
              <w:t xml:space="preserve"> and </w:t>
            </w:r>
            <w:r w:rsidR="755CF5B3" w:rsidRPr="436AEFFA">
              <w:rPr>
                <w:rFonts w:ascii="Arial" w:eastAsia="Arial" w:hAnsi="Arial" w:cs="Arial"/>
                <w:b/>
                <w:bCs/>
              </w:rPr>
              <w:t xml:space="preserve">description of any </w:t>
            </w:r>
            <w:r w:rsidR="750DFED3" w:rsidRPr="436AEFFA">
              <w:rPr>
                <w:rFonts w:ascii="Arial" w:eastAsia="Arial" w:hAnsi="Arial" w:cs="Arial"/>
                <w:b/>
                <w:bCs/>
              </w:rPr>
              <w:t>extenuating circumstances</w:t>
            </w:r>
            <w:r w:rsidR="489CF49C" w:rsidRPr="436AEFFA">
              <w:rPr>
                <w:rFonts w:ascii="Arial" w:eastAsia="Arial" w:hAnsi="Arial" w:cs="Arial"/>
                <w:b/>
                <w:bCs/>
              </w:rPr>
              <w:t xml:space="preserve"> for rolling into FY 2021-22</w:t>
            </w:r>
          </w:p>
        </w:tc>
        <w:tc>
          <w:tcPr>
            <w:tcW w:w="40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51E529" w14:textId="64415E24" w:rsidR="2CD48465" w:rsidRDefault="2CD48465" w:rsidP="2CD48465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CEFC9" w14:textId="3B9F41C2" w:rsidR="2CD48465" w:rsidRDefault="000B4199" w:rsidP="2CD48465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£55,000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CA612" w14:textId="77777777" w:rsidR="00184D89" w:rsidRPr="00FE3502" w:rsidRDefault="00184D89" w:rsidP="00184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to carry forward the balance £55,000 was provided by Kerry Ng SAP Programme team on 18.3.21.</w:t>
            </w:r>
          </w:p>
          <w:p w14:paraId="229D0911" w14:textId="1B096967" w:rsidR="436AEFFA" w:rsidRDefault="436AEFFA" w:rsidP="436AEFFA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3B85BD25" w14:textId="1BBF6A70" w:rsidR="40B02FB1" w:rsidRDefault="40B02FB1"/>
    <w:p w14:paraId="7BEDA477" w14:textId="0D67B918" w:rsidR="40B02FB1" w:rsidRDefault="40B02FB1" w:rsidP="40B02FB1"/>
    <w:p w14:paraId="716E56FE" w14:textId="118F8A3F" w:rsidR="7BC80534" w:rsidRDefault="7BC80534" w:rsidP="40B02FB1">
      <w:pPr>
        <w:rPr>
          <w:rFonts w:ascii="Arial" w:eastAsia="Arial" w:hAnsi="Arial" w:cs="Arial"/>
          <w:sz w:val="24"/>
          <w:szCs w:val="24"/>
        </w:rPr>
      </w:pPr>
      <w:r w:rsidRPr="40B02FB1"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</w:p>
    <w:sectPr w:rsidR="7BC80534" w:rsidSect="005347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E8"/>
    <w:multiLevelType w:val="hybridMultilevel"/>
    <w:tmpl w:val="2012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096"/>
    <w:multiLevelType w:val="multilevel"/>
    <w:tmpl w:val="B58091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A6C34"/>
    <w:multiLevelType w:val="hybridMultilevel"/>
    <w:tmpl w:val="B6C085DC"/>
    <w:lvl w:ilvl="0" w:tplc="F392C78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9E"/>
    <w:rsid w:val="00031083"/>
    <w:rsid w:val="00034254"/>
    <w:rsid w:val="0005759E"/>
    <w:rsid w:val="00074464"/>
    <w:rsid w:val="000767E9"/>
    <w:rsid w:val="00096EF2"/>
    <w:rsid w:val="000A6D9F"/>
    <w:rsid w:val="000B406A"/>
    <w:rsid w:val="000B4199"/>
    <w:rsid w:val="0011735B"/>
    <w:rsid w:val="00137AE2"/>
    <w:rsid w:val="001562FC"/>
    <w:rsid w:val="001606A6"/>
    <w:rsid w:val="00161539"/>
    <w:rsid w:val="00184D89"/>
    <w:rsid w:val="001C5538"/>
    <w:rsid w:val="001F4E43"/>
    <w:rsid w:val="001F7295"/>
    <w:rsid w:val="0021359D"/>
    <w:rsid w:val="00216B00"/>
    <w:rsid w:val="002B449B"/>
    <w:rsid w:val="002C1F92"/>
    <w:rsid w:val="002F3ACD"/>
    <w:rsid w:val="0030034C"/>
    <w:rsid w:val="003326E0"/>
    <w:rsid w:val="00367258"/>
    <w:rsid w:val="00385380"/>
    <w:rsid w:val="003C1743"/>
    <w:rsid w:val="003C64C9"/>
    <w:rsid w:val="00401E60"/>
    <w:rsid w:val="0040569F"/>
    <w:rsid w:val="00450FB6"/>
    <w:rsid w:val="00457B3D"/>
    <w:rsid w:val="004948A8"/>
    <w:rsid w:val="00495466"/>
    <w:rsid w:val="004B669F"/>
    <w:rsid w:val="00534749"/>
    <w:rsid w:val="00565AAA"/>
    <w:rsid w:val="00594B60"/>
    <w:rsid w:val="005E7F5F"/>
    <w:rsid w:val="005F5D4E"/>
    <w:rsid w:val="006254AE"/>
    <w:rsid w:val="00641371"/>
    <w:rsid w:val="0066192F"/>
    <w:rsid w:val="006860AB"/>
    <w:rsid w:val="006F1333"/>
    <w:rsid w:val="007334D0"/>
    <w:rsid w:val="0076705B"/>
    <w:rsid w:val="007C62FD"/>
    <w:rsid w:val="008053DA"/>
    <w:rsid w:val="00807B46"/>
    <w:rsid w:val="00890210"/>
    <w:rsid w:val="008943B4"/>
    <w:rsid w:val="0089529A"/>
    <w:rsid w:val="008A7BA4"/>
    <w:rsid w:val="008F08A3"/>
    <w:rsid w:val="009628EF"/>
    <w:rsid w:val="00996BE8"/>
    <w:rsid w:val="009D1D65"/>
    <w:rsid w:val="009D46A0"/>
    <w:rsid w:val="009F09A4"/>
    <w:rsid w:val="00A4013A"/>
    <w:rsid w:val="00A5025A"/>
    <w:rsid w:val="00AB295D"/>
    <w:rsid w:val="00AB5009"/>
    <w:rsid w:val="00AB6BE6"/>
    <w:rsid w:val="00AF5D38"/>
    <w:rsid w:val="00B417E1"/>
    <w:rsid w:val="00BB6A29"/>
    <w:rsid w:val="00BD0445"/>
    <w:rsid w:val="00BD25A2"/>
    <w:rsid w:val="00C34525"/>
    <w:rsid w:val="00C36F5D"/>
    <w:rsid w:val="00C400F8"/>
    <w:rsid w:val="00C45A1E"/>
    <w:rsid w:val="00C7124E"/>
    <w:rsid w:val="00CC7513"/>
    <w:rsid w:val="00CF79DD"/>
    <w:rsid w:val="00D52F09"/>
    <w:rsid w:val="00DB18F6"/>
    <w:rsid w:val="00DB71C0"/>
    <w:rsid w:val="00DD21C8"/>
    <w:rsid w:val="00E71617"/>
    <w:rsid w:val="00F018F3"/>
    <w:rsid w:val="00F03510"/>
    <w:rsid w:val="00F1386E"/>
    <w:rsid w:val="00F31818"/>
    <w:rsid w:val="00F333A6"/>
    <w:rsid w:val="00F35EE2"/>
    <w:rsid w:val="00F80F97"/>
    <w:rsid w:val="00F86037"/>
    <w:rsid w:val="00F96C66"/>
    <w:rsid w:val="00FB0B76"/>
    <w:rsid w:val="00FE3502"/>
    <w:rsid w:val="0262EE29"/>
    <w:rsid w:val="03F1B85D"/>
    <w:rsid w:val="043F1574"/>
    <w:rsid w:val="04DF1DF9"/>
    <w:rsid w:val="0501A151"/>
    <w:rsid w:val="061D8548"/>
    <w:rsid w:val="06CADD53"/>
    <w:rsid w:val="06E9024A"/>
    <w:rsid w:val="098756FE"/>
    <w:rsid w:val="0A8917D5"/>
    <w:rsid w:val="0B59D0BF"/>
    <w:rsid w:val="0B8D88C2"/>
    <w:rsid w:val="0CB7A82C"/>
    <w:rsid w:val="0D110875"/>
    <w:rsid w:val="0D5F392D"/>
    <w:rsid w:val="0E6C42EF"/>
    <w:rsid w:val="113403D4"/>
    <w:rsid w:val="13079DB2"/>
    <w:rsid w:val="14C7BC61"/>
    <w:rsid w:val="158AEA57"/>
    <w:rsid w:val="16097023"/>
    <w:rsid w:val="165278A3"/>
    <w:rsid w:val="16E68079"/>
    <w:rsid w:val="179F593E"/>
    <w:rsid w:val="17C9F4AB"/>
    <w:rsid w:val="1B0FD109"/>
    <w:rsid w:val="1B6A79C7"/>
    <w:rsid w:val="1BBA3900"/>
    <w:rsid w:val="1CB409D9"/>
    <w:rsid w:val="1DCB006D"/>
    <w:rsid w:val="1EA8BC79"/>
    <w:rsid w:val="1F0AE0E5"/>
    <w:rsid w:val="2072867B"/>
    <w:rsid w:val="20CE5797"/>
    <w:rsid w:val="20E706AE"/>
    <w:rsid w:val="21DC16A8"/>
    <w:rsid w:val="21EDFEA8"/>
    <w:rsid w:val="22FE6348"/>
    <w:rsid w:val="2327EC1D"/>
    <w:rsid w:val="23DB77E3"/>
    <w:rsid w:val="24C5AB2D"/>
    <w:rsid w:val="24F49870"/>
    <w:rsid w:val="258AFA8D"/>
    <w:rsid w:val="25DF8370"/>
    <w:rsid w:val="2607C227"/>
    <w:rsid w:val="291F9CBC"/>
    <w:rsid w:val="2A08665B"/>
    <w:rsid w:val="2A1B9803"/>
    <w:rsid w:val="2A83913D"/>
    <w:rsid w:val="2AE5FA04"/>
    <w:rsid w:val="2C69E2D5"/>
    <w:rsid w:val="2C72EF96"/>
    <w:rsid w:val="2CD48465"/>
    <w:rsid w:val="2F974CC4"/>
    <w:rsid w:val="301458EF"/>
    <w:rsid w:val="301B9C87"/>
    <w:rsid w:val="31D23664"/>
    <w:rsid w:val="3252008F"/>
    <w:rsid w:val="3457529D"/>
    <w:rsid w:val="38BC7B3E"/>
    <w:rsid w:val="38F83199"/>
    <w:rsid w:val="39B9C603"/>
    <w:rsid w:val="3A95E417"/>
    <w:rsid w:val="3C384291"/>
    <w:rsid w:val="3D932C3B"/>
    <w:rsid w:val="3EF48C30"/>
    <w:rsid w:val="3F72D64D"/>
    <w:rsid w:val="40B02FB1"/>
    <w:rsid w:val="4247ADE7"/>
    <w:rsid w:val="436AEFFA"/>
    <w:rsid w:val="43DE892E"/>
    <w:rsid w:val="444428BB"/>
    <w:rsid w:val="446F9211"/>
    <w:rsid w:val="462A7D50"/>
    <w:rsid w:val="4665CFDA"/>
    <w:rsid w:val="46BBD969"/>
    <w:rsid w:val="489CF49C"/>
    <w:rsid w:val="4938E022"/>
    <w:rsid w:val="4A0182CD"/>
    <w:rsid w:val="4A17725D"/>
    <w:rsid w:val="4A691A44"/>
    <w:rsid w:val="4BEAD99A"/>
    <w:rsid w:val="4CC408D2"/>
    <w:rsid w:val="4DA34BE7"/>
    <w:rsid w:val="4FC254FD"/>
    <w:rsid w:val="5068CD42"/>
    <w:rsid w:val="508D5793"/>
    <w:rsid w:val="50C623D7"/>
    <w:rsid w:val="532DA62D"/>
    <w:rsid w:val="54B5F25A"/>
    <w:rsid w:val="573EB2AA"/>
    <w:rsid w:val="57C0C2E3"/>
    <w:rsid w:val="57EDA17A"/>
    <w:rsid w:val="5A2260B0"/>
    <w:rsid w:val="5A4A8355"/>
    <w:rsid w:val="5A60B5A6"/>
    <w:rsid w:val="5A6766B0"/>
    <w:rsid w:val="5A8060E8"/>
    <w:rsid w:val="5CEEB899"/>
    <w:rsid w:val="5D621E70"/>
    <w:rsid w:val="5D851050"/>
    <w:rsid w:val="5ECDA0F5"/>
    <w:rsid w:val="5F4017EC"/>
    <w:rsid w:val="5FB44D11"/>
    <w:rsid w:val="639F6A87"/>
    <w:rsid w:val="64A9A420"/>
    <w:rsid w:val="67AD6A27"/>
    <w:rsid w:val="69323D35"/>
    <w:rsid w:val="69B740AA"/>
    <w:rsid w:val="6B69BC97"/>
    <w:rsid w:val="6BA4309E"/>
    <w:rsid w:val="6BC954C2"/>
    <w:rsid w:val="6C62D6B3"/>
    <w:rsid w:val="6D4000FF"/>
    <w:rsid w:val="6DA468D9"/>
    <w:rsid w:val="6E014E18"/>
    <w:rsid w:val="7016B651"/>
    <w:rsid w:val="70BC4392"/>
    <w:rsid w:val="70E24FAB"/>
    <w:rsid w:val="70E94A54"/>
    <w:rsid w:val="7161303C"/>
    <w:rsid w:val="724DD2EE"/>
    <w:rsid w:val="730830C1"/>
    <w:rsid w:val="73180356"/>
    <w:rsid w:val="750DFED3"/>
    <w:rsid w:val="755CF5B3"/>
    <w:rsid w:val="76BADF91"/>
    <w:rsid w:val="7995E565"/>
    <w:rsid w:val="7BC80534"/>
    <w:rsid w:val="7CA39A1F"/>
    <w:rsid w:val="7D78234F"/>
    <w:rsid w:val="7EE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04A9"/>
  <w15:chartTrackingRefBased/>
  <w15:docId w15:val="{1F625B46-99AF-4327-BF3B-DC4B7337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2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6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06A6"/>
  </w:style>
  <w:style w:type="character" w:customStyle="1" w:styleId="eop">
    <w:name w:val="eop"/>
    <w:basedOn w:val="DefaultParagraphFont"/>
    <w:rsid w:val="001606A6"/>
  </w:style>
  <w:style w:type="paragraph" w:customStyle="1" w:styleId="DfESOutNumbered">
    <w:name w:val="DfESOutNumbered"/>
    <w:basedOn w:val="Normal"/>
    <w:link w:val="DfESOutNumberedChar"/>
    <w:rsid w:val="001562FC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1562F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1562F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1562FC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7B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7B4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conomicmodellin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A621E52211844BBC69DE0B9A2AF4C" ma:contentTypeVersion="13" ma:contentTypeDescription="Create a new document." ma:contentTypeScope="" ma:versionID="b4e1f05e011f376b8fba6dbfd14c5d59">
  <xsd:schema xmlns:xsd="http://www.w3.org/2001/XMLSchema" xmlns:xs="http://www.w3.org/2001/XMLSchema" xmlns:p="http://schemas.microsoft.com/office/2006/metadata/properties" xmlns:ns2="9292b02f-a7d3-4911-ac0f-c1e8d55226cc" xmlns:ns3="718a6dfd-5534-47c2-8b1f-36fc927130f5" targetNamespace="http://schemas.microsoft.com/office/2006/metadata/properties" ma:root="true" ma:fieldsID="2e4cb372ff80396374ad92407c672b07" ns2:_="" ns3:_="">
    <xsd:import namespace="9292b02f-a7d3-4911-ac0f-c1e8d55226cc"/>
    <xsd:import namespace="718a6dfd-5534-47c2-8b1f-36fc92713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2b02f-a7d3-4911-ac0f-c1e8d5522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a6dfd-5534-47c2-8b1f-36fc92713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18a6dfd-5534-47c2-8b1f-36fc927130f5" xsi:nil="true"/>
    <SharedWithUsers xmlns="9292b02f-a7d3-4911-ac0f-c1e8d55226cc">
      <UserInfo>
        <DisplayName>LAMASSON, Elodie</DisplayName>
        <AccountId>310</AccountId>
        <AccountType/>
      </UserInfo>
      <UserInfo>
        <DisplayName>GHEZELAYAGH, Shadi</DisplayName>
        <AccountId>544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332F47-7219-469C-836D-DCB47776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2b02f-a7d3-4911-ac0f-c1e8d55226cc"/>
    <ds:schemaRef ds:uri="718a6dfd-5534-47c2-8b1f-36fc9271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64A6-D5B6-4BAE-8B35-23343D1F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393AB-3A2C-4770-AD57-C28E431E885A}">
  <ds:schemaRefs>
    <ds:schemaRef ds:uri="http://schemas.microsoft.com/office/2006/metadata/properties"/>
    <ds:schemaRef ds:uri="http://schemas.microsoft.com/office/infopath/2007/PartnerControls"/>
    <ds:schemaRef ds:uri="718a6dfd-5534-47c2-8b1f-36fc927130f5"/>
    <ds:schemaRef ds:uri="9292b02f-a7d3-4911-ac0f-c1e8d5522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LANSLEY, Chris</dc:creator>
  <cp:keywords/>
  <dc:description/>
  <cp:lastModifiedBy>Broad, John (Corporate)</cp:lastModifiedBy>
  <cp:revision>2</cp:revision>
  <dcterms:created xsi:type="dcterms:W3CDTF">2021-07-01T08:36:00Z</dcterms:created>
  <dcterms:modified xsi:type="dcterms:W3CDTF">2021-07-01T08:36:00Z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0x010100FD2A621E52211844BBC69DE0B9A2AF4C</vt:lpwstr>
  </property>
</Properties>
</file>