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34F7" w14:textId="5986413D" w:rsidR="00AF50EB" w:rsidRPr="002B33DA" w:rsidRDefault="00AF50EB" w:rsidP="00AF50EB">
      <w:pPr>
        <w:jc w:val="center"/>
        <w:rPr>
          <w:rFonts w:ascii="Arial" w:hAnsi="Arial" w:cs="Arial"/>
          <w:b/>
          <w:bCs/>
          <w:sz w:val="24"/>
          <w:szCs w:val="24"/>
        </w:rPr>
      </w:pPr>
      <w:r w:rsidRPr="002B33DA">
        <w:rPr>
          <w:rFonts w:ascii="Arial" w:hAnsi="Arial" w:cs="Arial"/>
          <w:b/>
          <w:bCs/>
          <w:sz w:val="24"/>
          <w:szCs w:val="24"/>
        </w:rPr>
        <w:t>Strategic Programme Management Group</w:t>
      </w:r>
    </w:p>
    <w:p w14:paraId="6BA2CFCE" w14:textId="7DB4D353" w:rsidR="00AF50EB" w:rsidRPr="002B33DA" w:rsidRDefault="00844FC1" w:rsidP="00AF50EB">
      <w:pPr>
        <w:jc w:val="center"/>
        <w:rPr>
          <w:rFonts w:ascii="Arial" w:hAnsi="Arial" w:cs="Arial"/>
          <w:b/>
          <w:bCs/>
          <w:sz w:val="24"/>
          <w:szCs w:val="24"/>
        </w:rPr>
      </w:pPr>
      <w:r>
        <w:rPr>
          <w:rFonts w:ascii="Arial" w:hAnsi="Arial" w:cs="Arial"/>
          <w:b/>
          <w:bCs/>
          <w:sz w:val="24"/>
          <w:szCs w:val="24"/>
        </w:rPr>
        <w:t>28th</w:t>
      </w:r>
      <w:r w:rsidR="00741BF5">
        <w:rPr>
          <w:rFonts w:ascii="Arial" w:hAnsi="Arial" w:cs="Arial"/>
          <w:b/>
          <w:bCs/>
          <w:sz w:val="24"/>
          <w:szCs w:val="24"/>
          <w:vertAlign w:val="superscript"/>
        </w:rPr>
        <w:t xml:space="preserve"> </w:t>
      </w:r>
      <w:r w:rsidR="00741BF5">
        <w:rPr>
          <w:rFonts w:ascii="Arial" w:hAnsi="Arial" w:cs="Arial"/>
          <w:b/>
          <w:bCs/>
          <w:sz w:val="24"/>
          <w:szCs w:val="24"/>
        </w:rPr>
        <w:t>May</w:t>
      </w:r>
      <w:r w:rsidR="00AF50EB" w:rsidRPr="002B33DA">
        <w:rPr>
          <w:rFonts w:ascii="Arial" w:hAnsi="Arial" w:cs="Arial"/>
          <w:b/>
          <w:bCs/>
          <w:sz w:val="24"/>
          <w:szCs w:val="24"/>
        </w:rPr>
        <w:t xml:space="preserve"> 202</w:t>
      </w:r>
      <w:r w:rsidR="007F1A57">
        <w:rPr>
          <w:rFonts w:ascii="Arial" w:hAnsi="Arial" w:cs="Arial"/>
          <w:b/>
          <w:bCs/>
          <w:sz w:val="24"/>
          <w:szCs w:val="24"/>
        </w:rPr>
        <w:t>1</w:t>
      </w:r>
    </w:p>
    <w:p w14:paraId="2D265AB8" w14:textId="13B19515" w:rsidR="00741BF5" w:rsidRPr="00741BF5" w:rsidRDefault="00610C91" w:rsidP="00741BF5">
      <w:pPr>
        <w:jc w:val="center"/>
        <w:rPr>
          <w:rFonts w:ascii="Arial" w:hAnsi="Arial" w:cs="Arial"/>
          <w:b/>
          <w:bCs/>
          <w:sz w:val="24"/>
          <w:szCs w:val="24"/>
        </w:rPr>
      </w:pPr>
      <w:r>
        <w:rPr>
          <w:rFonts w:ascii="Arial" w:hAnsi="Arial" w:cs="Arial"/>
          <w:b/>
          <w:bCs/>
          <w:sz w:val="24"/>
          <w:szCs w:val="24"/>
        </w:rPr>
        <w:t>Local Growth Deal and Getting Building Fund Update</w:t>
      </w:r>
      <w:r w:rsidR="009D58A0">
        <w:rPr>
          <w:rFonts w:ascii="Arial" w:hAnsi="Arial" w:cs="Arial"/>
          <w:b/>
          <w:bCs/>
          <w:sz w:val="24"/>
          <w:szCs w:val="24"/>
        </w:rPr>
        <w:br/>
      </w:r>
    </w:p>
    <w:p w14:paraId="33730AAE" w14:textId="3E0D13B8" w:rsidR="00741BF5" w:rsidRPr="00741BF5" w:rsidRDefault="00741BF5" w:rsidP="00741BF5">
      <w:pPr>
        <w:rPr>
          <w:rFonts w:ascii="Arial" w:hAnsi="Arial" w:cs="Arial"/>
          <w:b/>
          <w:bCs/>
          <w:sz w:val="24"/>
          <w:szCs w:val="24"/>
        </w:rPr>
      </w:pPr>
      <w:r w:rsidRPr="00741BF5">
        <w:rPr>
          <w:rFonts w:ascii="Arial" w:hAnsi="Arial" w:cs="Arial"/>
          <w:b/>
          <w:bCs/>
          <w:sz w:val="24"/>
          <w:szCs w:val="24"/>
        </w:rPr>
        <w:t xml:space="preserve">Final </w:t>
      </w:r>
      <w:r w:rsidR="00610C91">
        <w:rPr>
          <w:rFonts w:ascii="Arial" w:hAnsi="Arial" w:cs="Arial"/>
          <w:b/>
          <w:bCs/>
          <w:sz w:val="24"/>
          <w:szCs w:val="24"/>
        </w:rPr>
        <w:t>Local Growth Deal Position</w:t>
      </w:r>
    </w:p>
    <w:p w14:paraId="736EC110" w14:textId="726B18EC" w:rsidR="00741BF5" w:rsidRDefault="00610C91" w:rsidP="00741BF5">
      <w:pPr>
        <w:pStyle w:val="ListParagraph"/>
        <w:numPr>
          <w:ilvl w:val="0"/>
          <w:numId w:val="17"/>
        </w:numPr>
        <w:ind w:left="0" w:hanging="567"/>
        <w:rPr>
          <w:rFonts w:ascii="Arial" w:hAnsi="Arial" w:cs="Arial"/>
          <w:bCs/>
          <w:sz w:val="24"/>
          <w:szCs w:val="24"/>
        </w:rPr>
      </w:pPr>
      <w:r>
        <w:rPr>
          <w:rFonts w:ascii="Arial" w:hAnsi="Arial" w:cs="Arial"/>
          <w:bCs/>
          <w:sz w:val="24"/>
          <w:szCs w:val="24"/>
        </w:rPr>
        <w:t>SSLEP received £98m of Local Deal Grant over the period 20</w:t>
      </w:r>
      <w:r w:rsidR="00815024">
        <w:rPr>
          <w:rFonts w:ascii="Arial" w:hAnsi="Arial" w:cs="Arial"/>
          <w:bCs/>
          <w:sz w:val="24"/>
          <w:szCs w:val="24"/>
        </w:rPr>
        <w:t>1</w:t>
      </w:r>
      <w:r w:rsidR="00C870F6">
        <w:rPr>
          <w:rFonts w:ascii="Arial" w:hAnsi="Arial" w:cs="Arial"/>
          <w:bCs/>
          <w:sz w:val="24"/>
          <w:szCs w:val="24"/>
        </w:rPr>
        <w:t>4/15</w:t>
      </w:r>
      <w:r>
        <w:rPr>
          <w:rFonts w:ascii="Arial" w:hAnsi="Arial" w:cs="Arial"/>
          <w:bCs/>
          <w:sz w:val="24"/>
          <w:szCs w:val="24"/>
        </w:rPr>
        <w:t xml:space="preserve"> to 20</w:t>
      </w:r>
      <w:r w:rsidR="00C870F6">
        <w:rPr>
          <w:rFonts w:ascii="Arial" w:hAnsi="Arial" w:cs="Arial"/>
          <w:bCs/>
          <w:sz w:val="24"/>
          <w:szCs w:val="24"/>
        </w:rPr>
        <w:t>20/</w:t>
      </w:r>
      <w:r>
        <w:rPr>
          <w:rFonts w:ascii="Arial" w:hAnsi="Arial" w:cs="Arial"/>
          <w:bCs/>
          <w:sz w:val="24"/>
          <w:szCs w:val="24"/>
        </w:rPr>
        <w:t xml:space="preserve">21, with a target of ensuring </w:t>
      </w:r>
      <w:r w:rsidR="00D41086">
        <w:rPr>
          <w:rFonts w:ascii="Arial" w:hAnsi="Arial" w:cs="Arial"/>
          <w:bCs/>
          <w:sz w:val="24"/>
          <w:szCs w:val="24"/>
        </w:rPr>
        <w:t xml:space="preserve">that all </w:t>
      </w:r>
      <w:r>
        <w:rPr>
          <w:rFonts w:ascii="Arial" w:hAnsi="Arial" w:cs="Arial"/>
          <w:bCs/>
          <w:sz w:val="24"/>
          <w:szCs w:val="24"/>
        </w:rPr>
        <w:t>the grant was spent by 31 March 2021. It is positive to report that all LGD grant has been spent on approved LGD schemes, and that the final returns to BEIS will reflect this position.</w:t>
      </w:r>
      <w:r w:rsidR="00741BF5">
        <w:rPr>
          <w:rFonts w:ascii="Arial" w:hAnsi="Arial" w:cs="Arial"/>
          <w:bCs/>
          <w:sz w:val="24"/>
          <w:szCs w:val="24"/>
        </w:rPr>
        <w:t xml:space="preserve"> </w:t>
      </w:r>
      <w:r>
        <w:rPr>
          <w:rFonts w:ascii="Arial" w:hAnsi="Arial" w:cs="Arial"/>
          <w:bCs/>
          <w:sz w:val="24"/>
          <w:szCs w:val="24"/>
        </w:rPr>
        <w:t>The final outturn position for 20/21 is shown in Appendix 1</w:t>
      </w:r>
      <w:r w:rsidR="00503A20">
        <w:rPr>
          <w:rFonts w:ascii="Arial" w:hAnsi="Arial" w:cs="Arial"/>
          <w:bCs/>
          <w:sz w:val="24"/>
          <w:szCs w:val="24"/>
        </w:rPr>
        <w:t>.</w:t>
      </w:r>
      <w:r w:rsidR="00741BF5">
        <w:rPr>
          <w:rFonts w:ascii="Arial" w:hAnsi="Arial" w:cs="Arial"/>
          <w:bCs/>
          <w:sz w:val="24"/>
          <w:szCs w:val="24"/>
        </w:rPr>
        <w:t xml:space="preserve"> </w:t>
      </w:r>
      <w:r w:rsidR="00260DE7">
        <w:rPr>
          <w:rFonts w:ascii="Arial" w:hAnsi="Arial" w:cs="Arial"/>
          <w:bCs/>
          <w:sz w:val="24"/>
          <w:szCs w:val="24"/>
        </w:rPr>
        <w:t>In line with previous discussions and approvals at SPMG, grant has been re-allocated between approved LGD schemes to ensure all grant was spent</w:t>
      </w:r>
      <w:r w:rsidR="00815024">
        <w:rPr>
          <w:rFonts w:ascii="Arial" w:hAnsi="Arial" w:cs="Arial"/>
          <w:bCs/>
          <w:sz w:val="24"/>
          <w:szCs w:val="24"/>
        </w:rPr>
        <w:t xml:space="preserve"> </w:t>
      </w:r>
      <w:r w:rsidR="00C870F6">
        <w:rPr>
          <w:rFonts w:ascii="Arial" w:hAnsi="Arial" w:cs="Arial"/>
          <w:bCs/>
          <w:sz w:val="24"/>
          <w:szCs w:val="24"/>
        </w:rPr>
        <w:t xml:space="preserve">by the deadline, </w:t>
      </w:r>
      <w:r w:rsidR="00815024">
        <w:rPr>
          <w:rFonts w:ascii="Arial" w:hAnsi="Arial" w:cs="Arial"/>
          <w:bCs/>
          <w:sz w:val="24"/>
          <w:szCs w:val="24"/>
        </w:rPr>
        <w:t xml:space="preserve">and to subsequently </w:t>
      </w:r>
      <w:r w:rsidR="00C870F6">
        <w:rPr>
          <w:rFonts w:ascii="Arial" w:hAnsi="Arial" w:cs="Arial"/>
          <w:bCs/>
          <w:sz w:val="24"/>
          <w:szCs w:val="24"/>
        </w:rPr>
        <w:t xml:space="preserve">allow the </w:t>
      </w:r>
      <w:r w:rsidR="00815024">
        <w:rPr>
          <w:rFonts w:ascii="Arial" w:hAnsi="Arial" w:cs="Arial"/>
          <w:bCs/>
          <w:sz w:val="24"/>
          <w:szCs w:val="24"/>
        </w:rPr>
        <w:t>re-cycl</w:t>
      </w:r>
      <w:r w:rsidR="00C870F6">
        <w:rPr>
          <w:rFonts w:ascii="Arial" w:hAnsi="Arial" w:cs="Arial"/>
          <w:bCs/>
          <w:sz w:val="24"/>
          <w:szCs w:val="24"/>
        </w:rPr>
        <w:t xml:space="preserve">ing of </w:t>
      </w:r>
      <w:r w:rsidR="00815024">
        <w:rPr>
          <w:rFonts w:ascii="Arial" w:hAnsi="Arial" w:cs="Arial"/>
          <w:bCs/>
          <w:sz w:val="24"/>
          <w:szCs w:val="24"/>
        </w:rPr>
        <w:t>other funding sources for use beyond 31 March 2021</w:t>
      </w:r>
      <w:r w:rsidR="00C870F6">
        <w:rPr>
          <w:rFonts w:ascii="Arial" w:hAnsi="Arial" w:cs="Arial"/>
          <w:bCs/>
          <w:sz w:val="24"/>
          <w:szCs w:val="24"/>
        </w:rPr>
        <w:t>.</w:t>
      </w:r>
    </w:p>
    <w:p w14:paraId="11A806CE" w14:textId="7619C40E" w:rsidR="00D60C75" w:rsidRDefault="00D60C75" w:rsidP="00D60C75">
      <w:pPr>
        <w:pStyle w:val="ListParagraph"/>
        <w:ind w:left="0"/>
        <w:rPr>
          <w:rFonts w:ascii="Arial" w:hAnsi="Arial" w:cs="Arial"/>
          <w:bCs/>
          <w:sz w:val="24"/>
          <w:szCs w:val="24"/>
        </w:rPr>
      </w:pPr>
    </w:p>
    <w:p w14:paraId="55834844" w14:textId="7400F234" w:rsidR="00D60C75" w:rsidRDefault="00D60C75" w:rsidP="00D60C75">
      <w:pPr>
        <w:pStyle w:val="ListParagraph"/>
        <w:ind w:left="0"/>
        <w:rPr>
          <w:rFonts w:ascii="Arial" w:hAnsi="Arial" w:cs="Arial"/>
          <w:bCs/>
          <w:sz w:val="24"/>
          <w:szCs w:val="24"/>
        </w:rPr>
      </w:pPr>
      <w:r>
        <w:rPr>
          <w:rFonts w:ascii="Arial" w:hAnsi="Arial" w:cs="Arial"/>
          <w:bCs/>
          <w:sz w:val="24"/>
          <w:szCs w:val="24"/>
        </w:rPr>
        <w:t xml:space="preserve">A further Local Growth Deal Grant was received via the </w:t>
      </w:r>
      <w:proofErr w:type="spellStart"/>
      <w:r>
        <w:rPr>
          <w:rFonts w:ascii="Arial" w:hAnsi="Arial" w:cs="Arial"/>
          <w:bCs/>
          <w:sz w:val="24"/>
          <w:szCs w:val="24"/>
        </w:rPr>
        <w:t>DfT</w:t>
      </w:r>
      <w:proofErr w:type="spellEnd"/>
      <w:r>
        <w:rPr>
          <w:rFonts w:ascii="Arial" w:hAnsi="Arial" w:cs="Arial"/>
          <w:bCs/>
          <w:sz w:val="24"/>
          <w:szCs w:val="24"/>
        </w:rPr>
        <w:t xml:space="preserve"> for the Etruria Valley Ring Road (£18.5m). Spend in 20/21 against this grant was £4.759m, leaving a balance of £13.741m which will be carried forward to meet costs in future years. </w:t>
      </w:r>
    </w:p>
    <w:p w14:paraId="6B7500D8" w14:textId="77777777" w:rsidR="00741BF5" w:rsidRDefault="00741BF5" w:rsidP="00741BF5">
      <w:pPr>
        <w:pStyle w:val="ListParagraph"/>
        <w:ind w:left="0"/>
        <w:rPr>
          <w:rFonts w:ascii="Arial" w:hAnsi="Arial" w:cs="Arial"/>
          <w:bCs/>
          <w:sz w:val="24"/>
          <w:szCs w:val="24"/>
        </w:rPr>
      </w:pPr>
    </w:p>
    <w:p w14:paraId="747C7C76" w14:textId="47C1D73D" w:rsidR="00F70BD1" w:rsidRDefault="00F70BD1" w:rsidP="00741BF5">
      <w:pPr>
        <w:pStyle w:val="ListParagraph"/>
        <w:numPr>
          <w:ilvl w:val="0"/>
          <w:numId w:val="17"/>
        </w:numPr>
        <w:ind w:left="0" w:hanging="567"/>
        <w:rPr>
          <w:rFonts w:ascii="Arial" w:hAnsi="Arial" w:cs="Arial"/>
          <w:bCs/>
          <w:sz w:val="24"/>
          <w:szCs w:val="24"/>
        </w:rPr>
      </w:pPr>
      <w:r w:rsidRPr="00F70BD1">
        <w:rPr>
          <w:rFonts w:ascii="Arial" w:hAnsi="Arial" w:cs="Arial"/>
          <w:bCs/>
          <w:i/>
          <w:iCs/>
          <w:sz w:val="24"/>
          <w:szCs w:val="24"/>
        </w:rPr>
        <w:t>City East Link Road</w:t>
      </w:r>
      <w:r>
        <w:rPr>
          <w:rFonts w:ascii="Arial" w:hAnsi="Arial" w:cs="Arial"/>
          <w:bCs/>
          <w:sz w:val="24"/>
          <w:szCs w:val="24"/>
        </w:rPr>
        <w:t xml:space="preserve"> (CELR) - </w:t>
      </w:r>
      <w:r w:rsidR="00260DE7">
        <w:rPr>
          <w:rFonts w:ascii="Arial" w:hAnsi="Arial" w:cs="Arial"/>
          <w:bCs/>
          <w:sz w:val="24"/>
          <w:szCs w:val="24"/>
        </w:rPr>
        <w:t xml:space="preserve">The City East Link Road scheme underspent it’s </w:t>
      </w:r>
      <w:r>
        <w:rPr>
          <w:rFonts w:ascii="Arial" w:hAnsi="Arial" w:cs="Arial"/>
          <w:bCs/>
          <w:sz w:val="24"/>
          <w:szCs w:val="24"/>
        </w:rPr>
        <w:t xml:space="preserve">revised </w:t>
      </w:r>
      <w:r w:rsidR="00260DE7">
        <w:rPr>
          <w:rFonts w:ascii="Arial" w:hAnsi="Arial" w:cs="Arial"/>
          <w:bCs/>
          <w:sz w:val="24"/>
          <w:szCs w:val="24"/>
        </w:rPr>
        <w:t xml:space="preserve">profiled spend </w:t>
      </w:r>
      <w:r w:rsidR="00815024">
        <w:rPr>
          <w:rFonts w:ascii="Arial" w:hAnsi="Arial" w:cs="Arial"/>
          <w:bCs/>
          <w:sz w:val="24"/>
          <w:szCs w:val="24"/>
        </w:rPr>
        <w:t>in 20/21</w:t>
      </w:r>
      <w:r w:rsidR="00025A8B">
        <w:rPr>
          <w:rFonts w:ascii="Arial" w:hAnsi="Arial" w:cs="Arial"/>
          <w:bCs/>
          <w:sz w:val="24"/>
          <w:szCs w:val="24"/>
        </w:rPr>
        <w:t xml:space="preserve"> </w:t>
      </w:r>
      <w:r w:rsidR="00260DE7">
        <w:rPr>
          <w:rFonts w:ascii="Arial" w:hAnsi="Arial" w:cs="Arial"/>
          <w:bCs/>
          <w:sz w:val="24"/>
          <w:szCs w:val="24"/>
        </w:rPr>
        <w:t>by</w:t>
      </w:r>
      <w:r w:rsidR="00D60C75">
        <w:rPr>
          <w:rFonts w:ascii="Arial" w:hAnsi="Arial" w:cs="Arial"/>
          <w:bCs/>
          <w:sz w:val="24"/>
          <w:szCs w:val="24"/>
        </w:rPr>
        <w:t xml:space="preserve"> a further</w:t>
      </w:r>
      <w:r w:rsidR="00260DE7">
        <w:rPr>
          <w:rFonts w:ascii="Arial" w:hAnsi="Arial" w:cs="Arial"/>
          <w:bCs/>
          <w:sz w:val="24"/>
          <w:szCs w:val="24"/>
        </w:rPr>
        <w:t xml:space="preserve"> £</w:t>
      </w:r>
      <w:r w:rsidR="00025A8B">
        <w:rPr>
          <w:rFonts w:ascii="Arial" w:hAnsi="Arial" w:cs="Arial"/>
          <w:bCs/>
          <w:sz w:val="24"/>
          <w:szCs w:val="24"/>
        </w:rPr>
        <w:t>1.4</w:t>
      </w:r>
      <w:r w:rsidR="00D60C75">
        <w:rPr>
          <w:rFonts w:ascii="Arial" w:hAnsi="Arial" w:cs="Arial"/>
          <w:bCs/>
          <w:sz w:val="24"/>
          <w:szCs w:val="24"/>
        </w:rPr>
        <w:t>28</w:t>
      </w:r>
      <w:r w:rsidR="00260DE7">
        <w:rPr>
          <w:rFonts w:ascii="Arial" w:hAnsi="Arial" w:cs="Arial"/>
          <w:bCs/>
          <w:sz w:val="24"/>
          <w:szCs w:val="24"/>
        </w:rPr>
        <w:t>m</w:t>
      </w:r>
      <w:r w:rsidR="00025A8B">
        <w:rPr>
          <w:rFonts w:ascii="Arial" w:hAnsi="Arial" w:cs="Arial"/>
          <w:bCs/>
          <w:sz w:val="24"/>
          <w:szCs w:val="24"/>
        </w:rPr>
        <w:t>.</w:t>
      </w:r>
      <w:r>
        <w:rPr>
          <w:rFonts w:ascii="Arial" w:hAnsi="Arial" w:cs="Arial"/>
          <w:bCs/>
          <w:sz w:val="24"/>
          <w:szCs w:val="24"/>
        </w:rPr>
        <w:t xml:space="preserve"> The key reasons for the slippage on this project are set out </w:t>
      </w:r>
      <w:proofErr w:type="gramStart"/>
      <w:r>
        <w:rPr>
          <w:rFonts w:ascii="Arial" w:hAnsi="Arial" w:cs="Arial"/>
          <w:bCs/>
          <w:sz w:val="24"/>
          <w:szCs w:val="24"/>
        </w:rPr>
        <w:t>below:-</w:t>
      </w:r>
      <w:proofErr w:type="gramEnd"/>
    </w:p>
    <w:p w14:paraId="503099F1" w14:textId="77777777" w:rsidR="00F70BD1" w:rsidRPr="00F70BD1" w:rsidRDefault="00F70BD1" w:rsidP="00F70BD1">
      <w:pPr>
        <w:pStyle w:val="ListParagraph"/>
        <w:rPr>
          <w:rFonts w:ascii="Arial" w:hAnsi="Arial" w:cs="Arial"/>
          <w:bCs/>
          <w:sz w:val="24"/>
          <w:szCs w:val="24"/>
        </w:rPr>
      </w:pPr>
    </w:p>
    <w:p w14:paraId="0140EC8C" w14:textId="77777777" w:rsidR="00F70BD1" w:rsidRPr="00C870F6" w:rsidRDefault="00F70BD1" w:rsidP="00F70BD1">
      <w:pPr>
        <w:pStyle w:val="ListParagraph"/>
        <w:numPr>
          <w:ilvl w:val="0"/>
          <w:numId w:val="24"/>
        </w:numPr>
        <w:rPr>
          <w:rFonts w:ascii="Arial" w:hAnsi="Arial" w:cs="Arial"/>
          <w:sz w:val="24"/>
          <w:szCs w:val="24"/>
        </w:rPr>
      </w:pPr>
      <w:r w:rsidRPr="00380209">
        <w:rPr>
          <w:rFonts w:ascii="Arial" w:hAnsi="Arial" w:cs="Arial"/>
          <w:b/>
          <w:sz w:val="24"/>
          <w:szCs w:val="24"/>
        </w:rPr>
        <w:t>Long Utility Lead in times</w:t>
      </w:r>
      <w:r w:rsidRPr="00380209">
        <w:rPr>
          <w:rFonts w:ascii="Arial" w:hAnsi="Arial" w:cs="Arial"/>
          <w:sz w:val="24"/>
          <w:szCs w:val="24"/>
        </w:rPr>
        <w:t xml:space="preserve">.  Utility Companies were advising of significantly extended lead in times due to the impact on their workforce of Covid. This was mitigated as far as possible by our contractor undertaking some of the Utility works. This was an </w:t>
      </w:r>
      <w:r w:rsidRPr="00C870F6">
        <w:rPr>
          <w:rFonts w:ascii="Arial" w:hAnsi="Arial" w:cs="Arial"/>
          <w:sz w:val="24"/>
          <w:szCs w:val="24"/>
        </w:rPr>
        <w:t xml:space="preserve">uncontrollable risk. </w:t>
      </w:r>
    </w:p>
    <w:p w14:paraId="32BF555B" w14:textId="77777777" w:rsidR="00F70BD1" w:rsidRPr="00380209" w:rsidRDefault="00F70BD1" w:rsidP="00F70BD1">
      <w:pPr>
        <w:pStyle w:val="ListParagraph"/>
        <w:numPr>
          <w:ilvl w:val="0"/>
          <w:numId w:val="24"/>
        </w:numPr>
        <w:rPr>
          <w:rFonts w:ascii="Arial" w:hAnsi="Arial" w:cs="Arial"/>
          <w:sz w:val="24"/>
          <w:szCs w:val="24"/>
        </w:rPr>
      </w:pPr>
      <w:r w:rsidRPr="00C870F6">
        <w:rPr>
          <w:rFonts w:ascii="Arial" w:hAnsi="Arial" w:cs="Arial"/>
          <w:b/>
          <w:sz w:val="24"/>
          <w:szCs w:val="24"/>
        </w:rPr>
        <w:t>Covid 19.</w:t>
      </w:r>
      <w:r w:rsidRPr="00C870F6">
        <w:rPr>
          <w:rFonts w:ascii="Arial" w:hAnsi="Arial" w:cs="Arial"/>
          <w:sz w:val="24"/>
          <w:szCs w:val="24"/>
        </w:rPr>
        <w:t xml:space="preserve">  The pandemic had a material</w:t>
      </w:r>
      <w:r w:rsidRPr="00380209">
        <w:rPr>
          <w:rFonts w:ascii="Arial" w:hAnsi="Arial" w:cs="Arial"/>
          <w:sz w:val="24"/>
          <w:szCs w:val="24"/>
        </w:rPr>
        <w:t xml:space="preserve"> impact on our contractor / sub-contractor supply chains, affecting the availability of materials / resources and efficiency of working.</w:t>
      </w:r>
    </w:p>
    <w:p w14:paraId="713A5B20" w14:textId="77777777" w:rsidR="00F70BD1" w:rsidRPr="00380209" w:rsidRDefault="00F70BD1" w:rsidP="00F70BD1">
      <w:pPr>
        <w:pStyle w:val="ListParagraph"/>
        <w:numPr>
          <w:ilvl w:val="0"/>
          <w:numId w:val="24"/>
        </w:numPr>
        <w:rPr>
          <w:rFonts w:ascii="Arial" w:hAnsi="Arial" w:cs="Arial"/>
          <w:sz w:val="24"/>
          <w:szCs w:val="24"/>
        </w:rPr>
      </w:pPr>
      <w:r w:rsidRPr="00380209">
        <w:rPr>
          <w:rFonts w:ascii="Arial" w:hAnsi="Arial" w:cs="Arial"/>
          <w:b/>
          <w:sz w:val="24"/>
          <w:szCs w:val="24"/>
        </w:rPr>
        <w:t xml:space="preserve">Unrecorded shallow </w:t>
      </w:r>
      <w:proofErr w:type="spellStart"/>
      <w:r w:rsidRPr="00380209">
        <w:rPr>
          <w:rFonts w:ascii="Arial" w:hAnsi="Arial" w:cs="Arial"/>
          <w:b/>
          <w:sz w:val="24"/>
          <w:szCs w:val="24"/>
        </w:rPr>
        <w:t>mineworkings</w:t>
      </w:r>
      <w:proofErr w:type="spellEnd"/>
      <w:r w:rsidRPr="00380209">
        <w:rPr>
          <w:rFonts w:ascii="Arial" w:hAnsi="Arial" w:cs="Arial"/>
          <w:sz w:val="24"/>
          <w:szCs w:val="24"/>
        </w:rPr>
        <w:t xml:space="preserve"> on Bucknall New Road.  </w:t>
      </w:r>
      <w:r w:rsidRPr="00C870F6">
        <w:rPr>
          <w:rFonts w:ascii="Arial" w:hAnsi="Arial" w:cs="Arial"/>
          <w:sz w:val="24"/>
          <w:szCs w:val="24"/>
        </w:rPr>
        <w:t>This unforeseen and uncontrollable risk caused delays associated with s</w:t>
      </w:r>
      <w:r w:rsidRPr="00380209">
        <w:rPr>
          <w:rFonts w:ascii="Arial" w:hAnsi="Arial" w:cs="Arial"/>
          <w:sz w:val="24"/>
          <w:szCs w:val="24"/>
        </w:rPr>
        <w:t>ignificant additional ground investigation required and design of appropriate and affordable mitigation measures.</w:t>
      </w:r>
    </w:p>
    <w:p w14:paraId="66C6C283" w14:textId="755AA8AA" w:rsidR="00F70BD1" w:rsidRPr="00C870F6" w:rsidRDefault="00F70BD1" w:rsidP="00F70BD1">
      <w:pPr>
        <w:pStyle w:val="ListParagraph"/>
        <w:numPr>
          <w:ilvl w:val="0"/>
          <w:numId w:val="24"/>
        </w:numPr>
        <w:rPr>
          <w:rFonts w:ascii="Arial" w:hAnsi="Arial" w:cs="Arial"/>
          <w:bCs/>
          <w:sz w:val="24"/>
          <w:szCs w:val="24"/>
        </w:rPr>
      </w:pPr>
      <w:r w:rsidRPr="00380209">
        <w:rPr>
          <w:rFonts w:ascii="Arial" w:hAnsi="Arial" w:cs="Arial"/>
          <w:b/>
          <w:sz w:val="24"/>
          <w:szCs w:val="24"/>
        </w:rPr>
        <w:t>Weather</w:t>
      </w:r>
      <w:r w:rsidRPr="00380209">
        <w:rPr>
          <w:rFonts w:ascii="Arial" w:hAnsi="Arial" w:cs="Arial"/>
          <w:sz w:val="24"/>
          <w:szCs w:val="24"/>
        </w:rPr>
        <w:t xml:space="preserve">.  Working predominantly during the winter months results in lower productivity and less predictable delays than at any other time.  </w:t>
      </w:r>
      <w:r w:rsidRPr="00C870F6">
        <w:rPr>
          <w:rFonts w:ascii="Arial" w:hAnsi="Arial" w:cs="Arial"/>
          <w:bCs/>
          <w:sz w:val="24"/>
          <w:szCs w:val="24"/>
        </w:rPr>
        <w:t>This is an uncontrollable risk.</w:t>
      </w:r>
    </w:p>
    <w:p w14:paraId="320588DB" w14:textId="5CE64BC3" w:rsidR="00815024" w:rsidRPr="00815024" w:rsidRDefault="00815024" w:rsidP="00815024">
      <w:pPr>
        <w:rPr>
          <w:rFonts w:ascii="Arial" w:hAnsi="Arial" w:cs="Arial"/>
          <w:sz w:val="24"/>
          <w:szCs w:val="24"/>
        </w:rPr>
      </w:pPr>
      <w:r>
        <w:rPr>
          <w:rFonts w:ascii="Arial" w:hAnsi="Arial" w:cs="Arial"/>
          <w:bCs/>
          <w:sz w:val="24"/>
          <w:szCs w:val="24"/>
        </w:rPr>
        <w:t>Formal re-allocation of the grant underspend on CELR has been undertaken to switch the grant to another LGD approved scheme, Etruria Valley, and an internal funding switch has subsequently been enacted by Stoke on Trent City Council between Etruria Valley and CELR, to enable the latter scheme to continue to progress in 21/22.</w:t>
      </w:r>
    </w:p>
    <w:p w14:paraId="129DB6E9" w14:textId="6C9CE1BC" w:rsidR="00741BF5" w:rsidRDefault="00F70BD1" w:rsidP="00741BF5">
      <w:pPr>
        <w:pStyle w:val="ListParagraph"/>
        <w:numPr>
          <w:ilvl w:val="0"/>
          <w:numId w:val="17"/>
        </w:numPr>
        <w:ind w:left="0" w:hanging="567"/>
        <w:rPr>
          <w:rFonts w:ascii="Arial" w:hAnsi="Arial" w:cs="Arial"/>
          <w:bCs/>
          <w:sz w:val="24"/>
          <w:szCs w:val="24"/>
        </w:rPr>
      </w:pPr>
      <w:r>
        <w:rPr>
          <w:rFonts w:ascii="Arial" w:hAnsi="Arial" w:cs="Arial"/>
          <w:bCs/>
          <w:sz w:val="24"/>
          <w:szCs w:val="24"/>
        </w:rPr>
        <w:t>The</w:t>
      </w:r>
      <w:r w:rsidR="00610C91">
        <w:rPr>
          <w:rFonts w:ascii="Arial" w:hAnsi="Arial" w:cs="Arial"/>
          <w:bCs/>
          <w:sz w:val="24"/>
          <w:szCs w:val="24"/>
        </w:rPr>
        <w:t xml:space="preserve"> Accountable </w:t>
      </w:r>
      <w:r w:rsidR="00260DE7">
        <w:rPr>
          <w:rFonts w:ascii="Arial" w:hAnsi="Arial" w:cs="Arial"/>
          <w:bCs/>
          <w:sz w:val="24"/>
          <w:szCs w:val="24"/>
        </w:rPr>
        <w:t>B</w:t>
      </w:r>
      <w:r w:rsidR="00610C91">
        <w:rPr>
          <w:rFonts w:ascii="Arial" w:hAnsi="Arial" w:cs="Arial"/>
          <w:bCs/>
          <w:sz w:val="24"/>
          <w:szCs w:val="24"/>
        </w:rPr>
        <w:t xml:space="preserve">ody has </w:t>
      </w:r>
      <w:r>
        <w:rPr>
          <w:rFonts w:ascii="Arial" w:hAnsi="Arial" w:cs="Arial"/>
          <w:bCs/>
          <w:sz w:val="24"/>
          <w:szCs w:val="24"/>
        </w:rPr>
        <w:t xml:space="preserve">also </w:t>
      </w:r>
      <w:r w:rsidR="00610C91">
        <w:rPr>
          <w:rFonts w:ascii="Arial" w:hAnsi="Arial" w:cs="Arial"/>
          <w:bCs/>
          <w:sz w:val="24"/>
          <w:szCs w:val="24"/>
        </w:rPr>
        <w:t xml:space="preserve">used </w:t>
      </w:r>
      <w:r>
        <w:rPr>
          <w:rFonts w:ascii="Arial" w:hAnsi="Arial" w:cs="Arial"/>
          <w:bCs/>
          <w:sz w:val="24"/>
          <w:szCs w:val="24"/>
        </w:rPr>
        <w:t>the</w:t>
      </w:r>
      <w:r w:rsidR="00610C91">
        <w:rPr>
          <w:rFonts w:ascii="Arial" w:hAnsi="Arial" w:cs="Arial"/>
          <w:bCs/>
          <w:sz w:val="24"/>
          <w:szCs w:val="24"/>
        </w:rPr>
        <w:t xml:space="preserve"> freedoms and flexibilities </w:t>
      </w:r>
      <w:r w:rsidR="00260DE7">
        <w:rPr>
          <w:rFonts w:ascii="Arial" w:hAnsi="Arial" w:cs="Arial"/>
          <w:bCs/>
          <w:sz w:val="24"/>
          <w:szCs w:val="24"/>
        </w:rPr>
        <w:t xml:space="preserve">allowed under the grant conditions </w:t>
      </w:r>
      <w:r>
        <w:rPr>
          <w:rFonts w:ascii="Arial" w:hAnsi="Arial" w:cs="Arial"/>
          <w:bCs/>
          <w:sz w:val="24"/>
          <w:szCs w:val="24"/>
        </w:rPr>
        <w:t xml:space="preserve">to re-cycle £850k of </w:t>
      </w:r>
      <w:r w:rsidR="00815024">
        <w:rPr>
          <w:rFonts w:ascii="Arial" w:hAnsi="Arial" w:cs="Arial"/>
          <w:bCs/>
          <w:sz w:val="24"/>
          <w:szCs w:val="24"/>
        </w:rPr>
        <w:t>LGD grant</w:t>
      </w:r>
      <w:r w:rsidR="00380209">
        <w:rPr>
          <w:rFonts w:ascii="Arial" w:hAnsi="Arial" w:cs="Arial"/>
          <w:bCs/>
          <w:sz w:val="24"/>
          <w:szCs w:val="24"/>
        </w:rPr>
        <w:t xml:space="preserve">, using the Stafford Western Access </w:t>
      </w:r>
      <w:r w:rsidR="00380209">
        <w:rPr>
          <w:rFonts w:ascii="Arial" w:hAnsi="Arial" w:cs="Arial"/>
          <w:bCs/>
          <w:sz w:val="24"/>
          <w:szCs w:val="24"/>
        </w:rPr>
        <w:lastRenderedPageBreak/>
        <w:t xml:space="preserve">Road </w:t>
      </w:r>
      <w:r w:rsidR="00815024">
        <w:rPr>
          <w:rFonts w:ascii="Arial" w:hAnsi="Arial" w:cs="Arial"/>
          <w:bCs/>
          <w:sz w:val="24"/>
          <w:szCs w:val="24"/>
        </w:rPr>
        <w:t xml:space="preserve">LGD approved </w:t>
      </w:r>
      <w:r w:rsidR="00380209">
        <w:rPr>
          <w:rFonts w:ascii="Arial" w:hAnsi="Arial" w:cs="Arial"/>
          <w:bCs/>
          <w:sz w:val="24"/>
          <w:szCs w:val="24"/>
        </w:rPr>
        <w:t xml:space="preserve">scheme, to ensure grant is not lost and resources are available for the SSLEP’s use in 2021/22 and future years. </w:t>
      </w:r>
      <w:r w:rsidR="00741BF5">
        <w:rPr>
          <w:rFonts w:ascii="Arial" w:hAnsi="Arial" w:cs="Arial"/>
          <w:bCs/>
          <w:sz w:val="24"/>
          <w:szCs w:val="24"/>
        </w:rPr>
        <w:t xml:space="preserve">The </w:t>
      </w:r>
      <w:r w:rsidR="009D58A0">
        <w:rPr>
          <w:rFonts w:ascii="Arial" w:hAnsi="Arial" w:cs="Arial"/>
          <w:bCs/>
          <w:sz w:val="24"/>
          <w:szCs w:val="24"/>
        </w:rPr>
        <w:t>origin of the £</w:t>
      </w:r>
      <w:r w:rsidR="00815024">
        <w:rPr>
          <w:rFonts w:ascii="Arial" w:hAnsi="Arial" w:cs="Arial"/>
          <w:bCs/>
          <w:sz w:val="24"/>
          <w:szCs w:val="24"/>
        </w:rPr>
        <w:t>0.850m</w:t>
      </w:r>
      <w:r w:rsidR="00025A8B">
        <w:rPr>
          <w:rFonts w:ascii="Arial" w:hAnsi="Arial" w:cs="Arial"/>
          <w:bCs/>
          <w:sz w:val="24"/>
          <w:szCs w:val="24"/>
        </w:rPr>
        <w:t xml:space="preserve"> </w:t>
      </w:r>
      <w:proofErr w:type="gramStart"/>
      <w:r w:rsidR="00025A8B">
        <w:rPr>
          <w:rFonts w:ascii="Arial" w:hAnsi="Arial" w:cs="Arial"/>
          <w:bCs/>
          <w:sz w:val="24"/>
          <w:szCs w:val="24"/>
        </w:rPr>
        <w:t>is</w:t>
      </w:r>
      <w:r w:rsidR="00380209">
        <w:rPr>
          <w:rFonts w:ascii="Arial" w:hAnsi="Arial" w:cs="Arial"/>
          <w:bCs/>
          <w:sz w:val="24"/>
          <w:szCs w:val="24"/>
        </w:rPr>
        <w:t>:</w:t>
      </w:r>
      <w:r w:rsidR="00815024">
        <w:rPr>
          <w:rFonts w:ascii="Arial" w:hAnsi="Arial" w:cs="Arial"/>
          <w:bCs/>
          <w:sz w:val="24"/>
          <w:szCs w:val="24"/>
        </w:rPr>
        <w:t>-</w:t>
      </w:r>
      <w:proofErr w:type="gramEnd"/>
    </w:p>
    <w:p w14:paraId="1C3FACB6" w14:textId="22C577C7" w:rsidR="00741BF5" w:rsidRDefault="00741BF5" w:rsidP="00741BF5">
      <w:pPr>
        <w:pStyle w:val="ListParagraph"/>
        <w:ind w:left="0"/>
        <w:rPr>
          <w:rFonts w:ascii="Arial" w:hAnsi="Arial" w:cs="Arial"/>
          <w:bCs/>
          <w:sz w:val="24"/>
          <w:szCs w:val="24"/>
        </w:rPr>
      </w:pPr>
    </w:p>
    <w:p w14:paraId="0C90DC0C" w14:textId="176496AB" w:rsidR="00D65818" w:rsidRPr="001945A9" w:rsidRDefault="00D65818" w:rsidP="00741BF5">
      <w:pPr>
        <w:pStyle w:val="ListParagraph"/>
        <w:ind w:left="0"/>
        <w:rPr>
          <w:rFonts w:ascii="Arial" w:hAnsi="Arial" w:cs="Arial"/>
          <w:b/>
          <w:bCs/>
          <w:sz w:val="24"/>
          <w:szCs w:val="24"/>
        </w:rPr>
      </w:pPr>
      <w:r w:rsidRPr="001945A9">
        <w:rPr>
          <w:rFonts w:ascii="Arial" w:hAnsi="Arial" w:cs="Arial"/>
          <w:b/>
          <w:bCs/>
          <w:sz w:val="24"/>
          <w:szCs w:val="24"/>
        </w:rPr>
        <w:t>Table 1: LGF Remaining Fund</w:t>
      </w:r>
      <w:r w:rsidR="001945A9">
        <w:rPr>
          <w:rFonts w:ascii="Arial" w:hAnsi="Arial" w:cs="Arial"/>
          <w:b/>
          <w:bCs/>
          <w:sz w:val="24"/>
          <w:szCs w:val="24"/>
        </w:rPr>
        <w:t xml:space="preserve"> as of 31</w:t>
      </w:r>
      <w:r w:rsidR="001945A9" w:rsidRPr="001945A9">
        <w:rPr>
          <w:rFonts w:ascii="Arial" w:hAnsi="Arial" w:cs="Arial"/>
          <w:b/>
          <w:bCs/>
          <w:sz w:val="24"/>
          <w:szCs w:val="24"/>
          <w:vertAlign w:val="superscript"/>
        </w:rPr>
        <w:t>st</w:t>
      </w:r>
      <w:r w:rsidR="001945A9">
        <w:rPr>
          <w:rFonts w:ascii="Arial" w:hAnsi="Arial" w:cs="Arial"/>
          <w:b/>
          <w:bCs/>
          <w:sz w:val="24"/>
          <w:szCs w:val="24"/>
        </w:rPr>
        <w:t xml:space="preserve"> March 2021</w:t>
      </w:r>
      <w:r w:rsidR="001945A9">
        <w:rPr>
          <w:rFonts w:ascii="Arial" w:hAnsi="Arial" w:cs="Arial"/>
          <w:b/>
          <w:bCs/>
          <w:sz w:val="24"/>
          <w:szCs w:val="24"/>
        </w:rPr>
        <w:br/>
      </w:r>
    </w:p>
    <w:tbl>
      <w:tblPr>
        <w:tblStyle w:val="TableGrid"/>
        <w:tblW w:w="7502" w:type="dxa"/>
        <w:tblInd w:w="-5" w:type="dxa"/>
        <w:tblLook w:val="04A0" w:firstRow="1" w:lastRow="0" w:firstColumn="1" w:lastColumn="0" w:noHBand="0" w:noVBand="1"/>
      </w:tblPr>
      <w:tblGrid>
        <w:gridCol w:w="2092"/>
        <w:gridCol w:w="1803"/>
        <w:gridCol w:w="1803"/>
        <w:gridCol w:w="1804"/>
      </w:tblGrid>
      <w:tr w:rsidR="00380209" w:rsidRPr="009D58A0" w14:paraId="19229B49" w14:textId="77777777" w:rsidTr="00380209">
        <w:tc>
          <w:tcPr>
            <w:tcW w:w="2092" w:type="dxa"/>
          </w:tcPr>
          <w:p w14:paraId="485F9BDE" w14:textId="121B9156" w:rsidR="00380209" w:rsidRPr="001945A9" w:rsidRDefault="00380209" w:rsidP="00741BF5">
            <w:pPr>
              <w:pStyle w:val="ListParagraph"/>
              <w:ind w:left="0"/>
              <w:rPr>
                <w:rFonts w:ascii="Arial" w:hAnsi="Arial" w:cs="Arial"/>
                <w:b/>
                <w:bCs/>
                <w:sz w:val="24"/>
                <w:szCs w:val="24"/>
              </w:rPr>
            </w:pPr>
            <w:r w:rsidRPr="001945A9">
              <w:rPr>
                <w:rFonts w:ascii="Arial" w:hAnsi="Arial" w:cs="Arial"/>
                <w:b/>
                <w:bCs/>
                <w:sz w:val="24"/>
                <w:szCs w:val="24"/>
              </w:rPr>
              <w:t>Project Name</w:t>
            </w:r>
          </w:p>
        </w:tc>
        <w:tc>
          <w:tcPr>
            <w:tcW w:w="1803" w:type="dxa"/>
          </w:tcPr>
          <w:p w14:paraId="16EB6E9D" w14:textId="0CB618CD" w:rsidR="00380209" w:rsidRPr="009D58A0" w:rsidRDefault="00380209" w:rsidP="009D58A0">
            <w:pPr>
              <w:pStyle w:val="ListParagraph"/>
              <w:ind w:left="0"/>
              <w:jc w:val="center"/>
              <w:rPr>
                <w:rFonts w:ascii="Arial" w:hAnsi="Arial" w:cs="Arial"/>
                <w:b/>
                <w:bCs/>
                <w:sz w:val="24"/>
                <w:szCs w:val="24"/>
              </w:rPr>
            </w:pPr>
            <w:r w:rsidRPr="009D58A0">
              <w:rPr>
                <w:rFonts w:ascii="Arial" w:hAnsi="Arial" w:cs="Arial"/>
                <w:b/>
                <w:sz w:val="24"/>
              </w:rPr>
              <w:t>LGF</w:t>
            </w:r>
          </w:p>
        </w:tc>
        <w:tc>
          <w:tcPr>
            <w:tcW w:w="1803" w:type="dxa"/>
          </w:tcPr>
          <w:p w14:paraId="60FF4424" w14:textId="40E22107" w:rsidR="00380209" w:rsidRPr="009D58A0" w:rsidRDefault="00380209" w:rsidP="009D58A0">
            <w:pPr>
              <w:pStyle w:val="ListParagraph"/>
              <w:ind w:left="0"/>
              <w:jc w:val="center"/>
              <w:rPr>
                <w:rFonts w:ascii="Arial" w:hAnsi="Arial" w:cs="Arial"/>
                <w:b/>
                <w:bCs/>
                <w:sz w:val="24"/>
                <w:szCs w:val="24"/>
              </w:rPr>
            </w:pPr>
            <w:r w:rsidRPr="009D58A0">
              <w:rPr>
                <w:rFonts w:ascii="Arial" w:hAnsi="Arial" w:cs="Arial"/>
                <w:b/>
                <w:sz w:val="24"/>
              </w:rPr>
              <w:t>Spent</w:t>
            </w:r>
          </w:p>
        </w:tc>
        <w:tc>
          <w:tcPr>
            <w:tcW w:w="1804" w:type="dxa"/>
          </w:tcPr>
          <w:p w14:paraId="01CFBA16" w14:textId="00800BEF" w:rsidR="00380209" w:rsidRPr="009D58A0" w:rsidRDefault="00380209" w:rsidP="009D58A0">
            <w:pPr>
              <w:pStyle w:val="ListParagraph"/>
              <w:ind w:left="0"/>
              <w:jc w:val="center"/>
              <w:rPr>
                <w:rFonts w:ascii="Arial" w:hAnsi="Arial" w:cs="Arial"/>
                <w:b/>
                <w:bCs/>
                <w:sz w:val="24"/>
                <w:szCs w:val="24"/>
              </w:rPr>
            </w:pPr>
            <w:r w:rsidRPr="009D58A0">
              <w:rPr>
                <w:rFonts w:ascii="Arial" w:hAnsi="Arial" w:cs="Arial"/>
                <w:b/>
                <w:sz w:val="24"/>
              </w:rPr>
              <w:t>Remaining</w:t>
            </w:r>
          </w:p>
        </w:tc>
      </w:tr>
      <w:tr w:rsidR="00380209" w:rsidRPr="009D58A0" w14:paraId="583D577B" w14:textId="77777777" w:rsidTr="00380209">
        <w:tc>
          <w:tcPr>
            <w:tcW w:w="2092" w:type="dxa"/>
          </w:tcPr>
          <w:p w14:paraId="5FAC0953" w14:textId="2A0CCDF0" w:rsidR="00380209" w:rsidRPr="009D58A0" w:rsidRDefault="00380209" w:rsidP="00741BF5">
            <w:pPr>
              <w:pStyle w:val="ListParagraph"/>
              <w:ind w:left="0"/>
              <w:rPr>
                <w:rFonts w:ascii="Arial" w:hAnsi="Arial" w:cs="Arial"/>
                <w:bCs/>
                <w:sz w:val="24"/>
                <w:szCs w:val="24"/>
              </w:rPr>
            </w:pPr>
            <w:r w:rsidRPr="009D58A0">
              <w:rPr>
                <w:rFonts w:ascii="Arial" w:hAnsi="Arial" w:cs="Arial"/>
                <w:sz w:val="24"/>
              </w:rPr>
              <w:t>EA Stoke Project</w:t>
            </w:r>
          </w:p>
        </w:tc>
        <w:tc>
          <w:tcPr>
            <w:tcW w:w="1803" w:type="dxa"/>
          </w:tcPr>
          <w:p w14:paraId="65EEA2C5" w14:textId="4AB2777F"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£1,200,000</w:t>
            </w:r>
          </w:p>
        </w:tc>
        <w:tc>
          <w:tcPr>
            <w:tcW w:w="1803" w:type="dxa"/>
          </w:tcPr>
          <w:p w14:paraId="0EE755CE" w14:textId="231C3867"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£500,000</w:t>
            </w:r>
          </w:p>
        </w:tc>
        <w:tc>
          <w:tcPr>
            <w:tcW w:w="1804" w:type="dxa"/>
          </w:tcPr>
          <w:p w14:paraId="5D992C17" w14:textId="287F41FE"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w:t>
            </w:r>
            <w:r>
              <w:rPr>
                <w:rFonts w:ascii="Arial" w:hAnsi="Arial" w:cs="Arial"/>
                <w:sz w:val="24"/>
              </w:rPr>
              <w:t>70</w:t>
            </w:r>
            <w:r w:rsidRPr="009D58A0">
              <w:rPr>
                <w:rFonts w:ascii="Arial" w:hAnsi="Arial" w:cs="Arial"/>
                <w:sz w:val="24"/>
              </w:rPr>
              <w:t>0,000</w:t>
            </w:r>
          </w:p>
        </w:tc>
      </w:tr>
      <w:tr w:rsidR="00380209" w:rsidRPr="009D58A0" w14:paraId="02FAD4A4" w14:textId="77777777" w:rsidTr="00380209">
        <w:tc>
          <w:tcPr>
            <w:tcW w:w="2092" w:type="dxa"/>
          </w:tcPr>
          <w:p w14:paraId="4451DD74" w14:textId="16913D6A" w:rsidR="00380209" w:rsidRPr="009D58A0" w:rsidRDefault="00380209" w:rsidP="00741BF5">
            <w:pPr>
              <w:pStyle w:val="ListParagraph"/>
              <w:ind w:left="0"/>
              <w:rPr>
                <w:rFonts w:ascii="Arial" w:hAnsi="Arial" w:cs="Arial"/>
                <w:bCs/>
                <w:sz w:val="24"/>
                <w:szCs w:val="24"/>
              </w:rPr>
            </w:pPr>
            <w:r w:rsidRPr="009D58A0">
              <w:rPr>
                <w:rFonts w:ascii="Arial" w:hAnsi="Arial" w:cs="Arial"/>
                <w:sz w:val="24"/>
              </w:rPr>
              <w:t>Stafford Gateway</w:t>
            </w:r>
          </w:p>
        </w:tc>
        <w:tc>
          <w:tcPr>
            <w:tcW w:w="1803" w:type="dxa"/>
          </w:tcPr>
          <w:p w14:paraId="13A987D4" w14:textId="3B9F1110"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£150,000</w:t>
            </w:r>
          </w:p>
        </w:tc>
        <w:tc>
          <w:tcPr>
            <w:tcW w:w="1803" w:type="dxa"/>
          </w:tcPr>
          <w:p w14:paraId="69CC9DF0" w14:textId="2837960C"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£0</w:t>
            </w:r>
          </w:p>
        </w:tc>
        <w:tc>
          <w:tcPr>
            <w:tcW w:w="1804" w:type="dxa"/>
          </w:tcPr>
          <w:p w14:paraId="0495D436" w14:textId="44E2721E"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£150,000</w:t>
            </w:r>
          </w:p>
        </w:tc>
      </w:tr>
      <w:tr w:rsidR="00380209" w:rsidRPr="009D58A0" w14:paraId="336121ED" w14:textId="77777777" w:rsidTr="00380209">
        <w:tc>
          <w:tcPr>
            <w:tcW w:w="2092" w:type="dxa"/>
            <w:tcBorders>
              <w:left w:val="nil"/>
              <w:bottom w:val="nil"/>
              <w:right w:val="nil"/>
            </w:tcBorders>
          </w:tcPr>
          <w:p w14:paraId="7FBB1254" w14:textId="77777777" w:rsidR="00380209" w:rsidRPr="009D58A0" w:rsidRDefault="00380209" w:rsidP="00741BF5">
            <w:pPr>
              <w:pStyle w:val="ListParagraph"/>
              <w:ind w:left="0"/>
              <w:rPr>
                <w:rFonts w:ascii="Arial" w:hAnsi="Arial" w:cs="Arial"/>
                <w:bCs/>
                <w:sz w:val="24"/>
                <w:szCs w:val="24"/>
              </w:rPr>
            </w:pPr>
          </w:p>
        </w:tc>
        <w:tc>
          <w:tcPr>
            <w:tcW w:w="1803" w:type="dxa"/>
            <w:tcBorders>
              <w:left w:val="nil"/>
              <w:bottom w:val="nil"/>
              <w:right w:val="nil"/>
            </w:tcBorders>
          </w:tcPr>
          <w:p w14:paraId="46BB24B1" w14:textId="77777777" w:rsidR="00380209" w:rsidRPr="009D58A0" w:rsidRDefault="00380209" w:rsidP="00F80392">
            <w:pPr>
              <w:pStyle w:val="ListParagraph"/>
              <w:ind w:left="0"/>
              <w:jc w:val="right"/>
              <w:rPr>
                <w:rFonts w:ascii="Arial" w:hAnsi="Arial" w:cs="Arial"/>
                <w:bCs/>
                <w:sz w:val="24"/>
                <w:szCs w:val="24"/>
              </w:rPr>
            </w:pPr>
          </w:p>
        </w:tc>
        <w:tc>
          <w:tcPr>
            <w:tcW w:w="1803" w:type="dxa"/>
            <w:tcBorders>
              <w:left w:val="nil"/>
              <w:bottom w:val="nil"/>
              <w:right w:val="nil"/>
            </w:tcBorders>
          </w:tcPr>
          <w:p w14:paraId="147B74BE" w14:textId="77777777" w:rsidR="00380209" w:rsidRPr="009D58A0" w:rsidRDefault="00380209" w:rsidP="00F80392">
            <w:pPr>
              <w:pStyle w:val="ListParagraph"/>
              <w:ind w:left="0"/>
              <w:jc w:val="right"/>
              <w:rPr>
                <w:rFonts w:ascii="Arial" w:hAnsi="Arial" w:cs="Arial"/>
                <w:bCs/>
                <w:sz w:val="24"/>
                <w:szCs w:val="24"/>
              </w:rPr>
            </w:pPr>
          </w:p>
        </w:tc>
        <w:tc>
          <w:tcPr>
            <w:tcW w:w="1804" w:type="dxa"/>
            <w:tcBorders>
              <w:left w:val="single" w:sz="4" w:space="0" w:color="auto"/>
              <w:right w:val="single" w:sz="4" w:space="0" w:color="auto"/>
            </w:tcBorders>
          </w:tcPr>
          <w:p w14:paraId="5C90A043" w14:textId="422571E3" w:rsidR="00380209" w:rsidRPr="009D58A0" w:rsidRDefault="00380209" w:rsidP="00F80392">
            <w:pPr>
              <w:pStyle w:val="ListParagraph"/>
              <w:ind w:left="0"/>
              <w:jc w:val="right"/>
              <w:rPr>
                <w:rFonts w:ascii="Arial" w:hAnsi="Arial" w:cs="Arial"/>
                <w:bCs/>
                <w:sz w:val="24"/>
                <w:szCs w:val="24"/>
              </w:rPr>
            </w:pPr>
            <w:r w:rsidRPr="009D58A0">
              <w:rPr>
                <w:rFonts w:ascii="Arial" w:hAnsi="Arial" w:cs="Arial"/>
                <w:sz w:val="24"/>
              </w:rPr>
              <w:t>£</w:t>
            </w:r>
            <w:r>
              <w:rPr>
                <w:rFonts w:ascii="Arial" w:hAnsi="Arial" w:cs="Arial"/>
                <w:sz w:val="24"/>
              </w:rPr>
              <w:t>850</w:t>
            </w:r>
            <w:r w:rsidRPr="009D58A0">
              <w:rPr>
                <w:rFonts w:ascii="Arial" w:hAnsi="Arial" w:cs="Arial"/>
                <w:sz w:val="24"/>
              </w:rPr>
              <w:t>,000</w:t>
            </w:r>
          </w:p>
        </w:tc>
      </w:tr>
    </w:tbl>
    <w:p w14:paraId="6D622553" w14:textId="02AE5CA7" w:rsidR="00741BF5" w:rsidRDefault="00741BF5" w:rsidP="00741BF5">
      <w:pPr>
        <w:pStyle w:val="ListParagraph"/>
        <w:ind w:left="0"/>
        <w:rPr>
          <w:rFonts w:ascii="Arial" w:hAnsi="Arial" w:cs="Arial"/>
          <w:bCs/>
          <w:sz w:val="24"/>
          <w:szCs w:val="24"/>
        </w:rPr>
      </w:pPr>
    </w:p>
    <w:p w14:paraId="3EFA56C4" w14:textId="10817178" w:rsidR="001D7165" w:rsidRDefault="00413057" w:rsidP="00E711F3">
      <w:pPr>
        <w:pStyle w:val="ListParagraph"/>
        <w:numPr>
          <w:ilvl w:val="0"/>
          <w:numId w:val="17"/>
        </w:numPr>
        <w:ind w:left="0" w:hanging="567"/>
        <w:rPr>
          <w:rFonts w:ascii="Arial" w:hAnsi="Arial" w:cs="Arial"/>
          <w:bCs/>
          <w:sz w:val="24"/>
          <w:szCs w:val="24"/>
        </w:rPr>
      </w:pPr>
      <w:r>
        <w:rPr>
          <w:rFonts w:ascii="Arial" w:hAnsi="Arial" w:cs="Arial"/>
          <w:bCs/>
          <w:sz w:val="24"/>
          <w:szCs w:val="24"/>
        </w:rPr>
        <w:t>Item 5 on the Agenda sets out potential options on how this available funding could be utilised.</w:t>
      </w:r>
      <w:r w:rsidR="009F0659">
        <w:rPr>
          <w:rFonts w:ascii="Arial" w:hAnsi="Arial" w:cs="Arial"/>
          <w:bCs/>
          <w:sz w:val="24"/>
          <w:szCs w:val="24"/>
        </w:rPr>
        <w:t xml:space="preserve"> </w:t>
      </w:r>
    </w:p>
    <w:p w14:paraId="2BA0421F" w14:textId="65F2E1AF" w:rsidR="009D58A0" w:rsidRDefault="009D58A0" w:rsidP="00191A8F">
      <w:pPr>
        <w:pStyle w:val="ListParagraph"/>
        <w:ind w:left="0"/>
        <w:rPr>
          <w:rFonts w:ascii="Arial" w:hAnsi="Arial" w:cs="Arial"/>
          <w:bCs/>
          <w:sz w:val="24"/>
          <w:szCs w:val="24"/>
        </w:rPr>
      </w:pPr>
    </w:p>
    <w:p w14:paraId="31C8DF1A" w14:textId="7A5E051D" w:rsidR="009F0659" w:rsidRPr="009F0659" w:rsidRDefault="009F0659" w:rsidP="00191A8F">
      <w:pPr>
        <w:pStyle w:val="ListParagraph"/>
        <w:ind w:left="0"/>
        <w:rPr>
          <w:rFonts w:ascii="Arial" w:hAnsi="Arial" w:cs="Arial"/>
          <w:b/>
          <w:sz w:val="24"/>
          <w:szCs w:val="24"/>
        </w:rPr>
      </w:pPr>
      <w:r w:rsidRPr="009F0659">
        <w:rPr>
          <w:rFonts w:ascii="Arial" w:hAnsi="Arial" w:cs="Arial"/>
          <w:b/>
          <w:sz w:val="24"/>
          <w:szCs w:val="24"/>
        </w:rPr>
        <w:t>Get Building Fund</w:t>
      </w:r>
    </w:p>
    <w:p w14:paraId="03F71297" w14:textId="77777777" w:rsidR="009F0659" w:rsidRDefault="009F0659" w:rsidP="00191A8F">
      <w:pPr>
        <w:pStyle w:val="ListParagraph"/>
        <w:ind w:left="0"/>
        <w:rPr>
          <w:rFonts w:ascii="Arial" w:hAnsi="Arial" w:cs="Arial"/>
          <w:bCs/>
          <w:sz w:val="24"/>
          <w:szCs w:val="24"/>
        </w:rPr>
      </w:pPr>
    </w:p>
    <w:p w14:paraId="54934F9E" w14:textId="40296D43" w:rsidR="00D65818" w:rsidRDefault="009F0659" w:rsidP="00E711F3">
      <w:pPr>
        <w:pStyle w:val="ListParagraph"/>
        <w:numPr>
          <w:ilvl w:val="0"/>
          <w:numId w:val="17"/>
        </w:numPr>
        <w:ind w:left="0" w:hanging="567"/>
        <w:rPr>
          <w:rFonts w:ascii="Arial" w:hAnsi="Arial" w:cs="Arial"/>
          <w:bCs/>
          <w:sz w:val="24"/>
          <w:szCs w:val="24"/>
        </w:rPr>
      </w:pPr>
      <w:r>
        <w:rPr>
          <w:rFonts w:ascii="Arial" w:hAnsi="Arial" w:cs="Arial"/>
          <w:bCs/>
          <w:sz w:val="24"/>
          <w:szCs w:val="24"/>
        </w:rPr>
        <w:t>The final spend position for 20/21 compared to current approved allocations is s</w:t>
      </w:r>
      <w:r w:rsidR="00503A20">
        <w:rPr>
          <w:rFonts w:ascii="Arial" w:hAnsi="Arial" w:cs="Arial"/>
          <w:bCs/>
          <w:sz w:val="24"/>
          <w:szCs w:val="24"/>
        </w:rPr>
        <w:t>et</w:t>
      </w:r>
      <w:r>
        <w:rPr>
          <w:rFonts w:ascii="Arial" w:hAnsi="Arial" w:cs="Arial"/>
          <w:bCs/>
          <w:sz w:val="24"/>
          <w:szCs w:val="24"/>
        </w:rPr>
        <w:t xml:space="preserve"> out in Appendix </w:t>
      </w:r>
      <w:r w:rsidR="00503A20">
        <w:rPr>
          <w:rFonts w:ascii="Arial" w:hAnsi="Arial" w:cs="Arial"/>
          <w:bCs/>
          <w:sz w:val="24"/>
          <w:szCs w:val="24"/>
        </w:rPr>
        <w:t>2</w:t>
      </w:r>
      <w:r>
        <w:rPr>
          <w:rFonts w:ascii="Arial" w:hAnsi="Arial" w:cs="Arial"/>
          <w:bCs/>
          <w:sz w:val="24"/>
          <w:szCs w:val="24"/>
        </w:rPr>
        <w:t>. Actual spend against the grant was £</w:t>
      </w:r>
      <w:r w:rsidR="00503A20">
        <w:rPr>
          <w:rFonts w:ascii="Arial" w:hAnsi="Arial" w:cs="Arial"/>
          <w:bCs/>
          <w:sz w:val="24"/>
          <w:szCs w:val="24"/>
        </w:rPr>
        <w:t>5.360m</w:t>
      </w:r>
      <w:r>
        <w:rPr>
          <w:rFonts w:ascii="Arial" w:hAnsi="Arial" w:cs="Arial"/>
          <w:bCs/>
          <w:sz w:val="24"/>
          <w:szCs w:val="24"/>
        </w:rPr>
        <w:t>, against available in-year grant of £</w:t>
      </w:r>
      <w:r w:rsidR="00503A20">
        <w:rPr>
          <w:rFonts w:ascii="Arial" w:hAnsi="Arial" w:cs="Arial"/>
          <w:bCs/>
          <w:sz w:val="24"/>
          <w:szCs w:val="24"/>
        </w:rPr>
        <w:t>11.850</w:t>
      </w:r>
      <w:r>
        <w:rPr>
          <w:rFonts w:ascii="Arial" w:hAnsi="Arial" w:cs="Arial"/>
          <w:bCs/>
          <w:sz w:val="24"/>
          <w:szCs w:val="24"/>
        </w:rPr>
        <w:t>m. SPMG have been provided with regular updates on the GBF spend throughout the year and a significant underspend was expected against the available grant, which was primarily due to the way in which the total GBF grant was allocated to the SSLEP i.e. 50% in 20/21 and 50% in 21/22.</w:t>
      </w:r>
      <w:r w:rsidR="001D7165">
        <w:rPr>
          <w:rFonts w:ascii="Arial" w:hAnsi="Arial" w:cs="Arial"/>
          <w:bCs/>
          <w:sz w:val="24"/>
          <w:szCs w:val="24"/>
        </w:rPr>
        <w:t xml:space="preserve">  </w:t>
      </w:r>
    </w:p>
    <w:p w14:paraId="62064CC7" w14:textId="77777777" w:rsidR="00D65818" w:rsidRDefault="00D65818" w:rsidP="00D65818">
      <w:pPr>
        <w:pStyle w:val="ListParagraph"/>
        <w:ind w:left="0"/>
        <w:rPr>
          <w:rFonts w:ascii="Arial" w:hAnsi="Arial" w:cs="Arial"/>
          <w:bCs/>
          <w:sz w:val="24"/>
          <w:szCs w:val="24"/>
        </w:rPr>
      </w:pPr>
    </w:p>
    <w:p w14:paraId="1444CB5A" w14:textId="30D4A131" w:rsidR="00D65818" w:rsidRDefault="009F0659" w:rsidP="00E711F3">
      <w:pPr>
        <w:pStyle w:val="ListParagraph"/>
        <w:numPr>
          <w:ilvl w:val="0"/>
          <w:numId w:val="17"/>
        </w:numPr>
        <w:ind w:left="0" w:hanging="567"/>
        <w:rPr>
          <w:rFonts w:ascii="Arial" w:hAnsi="Arial" w:cs="Arial"/>
          <w:bCs/>
          <w:sz w:val="24"/>
          <w:szCs w:val="24"/>
        </w:rPr>
      </w:pPr>
      <w:r>
        <w:rPr>
          <w:rFonts w:ascii="Arial" w:hAnsi="Arial" w:cs="Arial"/>
          <w:bCs/>
          <w:sz w:val="24"/>
          <w:szCs w:val="24"/>
        </w:rPr>
        <w:t>At present there is currently £0.190m of unallocated GBF available following the withdrawal of one scheme, and item 5 on the agenda sets out proposals / options for re-allocating this grant. There are currently no concerns that all the available GBF grant (£23.7m) will not be expended by the deadline of March 2022.</w:t>
      </w:r>
    </w:p>
    <w:p w14:paraId="640536CC" w14:textId="77777777" w:rsidR="00F80392" w:rsidRPr="00E9214E" w:rsidRDefault="00F80392" w:rsidP="00594FBE">
      <w:pPr>
        <w:pStyle w:val="ListParagraph"/>
        <w:ind w:left="360"/>
        <w:rPr>
          <w:rFonts w:ascii="Arial" w:hAnsi="Arial" w:cs="Arial"/>
          <w:b/>
          <w:bCs/>
          <w:sz w:val="24"/>
          <w:szCs w:val="24"/>
        </w:rPr>
      </w:pPr>
    </w:p>
    <w:p w14:paraId="11512B6A" w14:textId="1DF842B5" w:rsidR="00594FBE" w:rsidRPr="00E9214E" w:rsidRDefault="00594FBE" w:rsidP="00594FBE">
      <w:pPr>
        <w:rPr>
          <w:rFonts w:ascii="Arial" w:hAnsi="Arial" w:cs="Arial"/>
          <w:b/>
          <w:bCs/>
          <w:sz w:val="24"/>
          <w:szCs w:val="24"/>
        </w:rPr>
      </w:pPr>
      <w:r w:rsidRPr="00E9214E">
        <w:rPr>
          <w:rFonts w:ascii="Arial" w:hAnsi="Arial" w:cs="Arial"/>
          <w:b/>
          <w:bCs/>
          <w:sz w:val="24"/>
          <w:szCs w:val="24"/>
        </w:rPr>
        <w:t xml:space="preserve">Recommendations </w:t>
      </w:r>
    </w:p>
    <w:p w14:paraId="4DDBD154" w14:textId="0C50BBD4" w:rsidR="00594FBE" w:rsidRPr="00F80392" w:rsidRDefault="00F80392" w:rsidP="00F80392">
      <w:pPr>
        <w:pStyle w:val="ListParagraph"/>
        <w:numPr>
          <w:ilvl w:val="0"/>
          <w:numId w:val="17"/>
        </w:numPr>
        <w:spacing w:before="60" w:after="60"/>
        <w:ind w:left="0" w:hanging="567"/>
        <w:rPr>
          <w:rFonts w:ascii="Arial" w:hAnsi="Arial" w:cs="Arial"/>
          <w:bCs/>
          <w:sz w:val="24"/>
          <w:szCs w:val="24"/>
        </w:rPr>
      </w:pPr>
      <w:r>
        <w:rPr>
          <w:rFonts w:ascii="Arial" w:hAnsi="Arial" w:cs="Arial"/>
          <w:bCs/>
          <w:sz w:val="24"/>
          <w:szCs w:val="24"/>
        </w:rPr>
        <w:t>SPMG</w:t>
      </w:r>
      <w:r w:rsidR="00594FBE" w:rsidRPr="00F80392">
        <w:rPr>
          <w:rFonts w:ascii="Arial" w:hAnsi="Arial" w:cs="Arial"/>
          <w:bCs/>
          <w:sz w:val="24"/>
          <w:szCs w:val="24"/>
        </w:rPr>
        <w:t xml:space="preserve"> </w:t>
      </w:r>
      <w:proofErr w:type="gramStart"/>
      <w:r w:rsidR="0018756D">
        <w:rPr>
          <w:rFonts w:ascii="Arial" w:hAnsi="Arial" w:cs="Arial"/>
          <w:bCs/>
          <w:sz w:val="24"/>
          <w:szCs w:val="24"/>
        </w:rPr>
        <w:t>should:-</w:t>
      </w:r>
      <w:proofErr w:type="gramEnd"/>
    </w:p>
    <w:p w14:paraId="04FA6E24" w14:textId="77777777" w:rsidR="00594FBE" w:rsidRPr="00523256" w:rsidRDefault="00594FBE" w:rsidP="00594FBE">
      <w:pPr>
        <w:pStyle w:val="ListParagraph"/>
        <w:spacing w:before="80" w:after="80"/>
        <w:ind w:left="360"/>
        <w:contextualSpacing w:val="0"/>
        <w:rPr>
          <w:rFonts w:ascii="Arial" w:hAnsi="Arial" w:cs="Arial"/>
          <w:bCs/>
          <w:sz w:val="24"/>
          <w:szCs w:val="24"/>
        </w:rPr>
      </w:pPr>
    </w:p>
    <w:p w14:paraId="166020C4" w14:textId="72BE630F" w:rsidR="00594FBE" w:rsidRDefault="00815024" w:rsidP="00594FBE">
      <w:pPr>
        <w:pStyle w:val="ListParagraph"/>
        <w:numPr>
          <w:ilvl w:val="0"/>
          <w:numId w:val="22"/>
        </w:numPr>
        <w:spacing w:before="80" w:after="80"/>
        <w:contextualSpacing w:val="0"/>
        <w:rPr>
          <w:rFonts w:ascii="Arial" w:hAnsi="Arial" w:cs="Arial"/>
          <w:bCs/>
          <w:sz w:val="24"/>
          <w:szCs w:val="24"/>
        </w:rPr>
      </w:pPr>
      <w:r>
        <w:rPr>
          <w:rFonts w:ascii="Arial" w:hAnsi="Arial" w:cs="Arial"/>
          <w:bCs/>
          <w:sz w:val="24"/>
          <w:szCs w:val="24"/>
        </w:rPr>
        <w:t>Note the final spend position in respect of the Local Growth Deal and the availability of re-cycled funding (£0.850m) to support other SSLEP projects or other spend.</w:t>
      </w:r>
      <w:r w:rsidR="00594FBE">
        <w:rPr>
          <w:rFonts w:ascii="Arial" w:hAnsi="Arial" w:cs="Arial"/>
          <w:bCs/>
          <w:sz w:val="24"/>
          <w:szCs w:val="24"/>
        </w:rPr>
        <w:t xml:space="preserve"> </w:t>
      </w:r>
    </w:p>
    <w:p w14:paraId="2A7E6002" w14:textId="0DAD2EC8" w:rsidR="0018756D" w:rsidRDefault="0018756D" w:rsidP="00503A20">
      <w:pPr>
        <w:pStyle w:val="ListParagraph"/>
        <w:numPr>
          <w:ilvl w:val="0"/>
          <w:numId w:val="22"/>
        </w:numPr>
        <w:spacing w:before="120" w:after="120"/>
        <w:rPr>
          <w:rFonts w:ascii="Arial" w:hAnsi="Arial" w:cs="Arial"/>
          <w:bCs/>
          <w:sz w:val="24"/>
          <w:szCs w:val="24"/>
        </w:rPr>
      </w:pPr>
      <w:r>
        <w:rPr>
          <w:rFonts w:ascii="Arial" w:hAnsi="Arial" w:cs="Arial"/>
          <w:bCs/>
          <w:sz w:val="24"/>
          <w:szCs w:val="24"/>
        </w:rPr>
        <w:t>Note the final spend position in respect of GBF for 21/22</w:t>
      </w:r>
    </w:p>
    <w:p w14:paraId="47E87071" w14:textId="77777777" w:rsidR="0018756D" w:rsidRPr="0018756D" w:rsidRDefault="0018756D" w:rsidP="0018756D">
      <w:pPr>
        <w:pStyle w:val="ListParagraph"/>
        <w:spacing w:before="120" w:after="120"/>
        <w:ind w:left="360"/>
        <w:rPr>
          <w:rFonts w:ascii="Arial" w:hAnsi="Arial" w:cs="Arial"/>
          <w:bCs/>
          <w:sz w:val="24"/>
          <w:szCs w:val="24"/>
        </w:rPr>
      </w:pPr>
    </w:p>
    <w:p w14:paraId="00248F9D" w14:textId="0DFDA437" w:rsidR="00D65818" w:rsidRDefault="00594FBE" w:rsidP="00691FCE">
      <w:pPr>
        <w:spacing w:before="120" w:after="120"/>
        <w:rPr>
          <w:rFonts w:ascii="Arial" w:hAnsi="Arial" w:cs="Arial"/>
          <w:bCs/>
          <w:sz w:val="24"/>
          <w:szCs w:val="24"/>
        </w:rPr>
      </w:pPr>
      <w:r w:rsidRPr="0095375D">
        <w:rPr>
          <w:rFonts w:ascii="Arial" w:hAnsi="Arial" w:cs="Arial"/>
          <w:b/>
          <w:bCs/>
          <w:sz w:val="24"/>
          <w:szCs w:val="24"/>
        </w:rPr>
        <w:t xml:space="preserve">Report </w:t>
      </w:r>
      <w:r>
        <w:rPr>
          <w:rFonts w:ascii="Arial" w:hAnsi="Arial" w:cs="Arial"/>
          <w:b/>
          <w:bCs/>
          <w:sz w:val="24"/>
          <w:szCs w:val="24"/>
        </w:rPr>
        <w:t>prepared</w:t>
      </w:r>
      <w:r w:rsidRPr="0095375D">
        <w:rPr>
          <w:rFonts w:ascii="Arial" w:hAnsi="Arial" w:cs="Arial"/>
          <w:b/>
          <w:bCs/>
          <w:sz w:val="24"/>
          <w:szCs w:val="24"/>
        </w:rPr>
        <w:t xml:space="preserve"> by:</w:t>
      </w:r>
      <w:r>
        <w:rPr>
          <w:rFonts w:ascii="Arial" w:hAnsi="Arial" w:cs="Arial"/>
          <w:bCs/>
          <w:sz w:val="24"/>
          <w:szCs w:val="24"/>
        </w:rPr>
        <w:t xml:space="preserve"> </w:t>
      </w:r>
      <w:r>
        <w:rPr>
          <w:rFonts w:ascii="Arial" w:hAnsi="Arial" w:cs="Arial"/>
          <w:bCs/>
          <w:sz w:val="24"/>
          <w:szCs w:val="24"/>
        </w:rPr>
        <w:tab/>
        <w:t>Simon Ablewhite</w:t>
      </w:r>
      <w:r>
        <w:rPr>
          <w:rFonts w:ascii="Arial" w:hAnsi="Arial" w:cs="Arial"/>
          <w:bCs/>
          <w:sz w:val="24"/>
          <w:szCs w:val="24"/>
        </w:rPr>
        <w:br/>
      </w:r>
      <w:r w:rsidRPr="0095375D">
        <w:rPr>
          <w:rFonts w:ascii="Arial" w:hAnsi="Arial" w:cs="Arial"/>
          <w:b/>
          <w:bCs/>
          <w:sz w:val="24"/>
          <w:szCs w:val="24"/>
        </w:rPr>
        <w:t>Job Title:</w:t>
      </w:r>
      <w:r w:rsidRPr="0095375D">
        <w:rPr>
          <w:rFonts w:ascii="Arial" w:hAnsi="Arial" w:cs="Arial"/>
          <w:bCs/>
          <w:sz w:val="24"/>
          <w:szCs w:val="24"/>
        </w:rPr>
        <w:t xml:space="preserve">    </w:t>
      </w:r>
      <w:r w:rsidRPr="0095375D">
        <w:rPr>
          <w:rFonts w:ascii="Arial" w:hAnsi="Arial" w:cs="Arial"/>
          <w:bCs/>
          <w:sz w:val="24"/>
          <w:szCs w:val="24"/>
        </w:rPr>
        <w:tab/>
      </w:r>
      <w:r w:rsidRPr="0095375D">
        <w:rPr>
          <w:rFonts w:ascii="Arial" w:hAnsi="Arial" w:cs="Arial"/>
          <w:bCs/>
          <w:sz w:val="24"/>
          <w:szCs w:val="24"/>
        </w:rPr>
        <w:tab/>
      </w:r>
      <w:r w:rsidRPr="0095375D">
        <w:rPr>
          <w:rFonts w:ascii="Arial" w:hAnsi="Arial" w:cs="Arial"/>
          <w:bCs/>
          <w:sz w:val="24"/>
          <w:szCs w:val="24"/>
        </w:rPr>
        <w:tab/>
      </w:r>
      <w:r>
        <w:rPr>
          <w:rFonts w:ascii="Arial" w:hAnsi="Arial" w:cs="Arial"/>
          <w:bCs/>
          <w:sz w:val="24"/>
          <w:szCs w:val="24"/>
        </w:rPr>
        <w:t>LEP S151 Officer</w:t>
      </w:r>
    </w:p>
    <w:sectPr w:rsidR="00D658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23A1" w14:textId="77777777" w:rsidR="00397EDF" w:rsidRDefault="00397EDF" w:rsidP="00AF50EB">
      <w:pPr>
        <w:spacing w:after="0" w:line="240" w:lineRule="auto"/>
      </w:pPr>
      <w:r>
        <w:separator/>
      </w:r>
    </w:p>
  </w:endnote>
  <w:endnote w:type="continuationSeparator" w:id="0">
    <w:p w14:paraId="4FF31796" w14:textId="77777777" w:rsidR="00397EDF" w:rsidRDefault="00397EDF"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6308" w14:textId="1081C16E" w:rsidR="00503A20" w:rsidRPr="00292E3B" w:rsidRDefault="00503A20" w:rsidP="00292E3B">
    <w:pPr>
      <w:pStyle w:val="Footer"/>
      <w:tabs>
        <w:tab w:val="left" w:pos="5835"/>
      </w:tabs>
      <w:rPr>
        <w:rFonts w:ascii="Arial" w:hAnsi="Arial" w:cs="Arial"/>
      </w:rPr>
    </w:pPr>
    <w:r>
      <w:rPr>
        <w:rFonts w:ascii="Arial" w:hAnsi="Arial" w:cs="Arial"/>
      </w:rPr>
      <w:tab/>
    </w:r>
    <w:r w:rsidRPr="00292E3B">
      <w:rPr>
        <w:rFonts w:ascii="Arial" w:hAnsi="Arial" w:cs="Arial"/>
      </w:rPr>
      <w:t xml:space="preserve">Page </w:t>
    </w:r>
    <w:r w:rsidRPr="00F80392">
      <w:rPr>
        <w:rFonts w:ascii="Arial" w:hAnsi="Arial" w:cs="Arial"/>
      </w:rPr>
      <w:fldChar w:fldCharType="begin"/>
    </w:r>
    <w:r w:rsidRPr="00F80392">
      <w:rPr>
        <w:rFonts w:ascii="Arial" w:hAnsi="Arial" w:cs="Arial"/>
      </w:rPr>
      <w:instrText xml:space="preserve"> PAGE   \* MERGEFORMAT </w:instrText>
    </w:r>
    <w:r w:rsidRPr="00F80392">
      <w:rPr>
        <w:rFonts w:ascii="Arial" w:hAnsi="Arial" w:cs="Arial"/>
      </w:rPr>
      <w:fldChar w:fldCharType="separate"/>
    </w:r>
    <w:r w:rsidRPr="00F80392">
      <w:rPr>
        <w:rFonts w:ascii="Arial" w:hAnsi="Arial" w:cs="Arial"/>
        <w:noProof/>
      </w:rPr>
      <w:t>1</w:t>
    </w:r>
    <w:r w:rsidRPr="00F80392">
      <w:rPr>
        <w:rFonts w:ascii="Arial" w:hAnsi="Arial" w:cs="Arial"/>
        <w:noProof/>
      </w:rPr>
      <w:fldChar w:fldCharType="end"/>
    </w:r>
    <w:r w:rsidRPr="00292E3B">
      <w:rPr>
        <w:rFonts w:ascii="Arial" w:hAnsi="Arial" w:cs="Arial"/>
        <w:noProof/>
      </w:rPr>
      <w:t xml:space="preserve"> of </w:t>
    </w:r>
    <w:r w:rsidR="00691FCE" w:rsidRPr="00691FCE">
      <w:rPr>
        <w:rFonts w:ascii="Arial" w:hAnsi="Arial" w:cs="Arial"/>
        <w:noProof/>
      </w:rPr>
      <w:fldChar w:fldCharType="begin"/>
    </w:r>
    <w:r w:rsidR="00691FCE" w:rsidRPr="00691FCE">
      <w:rPr>
        <w:rFonts w:ascii="Arial" w:hAnsi="Arial" w:cs="Arial"/>
        <w:noProof/>
      </w:rPr>
      <w:instrText xml:space="preserve"> PAGE   \* MERGEFORMAT </w:instrText>
    </w:r>
    <w:r w:rsidR="00691FCE" w:rsidRPr="00691FCE">
      <w:rPr>
        <w:rFonts w:ascii="Arial" w:hAnsi="Arial" w:cs="Arial"/>
        <w:noProof/>
      </w:rPr>
      <w:fldChar w:fldCharType="separate"/>
    </w:r>
    <w:r w:rsidR="00691FCE" w:rsidRPr="00691FCE">
      <w:rPr>
        <w:rFonts w:ascii="Arial" w:hAnsi="Arial" w:cs="Arial"/>
        <w:noProof/>
      </w:rPr>
      <w:t>1</w:t>
    </w:r>
    <w:r w:rsidR="00691FCE" w:rsidRPr="00691FCE">
      <w:rPr>
        <w:rFonts w:ascii="Arial" w:hAnsi="Arial" w:cs="Arial"/>
        <w:noProof/>
      </w:rPr>
      <w:fldChar w:fldCharType="end"/>
    </w:r>
    <w:r>
      <w:rPr>
        <w:rFonts w:ascii="Arial" w:hAnsi="Arial" w:cs="Arial"/>
        <w:noProof/>
      </w:rPr>
      <w:tab/>
    </w:r>
    <w:r>
      <w:rPr>
        <w:rFonts w:ascii="Arial" w:hAnsi="Arial" w:cs="Arial"/>
        <w:noProof/>
      </w:rPr>
      <w:tab/>
      <w:t>4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EE4A" w14:textId="77777777" w:rsidR="00397EDF" w:rsidRDefault="00397EDF" w:rsidP="00AF50EB">
      <w:pPr>
        <w:spacing w:after="0" w:line="240" w:lineRule="auto"/>
      </w:pPr>
      <w:r>
        <w:separator/>
      </w:r>
    </w:p>
  </w:footnote>
  <w:footnote w:type="continuationSeparator" w:id="0">
    <w:p w14:paraId="120CD6F5" w14:textId="77777777" w:rsidR="00397EDF" w:rsidRDefault="00397EDF" w:rsidP="00AF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3257" w14:textId="08E79AB7" w:rsidR="00503A20" w:rsidRDefault="00503A20" w:rsidP="0058530A">
    <w:pPr>
      <w:jc w:val="right"/>
    </w:pPr>
    <w:r>
      <w:rPr>
        <w:noProof/>
      </w:rPr>
      <w:drawing>
        <wp:anchor distT="0" distB="0" distL="114300" distR="114300" simplePos="0" relativeHeight="251661312" behindDoc="0" locked="0" layoutInCell="1" allowOverlap="1" wp14:anchorId="0B540084" wp14:editId="1D7CB2C9">
          <wp:simplePos x="0" y="0"/>
          <wp:positionH relativeFrom="column">
            <wp:posOffset>-647700</wp:posOffset>
          </wp:positionH>
          <wp:positionV relativeFrom="paragraph">
            <wp:posOffset>-287020</wp:posOffset>
          </wp:positionV>
          <wp:extent cx="1765498" cy="5619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5498" cy="561975"/>
                  </a:xfrm>
                  <a:prstGeom prst="rect">
                    <a:avLst/>
                  </a:prstGeom>
                </pic:spPr>
              </pic:pic>
            </a:graphicData>
          </a:graphic>
          <wp14:sizeRelH relativeFrom="margin">
            <wp14:pctWidth>0</wp14:pctWidth>
          </wp14:sizeRelH>
          <wp14:sizeRelV relativeFrom="margin">
            <wp14:pctHeight>0</wp14:pctHeight>
          </wp14:sizeRelV>
        </wp:anchor>
      </w:drawing>
    </w:r>
    <w:r w:rsidRPr="008E3F3A">
      <w:rPr>
        <w:rFonts w:ascii="Verdana" w:eastAsia="Times New Roman" w:hAnsi="Verdana" w:cs="Times New Roman"/>
        <w:noProof/>
        <w:lang w:eastAsia="en-GB"/>
      </w:rPr>
      <w:drawing>
        <wp:anchor distT="0" distB="0" distL="114300" distR="114300" simplePos="0" relativeHeight="251660288" behindDoc="0" locked="0" layoutInCell="1" allowOverlap="1" wp14:anchorId="0C5EF2D2" wp14:editId="742A5BBC">
          <wp:simplePos x="0" y="0"/>
          <wp:positionH relativeFrom="margin">
            <wp:posOffset>1075055</wp:posOffset>
          </wp:positionH>
          <wp:positionV relativeFrom="paragraph">
            <wp:posOffset>-220980</wp:posOffset>
          </wp:positionV>
          <wp:extent cx="1255076" cy="428625"/>
          <wp:effectExtent l="0" t="0" r="254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3BD6527">
      <w:rPr>
        <w:sz w:val="24"/>
        <w:szCs w:val="24"/>
      </w:rPr>
      <w:t xml:space="preserve">Item </w:t>
    </w:r>
    <w:r>
      <w:rPr>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7A"/>
    <w:multiLevelType w:val="hybridMultilevel"/>
    <w:tmpl w:val="19927368"/>
    <w:lvl w:ilvl="0" w:tplc="0809000F">
      <w:start w:val="1"/>
      <w:numFmt w:val="decimal"/>
      <w:lvlText w:val="%1."/>
      <w:lvlJc w:val="left"/>
      <w:pPr>
        <w:ind w:left="360" w:hanging="360"/>
      </w:pPr>
      <w:rPr>
        <w:rFonts w:hint="default"/>
      </w:rPr>
    </w:lvl>
    <w:lvl w:ilvl="1" w:tplc="EDEE7F6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920AE"/>
    <w:multiLevelType w:val="multilevel"/>
    <w:tmpl w:val="4440CDF0"/>
    <w:lvl w:ilvl="0">
      <w:start w:val="1"/>
      <w:numFmt w:val="lowerLetter"/>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3167D"/>
    <w:multiLevelType w:val="hybridMultilevel"/>
    <w:tmpl w:val="F52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4186A"/>
    <w:multiLevelType w:val="hybridMultilevel"/>
    <w:tmpl w:val="28D4D516"/>
    <w:lvl w:ilvl="0" w:tplc="BFF6B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720A2"/>
    <w:multiLevelType w:val="multilevel"/>
    <w:tmpl w:val="3E4444F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57C38"/>
    <w:multiLevelType w:val="hybridMultilevel"/>
    <w:tmpl w:val="A1C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554BB"/>
    <w:multiLevelType w:val="hybridMultilevel"/>
    <w:tmpl w:val="960025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6556F"/>
    <w:multiLevelType w:val="hybridMultilevel"/>
    <w:tmpl w:val="29F02046"/>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0283784"/>
    <w:multiLevelType w:val="multilevel"/>
    <w:tmpl w:val="1EB0A04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B42371"/>
    <w:multiLevelType w:val="hybridMultilevel"/>
    <w:tmpl w:val="717E5144"/>
    <w:lvl w:ilvl="0" w:tplc="C9D2264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25898"/>
    <w:multiLevelType w:val="multilevel"/>
    <w:tmpl w:val="132CF0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7E002C"/>
    <w:multiLevelType w:val="hybridMultilevel"/>
    <w:tmpl w:val="9BEE6B7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9158C5"/>
    <w:multiLevelType w:val="hybridMultilevel"/>
    <w:tmpl w:val="A1B2A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7527D"/>
    <w:multiLevelType w:val="hybridMultilevel"/>
    <w:tmpl w:val="0262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1624A"/>
    <w:multiLevelType w:val="hybridMultilevel"/>
    <w:tmpl w:val="0B68E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F0B5F"/>
    <w:multiLevelType w:val="hybridMultilevel"/>
    <w:tmpl w:val="7AA2283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A1C96"/>
    <w:multiLevelType w:val="hybridMultilevel"/>
    <w:tmpl w:val="B40A7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51218"/>
    <w:multiLevelType w:val="multilevel"/>
    <w:tmpl w:val="023E6C2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FB7F4C"/>
    <w:multiLevelType w:val="hybridMultilevel"/>
    <w:tmpl w:val="9026A2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0A0E03"/>
    <w:multiLevelType w:val="multilevel"/>
    <w:tmpl w:val="EF0638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C1A6A66"/>
    <w:multiLevelType w:val="hybridMultilevel"/>
    <w:tmpl w:val="91609F10"/>
    <w:lvl w:ilvl="0" w:tplc="08090019">
      <w:start w:val="2"/>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70466BD0"/>
    <w:multiLevelType w:val="multilevel"/>
    <w:tmpl w:val="43E87B0A"/>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4B2BB4"/>
    <w:multiLevelType w:val="hybridMultilevel"/>
    <w:tmpl w:val="145C8B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4"/>
  </w:num>
  <w:num w:numId="5">
    <w:abstractNumId w:val="22"/>
  </w:num>
  <w:num w:numId="6">
    <w:abstractNumId w:val="1"/>
  </w:num>
  <w:num w:numId="7">
    <w:abstractNumId w:val="16"/>
  </w:num>
  <w:num w:numId="8">
    <w:abstractNumId w:val="11"/>
  </w:num>
  <w:num w:numId="9">
    <w:abstractNumId w:val="18"/>
  </w:num>
  <w:num w:numId="10">
    <w:abstractNumId w:val="20"/>
  </w:num>
  <w:num w:numId="11">
    <w:abstractNumId w:val="13"/>
  </w:num>
  <w:num w:numId="12">
    <w:abstractNumId w:val="10"/>
  </w:num>
  <w:num w:numId="13">
    <w:abstractNumId w:val="21"/>
  </w:num>
  <w:num w:numId="14">
    <w:abstractNumId w:val="3"/>
  </w:num>
  <w:num w:numId="15">
    <w:abstractNumId w:val="2"/>
  </w:num>
  <w:num w:numId="16">
    <w:abstractNumId w:val="14"/>
  </w:num>
  <w:num w:numId="17">
    <w:abstractNumId w:val="0"/>
  </w:num>
  <w:num w:numId="18">
    <w:abstractNumId w:val="8"/>
  </w:num>
  <w:num w:numId="19">
    <w:abstractNumId w:val="23"/>
  </w:num>
  <w:num w:numId="20">
    <w:abstractNumId w:val="17"/>
  </w:num>
  <w:num w:numId="21">
    <w:abstractNumId w:val="12"/>
  </w:num>
  <w:num w:numId="22">
    <w:abstractNumId w:val="19"/>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5F21"/>
    <w:rsid w:val="00022AF0"/>
    <w:rsid w:val="00025A8B"/>
    <w:rsid w:val="00040155"/>
    <w:rsid w:val="00046A96"/>
    <w:rsid w:val="000502BB"/>
    <w:rsid w:val="0005619B"/>
    <w:rsid w:val="0007395A"/>
    <w:rsid w:val="00092D38"/>
    <w:rsid w:val="000A0BD1"/>
    <w:rsid w:val="000B06F9"/>
    <w:rsid w:val="000B49C0"/>
    <w:rsid w:val="000C491A"/>
    <w:rsid w:val="000D193A"/>
    <w:rsid w:val="000D7483"/>
    <w:rsid w:val="000E272D"/>
    <w:rsid w:val="000F35FB"/>
    <w:rsid w:val="00163634"/>
    <w:rsid w:val="00167C1B"/>
    <w:rsid w:val="001753F4"/>
    <w:rsid w:val="00180064"/>
    <w:rsid w:val="00181753"/>
    <w:rsid w:val="00181A4C"/>
    <w:rsid w:val="00184CC5"/>
    <w:rsid w:val="0018756D"/>
    <w:rsid w:val="00191A8F"/>
    <w:rsid w:val="00194393"/>
    <w:rsid w:val="001945A9"/>
    <w:rsid w:val="001A694E"/>
    <w:rsid w:val="001A71B6"/>
    <w:rsid w:val="001B0CFA"/>
    <w:rsid w:val="001B7746"/>
    <w:rsid w:val="001C2D1D"/>
    <w:rsid w:val="001D00A1"/>
    <w:rsid w:val="001D7157"/>
    <w:rsid w:val="001D7165"/>
    <w:rsid w:val="001D76A1"/>
    <w:rsid w:val="0020157C"/>
    <w:rsid w:val="002216D7"/>
    <w:rsid w:val="0022499E"/>
    <w:rsid w:val="00233A9F"/>
    <w:rsid w:val="0023411A"/>
    <w:rsid w:val="0023485B"/>
    <w:rsid w:val="00234CB8"/>
    <w:rsid w:val="00251ED4"/>
    <w:rsid w:val="00254638"/>
    <w:rsid w:val="00260148"/>
    <w:rsid w:val="00260DE7"/>
    <w:rsid w:val="00263DA5"/>
    <w:rsid w:val="00265C73"/>
    <w:rsid w:val="00276367"/>
    <w:rsid w:val="0028184E"/>
    <w:rsid w:val="002831B2"/>
    <w:rsid w:val="002851CC"/>
    <w:rsid w:val="00285744"/>
    <w:rsid w:val="002857E3"/>
    <w:rsid w:val="0028697A"/>
    <w:rsid w:val="00286BA2"/>
    <w:rsid w:val="00292E3B"/>
    <w:rsid w:val="002A1501"/>
    <w:rsid w:val="002A52AC"/>
    <w:rsid w:val="002B2CD9"/>
    <w:rsid w:val="002B33DA"/>
    <w:rsid w:val="002B5B51"/>
    <w:rsid w:val="002C05FD"/>
    <w:rsid w:val="002C296F"/>
    <w:rsid w:val="002C5E3A"/>
    <w:rsid w:val="002C7D30"/>
    <w:rsid w:val="002D07CE"/>
    <w:rsid w:val="002E5B49"/>
    <w:rsid w:val="002F356D"/>
    <w:rsid w:val="002F7C2B"/>
    <w:rsid w:val="00307AE4"/>
    <w:rsid w:val="0032284D"/>
    <w:rsid w:val="003300C6"/>
    <w:rsid w:val="00330897"/>
    <w:rsid w:val="0033335C"/>
    <w:rsid w:val="00340467"/>
    <w:rsid w:val="00342505"/>
    <w:rsid w:val="00345027"/>
    <w:rsid w:val="00372466"/>
    <w:rsid w:val="00375F54"/>
    <w:rsid w:val="00380209"/>
    <w:rsid w:val="003860C6"/>
    <w:rsid w:val="00392369"/>
    <w:rsid w:val="00397EDF"/>
    <w:rsid w:val="003A19C3"/>
    <w:rsid w:val="003A1F62"/>
    <w:rsid w:val="003A6886"/>
    <w:rsid w:val="003B163A"/>
    <w:rsid w:val="003B2259"/>
    <w:rsid w:val="003C0B1E"/>
    <w:rsid w:val="003C15B2"/>
    <w:rsid w:val="003D27D2"/>
    <w:rsid w:val="003E4E3B"/>
    <w:rsid w:val="003F4170"/>
    <w:rsid w:val="003F7535"/>
    <w:rsid w:val="004046FD"/>
    <w:rsid w:val="00413057"/>
    <w:rsid w:val="00423C46"/>
    <w:rsid w:val="00430217"/>
    <w:rsid w:val="00442958"/>
    <w:rsid w:val="0048090E"/>
    <w:rsid w:val="004823CB"/>
    <w:rsid w:val="00487663"/>
    <w:rsid w:val="00491E59"/>
    <w:rsid w:val="0049523C"/>
    <w:rsid w:val="004A0336"/>
    <w:rsid w:val="004C0B73"/>
    <w:rsid w:val="004C3317"/>
    <w:rsid w:val="004C48F7"/>
    <w:rsid w:val="004D05B9"/>
    <w:rsid w:val="004E2687"/>
    <w:rsid w:val="004F1D5D"/>
    <w:rsid w:val="004F4788"/>
    <w:rsid w:val="004F5277"/>
    <w:rsid w:val="0050021D"/>
    <w:rsid w:val="00501D25"/>
    <w:rsid w:val="0050365D"/>
    <w:rsid w:val="00503A20"/>
    <w:rsid w:val="005104B7"/>
    <w:rsid w:val="005210D5"/>
    <w:rsid w:val="00525424"/>
    <w:rsid w:val="00535EC6"/>
    <w:rsid w:val="005417B1"/>
    <w:rsid w:val="005428AC"/>
    <w:rsid w:val="00545A5E"/>
    <w:rsid w:val="005540DA"/>
    <w:rsid w:val="00563B48"/>
    <w:rsid w:val="00565524"/>
    <w:rsid w:val="005846EA"/>
    <w:rsid w:val="0058530A"/>
    <w:rsid w:val="00594FBE"/>
    <w:rsid w:val="00596E70"/>
    <w:rsid w:val="005A354C"/>
    <w:rsid w:val="005B0F41"/>
    <w:rsid w:val="005B7F61"/>
    <w:rsid w:val="005C650D"/>
    <w:rsid w:val="005C67FC"/>
    <w:rsid w:val="005D0268"/>
    <w:rsid w:val="005D6BDD"/>
    <w:rsid w:val="005F4F87"/>
    <w:rsid w:val="00603EBF"/>
    <w:rsid w:val="00610C91"/>
    <w:rsid w:val="00613BC1"/>
    <w:rsid w:val="00632D99"/>
    <w:rsid w:val="00641B5C"/>
    <w:rsid w:val="00641D6D"/>
    <w:rsid w:val="00654760"/>
    <w:rsid w:val="00657055"/>
    <w:rsid w:val="00662403"/>
    <w:rsid w:val="00663549"/>
    <w:rsid w:val="00675500"/>
    <w:rsid w:val="00675EA4"/>
    <w:rsid w:val="0068276C"/>
    <w:rsid w:val="00684A97"/>
    <w:rsid w:val="00691FCE"/>
    <w:rsid w:val="0069424D"/>
    <w:rsid w:val="006C779E"/>
    <w:rsid w:val="006D238D"/>
    <w:rsid w:val="006E7226"/>
    <w:rsid w:val="006F30A4"/>
    <w:rsid w:val="006F604E"/>
    <w:rsid w:val="007035D1"/>
    <w:rsid w:val="007067F3"/>
    <w:rsid w:val="00716484"/>
    <w:rsid w:val="007321B5"/>
    <w:rsid w:val="00741BF5"/>
    <w:rsid w:val="00745103"/>
    <w:rsid w:val="0074747B"/>
    <w:rsid w:val="00757542"/>
    <w:rsid w:val="007974B1"/>
    <w:rsid w:val="007A2028"/>
    <w:rsid w:val="007B1760"/>
    <w:rsid w:val="007B357A"/>
    <w:rsid w:val="007D4856"/>
    <w:rsid w:val="007D6D63"/>
    <w:rsid w:val="007D772A"/>
    <w:rsid w:val="007D795C"/>
    <w:rsid w:val="007E7BBA"/>
    <w:rsid w:val="007F1A57"/>
    <w:rsid w:val="007F1E43"/>
    <w:rsid w:val="00800FE6"/>
    <w:rsid w:val="0080149D"/>
    <w:rsid w:val="00803604"/>
    <w:rsid w:val="008051E3"/>
    <w:rsid w:val="00806FD0"/>
    <w:rsid w:val="008113FE"/>
    <w:rsid w:val="00815024"/>
    <w:rsid w:val="00823138"/>
    <w:rsid w:val="00823B22"/>
    <w:rsid w:val="00827394"/>
    <w:rsid w:val="008276E7"/>
    <w:rsid w:val="00834D45"/>
    <w:rsid w:val="00840C9D"/>
    <w:rsid w:val="00843698"/>
    <w:rsid w:val="00844FC1"/>
    <w:rsid w:val="008459B1"/>
    <w:rsid w:val="00845F3E"/>
    <w:rsid w:val="008467F9"/>
    <w:rsid w:val="0087097F"/>
    <w:rsid w:val="00877573"/>
    <w:rsid w:val="0088109C"/>
    <w:rsid w:val="008915A7"/>
    <w:rsid w:val="008921BA"/>
    <w:rsid w:val="008A1519"/>
    <w:rsid w:val="008B14ED"/>
    <w:rsid w:val="008B4697"/>
    <w:rsid w:val="008B7C13"/>
    <w:rsid w:val="008C7F86"/>
    <w:rsid w:val="008D0A5D"/>
    <w:rsid w:val="008E12E2"/>
    <w:rsid w:val="00900E67"/>
    <w:rsid w:val="009040FF"/>
    <w:rsid w:val="009055BE"/>
    <w:rsid w:val="0091166B"/>
    <w:rsid w:val="00913F9B"/>
    <w:rsid w:val="009703AE"/>
    <w:rsid w:val="009808D7"/>
    <w:rsid w:val="00984343"/>
    <w:rsid w:val="009938A9"/>
    <w:rsid w:val="009A3496"/>
    <w:rsid w:val="009A726E"/>
    <w:rsid w:val="009A7387"/>
    <w:rsid w:val="009B72FE"/>
    <w:rsid w:val="009C3681"/>
    <w:rsid w:val="009C6B02"/>
    <w:rsid w:val="009D58A0"/>
    <w:rsid w:val="009D6FF2"/>
    <w:rsid w:val="009F0659"/>
    <w:rsid w:val="00A125E2"/>
    <w:rsid w:val="00A15C67"/>
    <w:rsid w:val="00A22F23"/>
    <w:rsid w:val="00A24E9D"/>
    <w:rsid w:val="00A32ABD"/>
    <w:rsid w:val="00A33F14"/>
    <w:rsid w:val="00A405EC"/>
    <w:rsid w:val="00A40747"/>
    <w:rsid w:val="00A40D00"/>
    <w:rsid w:val="00A5507D"/>
    <w:rsid w:val="00A61392"/>
    <w:rsid w:val="00A665B2"/>
    <w:rsid w:val="00A84AE5"/>
    <w:rsid w:val="00AA057B"/>
    <w:rsid w:val="00AB66B4"/>
    <w:rsid w:val="00AC0B5B"/>
    <w:rsid w:val="00AE042E"/>
    <w:rsid w:val="00AE7E58"/>
    <w:rsid w:val="00AF50EB"/>
    <w:rsid w:val="00B07679"/>
    <w:rsid w:val="00B14672"/>
    <w:rsid w:val="00B22DE4"/>
    <w:rsid w:val="00B279AD"/>
    <w:rsid w:val="00B34BDE"/>
    <w:rsid w:val="00B34D49"/>
    <w:rsid w:val="00B35570"/>
    <w:rsid w:val="00B40378"/>
    <w:rsid w:val="00B41650"/>
    <w:rsid w:val="00B47878"/>
    <w:rsid w:val="00B65843"/>
    <w:rsid w:val="00B65908"/>
    <w:rsid w:val="00B67931"/>
    <w:rsid w:val="00B72B0D"/>
    <w:rsid w:val="00B72FD1"/>
    <w:rsid w:val="00B7590B"/>
    <w:rsid w:val="00B81E96"/>
    <w:rsid w:val="00B86021"/>
    <w:rsid w:val="00B87BD4"/>
    <w:rsid w:val="00BA1CC1"/>
    <w:rsid w:val="00BB16F0"/>
    <w:rsid w:val="00BB2568"/>
    <w:rsid w:val="00BE1CCB"/>
    <w:rsid w:val="00BF0A57"/>
    <w:rsid w:val="00C133BC"/>
    <w:rsid w:val="00C244E2"/>
    <w:rsid w:val="00C308D9"/>
    <w:rsid w:val="00C31E7A"/>
    <w:rsid w:val="00C34E09"/>
    <w:rsid w:val="00C37AEE"/>
    <w:rsid w:val="00C40F96"/>
    <w:rsid w:val="00C4242E"/>
    <w:rsid w:val="00C47349"/>
    <w:rsid w:val="00C5379B"/>
    <w:rsid w:val="00C73F75"/>
    <w:rsid w:val="00C76E54"/>
    <w:rsid w:val="00C81C24"/>
    <w:rsid w:val="00C8520C"/>
    <w:rsid w:val="00C870F6"/>
    <w:rsid w:val="00C97D25"/>
    <w:rsid w:val="00CA42CA"/>
    <w:rsid w:val="00CC78A0"/>
    <w:rsid w:val="00CD1D7C"/>
    <w:rsid w:val="00CD6067"/>
    <w:rsid w:val="00CE5013"/>
    <w:rsid w:val="00CE5D2A"/>
    <w:rsid w:val="00CE6BD6"/>
    <w:rsid w:val="00CE7337"/>
    <w:rsid w:val="00CF5AFC"/>
    <w:rsid w:val="00D063DA"/>
    <w:rsid w:val="00D07538"/>
    <w:rsid w:val="00D0758E"/>
    <w:rsid w:val="00D1342D"/>
    <w:rsid w:val="00D13D7B"/>
    <w:rsid w:val="00D31DAF"/>
    <w:rsid w:val="00D34E21"/>
    <w:rsid w:val="00D41086"/>
    <w:rsid w:val="00D42968"/>
    <w:rsid w:val="00D54497"/>
    <w:rsid w:val="00D60C75"/>
    <w:rsid w:val="00D63003"/>
    <w:rsid w:val="00D65818"/>
    <w:rsid w:val="00D74A48"/>
    <w:rsid w:val="00D95E54"/>
    <w:rsid w:val="00D9636A"/>
    <w:rsid w:val="00DA6834"/>
    <w:rsid w:val="00DA710C"/>
    <w:rsid w:val="00DA75E5"/>
    <w:rsid w:val="00DA79E9"/>
    <w:rsid w:val="00DB76F1"/>
    <w:rsid w:val="00DE481A"/>
    <w:rsid w:val="00DE7D6C"/>
    <w:rsid w:val="00DF65ED"/>
    <w:rsid w:val="00E04391"/>
    <w:rsid w:val="00E1180A"/>
    <w:rsid w:val="00E27DB7"/>
    <w:rsid w:val="00E31F40"/>
    <w:rsid w:val="00E323B6"/>
    <w:rsid w:val="00E35B23"/>
    <w:rsid w:val="00E5387D"/>
    <w:rsid w:val="00E544D7"/>
    <w:rsid w:val="00E60018"/>
    <w:rsid w:val="00E6070E"/>
    <w:rsid w:val="00E6191C"/>
    <w:rsid w:val="00E6799E"/>
    <w:rsid w:val="00E711F3"/>
    <w:rsid w:val="00E72E78"/>
    <w:rsid w:val="00E80208"/>
    <w:rsid w:val="00E9214E"/>
    <w:rsid w:val="00E927A7"/>
    <w:rsid w:val="00E92EE0"/>
    <w:rsid w:val="00E967B4"/>
    <w:rsid w:val="00EC09E1"/>
    <w:rsid w:val="00EC386F"/>
    <w:rsid w:val="00EC3B26"/>
    <w:rsid w:val="00EC3B7A"/>
    <w:rsid w:val="00ED548E"/>
    <w:rsid w:val="00EF0935"/>
    <w:rsid w:val="00F05AE7"/>
    <w:rsid w:val="00F07F59"/>
    <w:rsid w:val="00F120B3"/>
    <w:rsid w:val="00F152CA"/>
    <w:rsid w:val="00F15B0B"/>
    <w:rsid w:val="00F162E2"/>
    <w:rsid w:val="00F2091A"/>
    <w:rsid w:val="00F2218E"/>
    <w:rsid w:val="00F37F05"/>
    <w:rsid w:val="00F43D28"/>
    <w:rsid w:val="00F47320"/>
    <w:rsid w:val="00F56545"/>
    <w:rsid w:val="00F63F90"/>
    <w:rsid w:val="00F67B8C"/>
    <w:rsid w:val="00F70BD1"/>
    <w:rsid w:val="00F75137"/>
    <w:rsid w:val="00F77E55"/>
    <w:rsid w:val="00F80392"/>
    <w:rsid w:val="00F93D9E"/>
    <w:rsid w:val="00F94EA2"/>
    <w:rsid w:val="00FA4C30"/>
    <w:rsid w:val="00FB2295"/>
    <w:rsid w:val="00FB7638"/>
    <w:rsid w:val="00FC6759"/>
    <w:rsid w:val="00FC7E0E"/>
    <w:rsid w:val="00FE2ED7"/>
    <w:rsid w:val="00FE564D"/>
    <w:rsid w:val="00FF27CE"/>
    <w:rsid w:val="00FF6462"/>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uiPriority w:val="39"/>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9AD9DFC7D18428B8E2B058165B9B8" ma:contentTypeVersion="8" ma:contentTypeDescription="Create a new document." ma:contentTypeScope="" ma:versionID="768ef3317b78c251bc72d18b656375fe">
  <xsd:schema xmlns:xsd="http://www.w3.org/2001/XMLSchema" xmlns:xs="http://www.w3.org/2001/XMLSchema" xmlns:p="http://schemas.microsoft.com/office/2006/metadata/properties" xmlns:ns2="aeee9451-1bb9-43b7-8880-390e5630c1c9" targetNamespace="http://schemas.microsoft.com/office/2006/metadata/properties" ma:root="true" ma:fieldsID="832b2960db5d11e055bfd22116adbb22" ns2:_="">
    <xsd:import namespace="aeee9451-1bb9-43b7-8880-390e5630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e9451-1bb9-43b7-8880-390e5630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69003-A8D5-4463-BCF5-3B71541FFBA2}">
  <ds:schemaRefs>
    <ds:schemaRef ds:uri="http://schemas.microsoft.com/sharepoint/v3/contenttype/forms"/>
  </ds:schemaRefs>
</ds:datastoreItem>
</file>

<file path=customXml/itemProps2.xml><?xml version="1.0" encoding="utf-8"?>
<ds:datastoreItem xmlns:ds="http://schemas.openxmlformats.org/officeDocument/2006/customXml" ds:itemID="{BB6DD72C-9844-47E2-A0EE-932E75AC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e9451-1bb9-43b7-8880-390e5630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Ablewhite, Simon (Corporate)</cp:lastModifiedBy>
  <cp:revision>2</cp:revision>
  <dcterms:created xsi:type="dcterms:W3CDTF">2021-05-17T11:25:00Z</dcterms:created>
  <dcterms:modified xsi:type="dcterms:W3CDTF">2021-05-17T11:25:00Z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0x0101009939AD9DFC7D18428B8E2B058165B9B8</vt:lpwstr>
  </property>
</Properties>
</file>