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57CA" w14:textId="7E7E8CFB" w:rsidR="006060CB" w:rsidRPr="005E5CD7" w:rsidRDefault="00F473CE" w:rsidP="00397B88">
      <w:pPr>
        <w:keepNext/>
        <w:keepLines/>
        <w:spacing w:before="480" w:after="0" w:line="276" w:lineRule="auto"/>
        <w:outlineLvl w:val="0"/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Item 6iii - </w:t>
      </w:r>
      <w:r w:rsidR="006060CB" w:rsidRPr="005E5CD7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 xml:space="preserve">Appendix </w:t>
      </w:r>
      <w:r w:rsidR="00E6165E">
        <w:rPr>
          <w:rFonts w:eastAsia="Times New Roman" w:cstheme="minorHAnsi"/>
          <w:b/>
          <w:bCs/>
          <w:kern w:val="28"/>
          <w:sz w:val="24"/>
          <w:szCs w:val="24"/>
          <w:u w:val="single"/>
          <w:lang w:eastAsia="en-GB"/>
          <w14:ligatures w14:val="standard"/>
          <w14:cntxtAlts/>
        </w:rPr>
        <w:t>3</w:t>
      </w:r>
    </w:p>
    <w:p w14:paraId="1D0C2A0B" w14:textId="5B2443BA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Terms of Reference</w:t>
      </w:r>
    </w:p>
    <w:p w14:paraId="76B5B4DF" w14:textId="6DC89867" w:rsidR="008C5ACC" w:rsidRDefault="008C5ACC" w:rsidP="00397B88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Stoke-on-Trent and Staffordshire Enterprise Partnership (SSLEP) – </w:t>
      </w:r>
      <w:r w:rsidR="00F27A83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eastAsia="en-GB"/>
          <w14:ligatures w14:val="standard"/>
          <w14:cntxtAlts/>
        </w:rPr>
        <w:t>Localities Reference Group</w:t>
      </w:r>
    </w:p>
    <w:p w14:paraId="33E8B6CA" w14:textId="77777777" w:rsidR="008C5ACC" w:rsidRDefault="008C5ACC" w:rsidP="00397B88">
      <w:pPr>
        <w:spacing w:after="120" w:line="276" w:lineRule="auto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01B92CE4" w14:textId="3C2AFDA6" w:rsidR="008C5ACC" w:rsidRDefault="008C5ACC" w:rsidP="00397B88">
      <w:pPr>
        <w:pStyle w:val="ListParagraph"/>
        <w:numPr>
          <w:ilvl w:val="0"/>
          <w:numId w:val="6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 xml:space="preserve">Role of the </w:t>
      </w:r>
      <w:r w:rsidR="00F27A83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Localities Reference G</w:t>
      </w:r>
      <w:r w:rsidRPr="008C5ACC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roup</w:t>
      </w:r>
    </w:p>
    <w:p w14:paraId="37FBE193" w14:textId="77777777" w:rsidR="008C5ACC" w:rsidRDefault="008C5ACC" w:rsidP="00397B88">
      <w:pPr>
        <w:pStyle w:val="ListParagraph"/>
        <w:spacing w:after="120" w:line="276" w:lineRule="auto"/>
        <w:ind w:left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</w:p>
    <w:p w14:paraId="55098777" w14:textId="2CF749F9" w:rsidR="008C5ACC" w:rsidRPr="00350114" w:rsidRDefault="008C5ACC" w:rsidP="00397B88">
      <w:pPr>
        <w:pStyle w:val="ListParagraph"/>
        <w:numPr>
          <w:ilvl w:val="1"/>
          <w:numId w:val="6"/>
        </w:numPr>
        <w:spacing w:after="120" w:line="276" w:lineRule="auto"/>
        <w:ind w:left="1134" w:hanging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SSLEP has established a set of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g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roups to stimulate and support economic growth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and raise productivity across the LEP area.  The sub</w:t>
      </w:r>
      <w:r w:rsidR="006060C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-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groups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provid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e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expertise and leadership that will direct and support coordinated action to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achieve </w:t>
      </w:r>
      <w:r w:rsidR="00176A7B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strategic </w:t>
      </w:r>
      <w:r w:rsidR="00350114" w:rsidRPr="0035011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aims of the LEP, as articulated in its Local Industrial Strategy, Strategic Economic Plan and supporting policy documentation.  </w:t>
      </w:r>
    </w:p>
    <w:p w14:paraId="699EC083" w14:textId="10671BA2" w:rsidR="00350114" w:rsidRDefault="00F27A83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role of the Localities Reference Group will be to act as a point of reference in support of the work of the Place Advisory Sub-group </w:t>
      </w:r>
      <w:r w:rsidRP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providing granular information and expert local knowledge of the towns, cities and rural areas within Stoke-on-Trent and Staffordshire.  </w:t>
      </w:r>
    </w:p>
    <w:p w14:paraId="0A4C4B18" w14:textId="0ACDA69E" w:rsidR="00E43404" w:rsidRPr="00350114" w:rsidRDefault="00E43404" w:rsidP="00397B88">
      <w:pPr>
        <w:pStyle w:val="ListParagraph"/>
        <w:numPr>
          <w:ilvl w:val="1"/>
          <w:numId w:val="6"/>
        </w:numPr>
        <w:spacing w:after="120" w:line="276" w:lineRule="auto"/>
        <w:ind w:left="1134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The 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Reference Group will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have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the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opportunity to inform and influence LEP strategies and delivery plans.  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It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ha</w:t>
      </w:r>
      <w:r w:rsidR="00F27A83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s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no control of, or responsibility for, budgets.</w:t>
      </w:r>
    </w:p>
    <w:p w14:paraId="2BE9819B" w14:textId="77777777" w:rsidR="0000293A" w:rsidRDefault="0000293A" w:rsidP="00397B88">
      <w:p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</w:pP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2.</w:t>
      </w:r>
      <w:r w:rsidR="0035011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ab/>
      </w:r>
      <w:r w:rsidRPr="0000293A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Purpose</w:t>
      </w:r>
    </w:p>
    <w:p w14:paraId="381DDF64" w14:textId="2026F6CE" w:rsidR="00350114" w:rsidRDefault="00350114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24"/>
          <w:lang w:eastAsia="en-GB"/>
        </w:rPr>
      </w:pPr>
      <w:r w:rsidRPr="0000293A">
        <w:rPr>
          <w:rFonts w:ascii="Calibri" w:eastAsia="Times New Roman" w:hAnsi="Calibri" w:cs="Calibri"/>
          <w:sz w:val="24"/>
          <w:lang w:eastAsia="en-GB"/>
        </w:rPr>
        <w:t xml:space="preserve">The functions of the </w:t>
      </w:r>
      <w:r w:rsidR="00E62D20">
        <w:rPr>
          <w:rFonts w:ascii="Calibri" w:eastAsia="Times New Roman" w:hAnsi="Calibri" w:cs="Calibri"/>
          <w:sz w:val="24"/>
          <w:lang w:eastAsia="en-GB"/>
        </w:rPr>
        <w:t>Reference Group</w:t>
      </w:r>
      <w:r>
        <w:rPr>
          <w:rFonts w:ascii="Calibri" w:eastAsia="Times New Roman" w:hAnsi="Calibri" w:cs="Calibri"/>
          <w:sz w:val="24"/>
          <w:lang w:eastAsia="en-GB"/>
        </w:rPr>
        <w:t xml:space="preserve"> </w:t>
      </w:r>
      <w:r w:rsidRPr="0000293A">
        <w:rPr>
          <w:rFonts w:ascii="Calibri" w:eastAsia="Times New Roman" w:hAnsi="Calibri" w:cs="Calibri"/>
          <w:sz w:val="24"/>
          <w:lang w:eastAsia="en-GB"/>
        </w:rPr>
        <w:t xml:space="preserve">will be to: </w:t>
      </w:r>
    </w:p>
    <w:p w14:paraId="11D6F735" w14:textId="77777777" w:rsidR="00E62D20" w:rsidRPr="00E62D20" w:rsidRDefault="00E62D20" w:rsidP="00397B88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Calibri" w:eastAsia="Times New Roman" w:hAnsi="Calibri" w:cs="Calibri"/>
          <w:sz w:val="8"/>
          <w:szCs w:val="8"/>
          <w:lang w:eastAsia="en-GB"/>
        </w:rPr>
      </w:pPr>
    </w:p>
    <w:p w14:paraId="6D0FCF20" w14:textId="62D0EA93" w:rsidR="00350114" w:rsidRDefault="00E62D2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Respond to requests for information from the Place Advisory Sub-group that help</w:t>
      </w:r>
      <w:r w:rsidR="006438AF">
        <w:rPr>
          <w:rFonts w:ascii="Calibri" w:eastAsia="Times New Roman" w:hAnsi="Calibri" w:cs="Calibri"/>
          <w:sz w:val="24"/>
          <w:lang w:eastAsia="en-GB"/>
        </w:rPr>
        <w:t>s</w:t>
      </w:r>
      <w:r>
        <w:rPr>
          <w:rFonts w:ascii="Calibri" w:eastAsia="Times New Roman" w:hAnsi="Calibri" w:cs="Calibri"/>
          <w:sz w:val="24"/>
          <w:lang w:eastAsia="en-GB"/>
        </w:rPr>
        <w:t xml:space="preserve"> to i</w:t>
      </w:r>
      <w:r w:rsidR="006B6630">
        <w:rPr>
          <w:rFonts w:ascii="Calibri" w:eastAsia="Times New Roman" w:hAnsi="Calibri" w:cs="Calibri"/>
          <w:sz w:val="24"/>
          <w:lang w:eastAsia="en-GB"/>
        </w:rPr>
        <w:t xml:space="preserve">dentify the barriers to growth, </w:t>
      </w:r>
      <w:r w:rsidR="004B5C24">
        <w:rPr>
          <w:rFonts w:ascii="Calibri" w:eastAsia="Times New Roman" w:hAnsi="Calibri" w:cs="Calibri"/>
          <w:sz w:val="24"/>
          <w:lang w:eastAsia="en-GB"/>
        </w:rPr>
        <w:t xml:space="preserve">the </w:t>
      </w:r>
      <w:r w:rsidR="006B6630">
        <w:rPr>
          <w:rFonts w:ascii="Calibri" w:eastAsia="Times New Roman" w:hAnsi="Calibri" w:cs="Calibri"/>
          <w:sz w:val="24"/>
          <w:lang w:eastAsia="en-GB"/>
        </w:rPr>
        <w:t xml:space="preserve">economic challenges and 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potential solutions that maximise </w:t>
      </w:r>
      <w:r w:rsidR="006B6630">
        <w:rPr>
          <w:rFonts w:ascii="Calibri" w:eastAsia="Times New Roman" w:hAnsi="Calibri" w:cs="Calibri"/>
          <w:sz w:val="24"/>
          <w:lang w:eastAsia="en-GB"/>
        </w:rPr>
        <w:t>commercial opportunities</w:t>
      </w:r>
      <w:r w:rsidR="00176A7B">
        <w:rPr>
          <w:rFonts w:ascii="Calibri" w:eastAsia="Times New Roman" w:hAnsi="Calibri" w:cs="Calibri"/>
          <w:sz w:val="24"/>
          <w:lang w:eastAsia="en-GB"/>
        </w:rPr>
        <w:t xml:space="preserve"> for </w:t>
      </w:r>
      <w:r>
        <w:rPr>
          <w:rFonts w:ascii="Calibri" w:eastAsia="Times New Roman" w:hAnsi="Calibri" w:cs="Calibri"/>
          <w:sz w:val="24"/>
          <w:lang w:eastAsia="en-GB"/>
        </w:rPr>
        <w:t xml:space="preserve">specific localities and for the </w:t>
      </w:r>
      <w:r w:rsidR="00176A7B">
        <w:rPr>
          <w:rFonts w:ascii="Calibri" w:eastAsia="Times New Roman" w:hAnsi="Calibri" w:cs="Calibri"/>
          <w:sz w:val="24"/>
          <w:lang w:eastAsia="en-GB"/>
        </w:rPr>
        <w:t>SSLEP area</w:t>
      </w:r>
      <w:r>
        <w:rPr>
          <w:rFonts w:ascii="Calibri" w:eastAsia="Times New Roman" w:hAnsi="Calibri" w:cs="Calibri"/>
          <w:sz w:val="24"/>
          <w:lang w:eastAsia="en-GB"/>
        </w:rPr>
        <w:t xml:space="preserve"> as a whole;</w:t>
      </w:r>
    </w:p>
    <w:p w14:paraId="1289E9A0" w14:textId="395360C8" w:rsidR="006B6630" w:rsidRDefault="006B663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Contribute to the </w:t>
      </w:r>
      <w:r w:rsidR="00CB1040">
        <w:rPr>
          <w:rFonts w:ascii="Calibri" w:eastAsia="Times New Roman" w:hAnsi="Calibri" w:cs="Calibri"/>
          <w:sz w:val="24"/>
          <w:lang w:eastAsia="en-GB"/>
        </w:rPr>
        <w:t xml:space="preserve">growth of the LEP economy and productivity by 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providing local intelligence in support of </w:t>
      </w:r>
      <w:r w:rsidR="00CB1040">
        <w:rPr>
          <w:rFonts w:ascii="Calibri" w:eastAsia="Times New Roman" w:hAnsi="Calibri" w:cs="Calibri"/>
          <w:sz w:val="24"/>
          <w:lang w:eastAsia="en-GB"/>
        </w:rPr>
        <w:t>priority actions and investment to feed into delivery plans;</w:t>
      </w:r>
    </w:p>
    <w:p w14:paraId="4FD46149" w14:textId="3B05A451" w:rsidR="00CB1040" w:rsidRDefault="00CB1040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 xml:space="preserve">Promote </w:t>
      </w:r>
      <w:r w:rsidR="00E62D20">
        <w:rPr>
          <w:rFonts w:ascii="Calibri" w:eastAsia="Times New Roman" w:hAnsi="Calibri" w:cs="Calibri"/>
          <w:sz w:val="24"/>
          <w:lang w:eastAsia="en-GB"/>
        </w:rPr>
        <w:t>partnership</w:t>
      </w:r>
      <w:r>
        <w:rPr>
          <w:rFonts w:ascii="Calibri" w:eastAsia="Times New Roman" w:hAnsi="Calibri" w:cs="Calibri"/>
          <w:sz w:val="24"/>
          <w:lang w:eastAsia="en-GB"/>
        </w:rPr>
        <w:t xml:space="preserve"> engagement and networking, championing the LEP through 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related </w:t>
      </w:r>
      <w:r>
        <w:rPr>
          <w:rFonts w:ascii="Calibri" w:eastAsia="Times New Roman" w:hAnsi="Calibri" w:cs="Calibri"/>
          <w:sz w:val="24"/>
          <w:lang w:eastAsia="en-GB"/>
        </w:rPr>
        <w:t>activities;</w:t>
      </w:r>
    </w:p>
    <w:p w14:paraId="2F644394" w14:textId="03C4063D" w:rsidR="0007413E" w:rsidRPr="0007413E" w:rsidRDefault="00E91D1A" w:rsidP="00E62D2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Calibri" w:eastAsia="Times New Roman" w:hAnsi="Calibri" w:cs="Calibri"/>
          <w:sz w:val="24"/>
          <w:lang w:eastAsia="en-GB"/>
        </w:rPr>
      </w:pPr>
      <w:r>
        <w:rPr>
          <w:rFonts w:ascii="Calibri" w:eastAsia="Times New Roman" w:hAnsi="Calibri" w:cs="Calibri"/>
          <w:sz w:val="24"/>
          <w:lang w:eastAsia="en-GB"/>
        </w:rPr>
        <w:t>Work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lang w:eastAsia="en-GB"/>
        </w:rPr>
        <w:t>with</w:t>
      </w:r>
      <w:r w:rsidR="00E62D20">
        <w:rPr>
          <w:rFonts w:ascii="Calibri" w:eastAsia="Times New Roman" w:hAnsi="Calibri" w:cs="Calibri"/>
          <w:sz w:val="24"/>
          <w:lang w:eastAsia="en-GB"/>
        </w:rPr>
        <w:t xml:space="preserve"> colleagues on the group, and across partner organisations, sharing information and collaborating on identified tasks relating to specific localities, clusters and LEP-wide interventions</w:t>
      </w:r>
      <w:r w:rsidR="006438AF">
        <w:rPr>
          <w:rFonts w:ascii="Calibri" w:eastAsia="Times New Roman" w:hAnsi="Calibri" w:cs="Calibri"/>
          <w:sz w:val="24"/>
          <w:lang w:eastAsia="en-GB"/>
        </w:rPr>
        <w:t>.</w:t>
      </w:r>
    </w:p>
    <w:p w14:paraId="5D5D6AF2" w14:textId="63DCABBD" w:rsidR="00E91D1A" w:rsidRDefault="00E91D1A" w:rsidP="00397B88">
      <w:pPr>
        <w:pStyle w:val="ListParagraph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Calibri" w:eastAsia="Times New Roman" w:hAnsi="Calibri" w:cs="Calibri"/>
          <w:sz w:val="24"/>
          <w:lang w:eastAsia="en-GB"/>
        </w:rPr>
      </w:pPr>
    </w:p>
    <w:p w14:paraId="55542C5B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standard"/>
          <w14:cntxtAlts/>
        </w:rPr>
      </w:pPr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8"/>
          <w:lang w:eastAsia="en-GB"/>
          <w14:ligatures w14:val="standard"/>
          <w14:cntxtAlts/>
        </w:rPr>
        <w:t>Timetabling/Frequency</w:t>
      </w:r>
    </w:p>
    <w:p w14:paraId="1936905A" w14:textId="4CCCAC0F" w:rsidR="0000293A" w:rsidRDefault="0000293A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Reference Group</w:t>
      </w:r>
      <w:r w:rsidRPr="0000293A">
        <w:rPr>
          <w:rFonts w:ascii="Calibri" w:eastAsia="Times New Roman" w:hAnsi="Calibri" w:cs="Calibri"/>
          <w:sz w:val="24"/>
          <w:szCs w:val="24"/>
          <w:lang w:eastAsia="en-GB"/>
        </w:rPr>
        <w:t xml:space="preserve"> will meet </w:t>
      </w:r>
      <w:r w:rsidR="0080531F">
        <w:rPr>
          <w:rFonts w:ascii="Calibri" w:eastAsia="Times New Roman" w:hAnsi="Calibri" w:cs="Calibri"/>
          <w:sz w:val="24"/>
          <w:szCs w:val="24"/>
          <w:lang w:eastAsia="en-GB"/>
        </w:rPr>
        <w:t>bimonthly</w:t>
      </w:r>
      <w:r w:rsidR="00C474A4" w:rsidRPr="00C474A4">
        <w:rPr>
          <w:rFonts w:ascii="Calibri" w:eastAsia="Times New Roman" w:hAnsi="Calibri" w:cs="Calibri"/>
          <w:sz w:val="24"/>
          <w:szCs w:val="24"/>
          <w:lang w:eastAsia="en-GB"/>
        </w:rPr>
        <w:t>, as a minimum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, although timetabling and frequency may be adapted in response to the needs of the Place Advisory Sub-group and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to ensure the effective operation of the </w:t>
      </w:r>
      <w:r w:rsidR="006438AF">
        <w:rPr>
          <w:rFonts w:ascii="Calibri" w:eastAsia="Times New Roman" w:hAnsi="Calibri" w:cs="Calibri"/>
          <w:sz w:val="24"/>
          <w:szCs w:val="24"/>
          <w:lang w:eastAsia="en-GB"/>
        </w:rPr>
        <w:t>group</w:t>
      </w:r>
      <w:r w:rsidR="00C474A4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39B8F73D" w14:textId="77777777" w:rsidR="00397B88" w:rsidRPr="0000293A" w:rsidRDefault="00397B88" w:rsidP="00397B8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D4C98BF" w14:textId="77777777" w:rsidR="0000293A" w:rsidRPr="00C474A4" w:rsidRDefault="0000293A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1" w:name="_Hlk32933353"/>
      <w:r w:rsidRPr="00C474A4"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Representation &amp; Attendance</w:t>
      </w:r>
    </w:p>
    <w:bookmarkEnd w:id="1"/>
    <w:p w14:paraId="5E8CBF3C" w14:textId="4D4EC256" w:rsidR="00E43404" w:rsidRDefault="00C474A4" w:rsidP="00397B88">
      <w:pPr>
        <w:spacing w:after="120" w:line="276" w:lineRule="auto"/>
        <w:ind w:left="567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As a minimum, the following </w:t>
      </w:r>
      <w:r w:rsidR="00765C4A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core </w:t>
      </w:r>
      <w:r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representation will apply:</w:t>
      </w:r>
    </w:p>
    <w:p w14:paraId="5891578F" w14:textId="30C447EE" w:rsid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Chair </w:t>
      </w:r>
      <w:r w:rsidR="00175F30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>–</w:t>
      </w:r>
      <w:r w:rsidRPr="00C474A4"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Chair or Vice Chair of the Place Advisory Sub-group</w:t>
      </w:r>
    </w:p>
    <w:p w14:paraId="714C8C85" w14:textId="3CE4A67F" w:rsidR="00DF2C05" w:rsidRPr="00C474A4" w:rsidRDefault="00DF2C05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Vice Chair – SSLEP Executive Board member or appropriate expert to be recommended by the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Localities Reference Group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Chair and agreed with the Executive Board</w:t>
      </w:r>
    </w:p>
    <w:p w14:paraId="5AD8DEF7" w14:textId="77777777" w:rsidR="00C474A4" w:rsidRPr="00C474A4" w:rsidRDefault="00C474A4" w:rsidP="00397B88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>LEP Lead Officer – a member of the LEP secretariat</w:t>
      </w:r>
    </w:p>
    <w:p w14:paraId="09861C4B" w14:textId="7ADCF5E3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Cannock Chase Council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or delegated Director </w:t>
      </w:r>
    </w:p>
    <w:p w14:paraId="1A89FB90" w14:textId="73278E5C" w:rsidR="000F343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bookmarkStart w:id="2" w:name="_Hlk39740176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East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Stafford</w:t>
      </w:r>
      <w:r w:rsidR="00175F30">
        <w:rPr>
          <w:rFonts w:ascii="Calibri" w:eastAsia="Times New Roman" w:hAnsi="Calibri" w:cs="Calibri"/>
          <w:sz w:val="24"/>
          <w:szCs w:val="24"/>
          <w:lang w:eastAsia="en-GB"/>
        </w:rPr>
        <w:t>shire Borough Council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or delegated Director</w:t>
      </w:r>
    </w:p>
    <w:bookmarkEnd w:id="2"/>
    <w:p w14:paraId="336D53DE" w14:textId="26BA05B9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Lichfield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District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2FDFEB55" w14:textId="47819ECA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Newcastle-under-Lyme 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>Borough Council or delegated Director</w:t>
      </w:r>
    </w:p>
    <w:p w14:paraId="72628E16" w14:textId="73400FC4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South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Staff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6BD02A1D" w14:textId="40E0D8DA" w:rsidR="00175F30" w:rsidRPr="00175F30" w:rsidRDefault="00175F30" w:rsidP="00175F30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175F30">
        <w:rPr>
          <w:rFonts w:ascii="Calibri" w:eastAsia="Times New Roman" w:hAnsi="Calibri" w:cs="Calibri"/>
          <w:sz w:val="24"/>
          <w:szCs w:val="24"/>
          <w:lang w:eastAsia="en-GB"/>
        </w:rPr>
        <w:t>CEO of Stafford Borough Council or delegated Director</w:t>
      </w:r>
    </w:p>
    <w:p w14:paraId="6F54539C" w14:textId="53A3C523" w:rsidR="004D164B" w:rsidRDefault="004D164B" w:rsidP="004D164B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CEO of Staffordshire Moorlands District Council or delegated Director</w:t>
      </w:r>
    </w:p>
    <w:p w14:paraId="0C38F019" w14:textId="3F504821" w:rsidR="004D164B" w:rsidRPr="004D164B" w:rsidRDefault="004D164B" w:rsidP="004D16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Stoke-on-Trent City</w:t>
      </w: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 Council or delegated Director</w:t>
      </w:r>
    </w:p>
    <w:p w14:paraId="1396F52A" w14:textId="354B47A7" w:rsidR="00175F30" w:rsidRPr="004D164B" w:rsidRDefault="004D164B" w:rsidP="004D164B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CEO of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Tamworth</w:t>
      </w:r>
      <w:r w:rsidRPr="004D164B">
        <w:rPr>
          <w:rFonts w:ascii="Calibri" w:eastAsia="Times New Roman" w:hAnsi="Calibri" w:cs="Calibri"/>
          <w:sz w:val="24"/>
          <w:szCs w:val="24"/>
          <w:lang w:eastAsia="en-GB"/>
        </w:rPr>
        <w:t xml:space="preserve"> Borough Council or delegated Director</w:t>
      </w:r>
    </w:p>
    <w:p w14:paraId="4268A155" w14:textId="53D008D7" w:rsidR="000F3434" w:rsidRPr="00C474A4" w:rsidRDefault="000F3434" w:rsidP="000F3434">
      <w:pPr>
        <w:pStyle w:val="ListParagraph"/>
        <w:numPr>
          <w:ilvl w:val="0"/>
          <w:numId w:val="4"/>
        </w:numPr>
        <w:spacing w:after="120"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HEI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thematic</w:t>
      </w:r>
      <w:r w:rsidRPr="00C474A4">
        <w:rPr>
          <w:rFonts w:ascii="Calibri" w:eastAsia="Times New Roman" w:hAnsi="Calibri" w:cs="Calibri"/>
          <w:sz w:val="24"/>
          <w:szCs w:val="24"/>
          <w:lang w:eastAsia="en-GB"/>
        </w:rPr>
        <w:t xml:space="preserve"> specialist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– </w:t>
      </w:r>
      <w:r w:rsidR="004D164B">
        <w:rPr>
          <w:rFonts w:ascii="Calibri" w:eastAsia="Times New Roman" w:hAnsi="Calibri" w:cs="Calibri"/>
          <w:sz w:val="24"/>
          <w:szCs w:val="24"/>
          <w:lang w:eastAsia="en-GB"/>
        </w:rPr>
        <w:t>place-making and marketing</w:t>
      </w:r>
    </w:p>
    <w:p w14:paraId="7F962A97" w14:textId="77777777" w:rsidR="00DE2947" w:rsidRPr="00C474A4" w:rsidRDefault="00DE2947" w:rsidP="00397B88">
      <w:pPr>
        <w:pStyle w:val="ListParagraph"/>
        <w:spacing w:after="120" w:line="276" w:lineRule="auto"/>
        <w:ind w:left="1080"/>
        <w:rPr>
          <w:rFonts w:eastAsia="Times New Roman" w:cstheme="minorHAnsi"/>
          <w:kern w:val="28"/>
          <w:sz w:val="24"/>
          <w:szCs w:val="24"/>
          <w:lang w:eastAsia="en-GB"/>
          <w14:ligatures w14:val="standard"/>
          <w14:cntxtAlts/>
        </w:rPr>
      </w:pPr>
    </w:p>
    <w:p w14:paraId="48014EDE" w14:textId="70A29FD8" w:rsidR="00DE2947" w:rsidRDefault="00DE294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bookmarkStart w:id="3" w:name="_Hlk32934586"/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Conflicts of Interest</w:t>
      </w:r>
    </w:p>
    <w:bookmarkEnd w:id="3"/>
    <w:p w14:paraId="0EA5B070" w14:textId="11480EAB" w:rsidR="00136D67" w:rsidRDefault="00E905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Reference Group </w:t>
      </w:r>
      <w:r w:rsidR="00DE294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members, and supporting staff, are required to adhere to the codes of practice, standards of behaviour, processes and procedures set out in the SSLEP Assurance Framework.</w:t>
      </w:r>
      <w:r w:rsid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 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In conducting its business, 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the group</w:t>
      </w:r>
      <w:r w:rsidR="002A198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promote the values of SSLEP.</w:t>
      </w:r>
    </w:p>
    <w:p w14:paraId="79B3C7DB" w14:textId="77777777" w:rsid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6D91E4ED" w14:textId="4A6D9BA8" w:rsidR="00136D67" w:rsidRPr="0080531F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Board members are required to complete a Register of Interests form before participating in any decisions, as set out in the “National Local Growth Assurance Framework” guidance</w:t>
      </w:r>
      <w:r w:rsid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. </w:t>
      </w:r>
      <w:r w:rsidRPr="0080531F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Members’ declarations of interest can be found on SSLEP’s website:</w:t>
      </w:r>
    </w:p>
    <w:p w14:paraId="4722174A" w14:textId="058CB864" w:rsidR="00136D67" w:rsidRDefault="00E84003" w:rsidP="00397B88">
      <w:pPr>
        <w:pStyle w:val="ListParagraph"/>
        <w:spacing w:after="120" w:line="276" w:lineRule="auto"/>
        <w:ind w:left="567"/>
      </w:pPr>
      <w:hyperlink r:id="rId7" w:history="1">
        <w:r w:rsidR="00136D67">
          <w:rPr>
            <w:rStyle w:val="Hyperlink"/>
          </w:rPr>
          <w:t>https://www.stokestaffslep.org.uk/about-us/governance/</w:t>
        </w:r>
      </w:hyperlink>
    </w:p>
    <w:p w14:paraId="028A8808" w14:textId="17915B1F" w:rsidR="00136D67" w:rsidRDefault="00136D67" w:rsidP="00397B88">
      <w:pPr>
        <w:pStyle w:val="ListParagraph"/>
        <w:spacing w:after="120" w:line="276" w:lineRule="auto"/>
        <w:ind w:left="567"/>
      </w:pPr>
    </w:p>
    <w:p w14:paraId="4034C91B" w14:textId="2A92E7B0" w:rsidR="00136D67" w:rsidRDefault="00136D67" w:rsidP="00397B88">
      <w:pPr>
        <w:pStyle w:val="ListParagraph"/>
        <w:numPr>
          <w:ilvl w:val="0"/>
          <w:numId w:val="8"/>
        </w:numPr>
        <w:spacing w:after="120" w:line="276" w:lineRule="auto"/>
        <w:ind w:left="567" w:hanging="567"/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</w:pPr>
      <w:r>
        <w:rPr>
          <w:rFonts w:ascii="Cambria" w:eastAsia="Times New Roman" w:hAnsi="Cambria" w:cs="Calibri"/>
          <w:b/>
          <w:color w:val="365F91"/>
          <w:kern w:val="28"/>
          <w:sz w:val="28"/>
          <w:szCs w:val="20"/>
          <w:lang w:eastAsia="en-GB"/>
          <w14:ligatures w14:val="standard"/>
          <w14:cntxtAlts/>
        </w:rPr>
        <w:t>Accountability</w:t>
      </w:r>
    </w:p>
    <w:p w14:paraId="60CF169D" w14:textId="6286EABC" w:rsidR="00136D67" w:rsidRPr="00136D6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  <w:r w:rsidRPr="00136D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T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he </w:t>
      </w:r>
      <w:r w:rsidR="00E905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Localities Reference Group</w:t>
      </w:r>
      <w:r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will be accountable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 and report to the </w:t>
      </w:r>
      <w:r w:rsidR="00E90567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 xml:space="preserve">Place Advisory Sub-group and the </w:t>
      </w:r>
      <w:r w:rsidR="00337CE8"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  <w:t>SSLEP Executive Board.</w:t>
      </w:r>
    </w:p>
    <w:p w14:paraId="3E61814A" w14:textId="77777777" w:rsidR="00136D67" w:rsidRDefault="00136D67" w:rsidP="00397B88">
      <w:pPr>
        <w:pStyle w:val="ListParagraph"/>
        <w:spacing w:after="120" w:line="276" w:lineRule="auto"/>
        <w:ind w:left="567" w:hanging="425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4C33A25" w14:textId="77777777" w:rsidR="00136D67" w:rsidRPr="00DE2947" w:rsidRDefault="00136D67" w:rsidP="00397B88">
      <w:pPr>
        <w:pStyle w:val="ListParagraph"/>
        <w:spacing w:after="120" w:line="276" w:lineRule="auto"/>
        <w:ind w:left="567"/>
        <w:rPr>
          <w:rFonts w:eastAsia="Times New Roman" w:cstheme="minorHAnsi"/>
          <w:bCs/>
          <w:kern w:val="28"/>
          <w:sz w:val="24"/>
          <w:szCs w:val="24"/>
          <w:lang w:eastAsia="en-GB"/>
          <w14:ligatures w14:val="standard"/>
          <w14:cntxtAlts/>
        </w:rPr>
      </w:pPr>
    </w:p>
    <w:p w14:paraId="49E17F34" w14:textId="77777777" w:rsidR="0000293A" w:rsidRPr="0000293A" w:rsidRDefault="0000293A" w:rsidP="00397B88">
      <w:pPr>
        <w:spacing w:after="0" w:line="276" w:lineRule="auto"/>
        <w:jc w:val="both"/>
        <w:rPr>
          <w:rFonts w:ascii="Verdana" w:eastAsia="Times New Roman" w:hAnsi="Verdana" w:cs="Arial"/>
          <w:color w:val="000000"/>
          <w:kern w:val="28"/>
          <w:szCs w:val="20"/>
          <w:u w:val="single"/>
          <w:lang w:eastAsia="en-GB"/>
          <w14:ligatures w14:val="standard"/>
          <w14:cntxtAlts/>
        </w:rPr>
      </w:pPr>
    </w:p>
    <w:sectPr w:rsidR="0000293A" w:rsidRPr="0000293A" w:rsidSect="006060CB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E54C" w14:textId="77777777" w:rsidR="00175F30" w:rsidRDefault="00175F30" w:rsidP="004C3E4B">
      <w:pPr>
        <w:spacing w:after="0" w:line="240" w:lineRule="auto"/>
      </w:pPr>
      <w:r>
        <w:separator/>
      </w:r>
    </w:p>
  </w:endnote>
  <w:endnote w:type="continuationSeparator" w:id="0">
    <w:p w14:paraId="1534E650" w14:textId="77777777" w:rsidR="00175F30" w:rsidRDefault="00175F30" w:rsidP="004C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D3DE" w14:textId="77777777" w:rsidR="00175F30" w:rsidRDefault="00175F30" w:rsidP="004C3E4B">
      <w:pPr>
        <w:spacing w:after="0" w:line="240" w:lineRule="auto"/>
      </w:pPr>
      <w:r>
        <w:separator/>
      </w:r>
    </w:p>
  </w:footnote>
  <w:footnote w:type="continuationSeparator" w:id="0">
    <w:p w14:paraId="775B6FFC" w14:textId="77777777" w:rsidR="00175F30" w:rsidRDefault="00175F30" w:rsidP="004C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E0B"/>
    <w:multiLevelType w:val="hybridMultilevel"/>
    <w:tmpl w:val="D0E099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37AD2"/>
    <w:multiLevelType w:val="multilevel"/>
    <w:tmpl w:val="1820E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2BC854CC"/>
    <w:multiLevelType w:val="multilevel"/>
    <w:tmpl w:val="38A4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3D828DB"/>
    <w:multiLevelType w:val="hybridMultilevel"/>
    <w:tmpl w:val="CDBA0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41D6"/>
    <w:multiLevelType w:val="hybridMultilevel"/>
    <w:tmpl w:val="CC1E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A810A2"/>
    <w:multiLevelType w:val="hybridMultilevel"/>
    <w:tmpl w:val="13646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D16BC9"/>
    <w:multiLevelType w:val="hybridMultilevel"/>
    <w:tmpl w:val="19622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423D0"/>
    <w:multiLevelType w:val="hybridMultilevel"/>
    <w:tmpl w:val="882698A6"/>
    <w:lvl w:ilvl="0" w:tplc="FCB671B0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365F9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3A"/>
    <w:rsid w:val="0000293A"/>
    <w:rsid w:val="0007413E"/>
    <w:rsid w:val="000F3434"/>
    <w:rsid w:val="00136D67"/>
    <w:rsid w:val="00175F30"/>
    <w:rsid w:val="00176A7B"/>
    <w:rsid w:val="00212AD3"/>
    <w:rsid w:val="002A1987"/>
    <w:rsid w:val="00337CE8"/>
    <w:rsid w:val="00350114"/>
    <w:rsid w:val="00397B88"/>
    <w:rsid w:val="004B5C24"/>
    <w:rsid w:val="004C3E4B"/>
    <w:rsid w:val="004D164B"/>
    <w:rsid w:val="00507583"/>
    <w:rsid w:val="005E5CD7"/>
    <w:rsid w:val="006060CB"/>
    <w:rsid w:val="006438AF"/>
    <w:rsid w:val="006A2AB0"/>
    <w:rsid w:val="006B6630"/>
    <w:rsid w:val="00765C4A"/>
    <w:rsid w:val="0080531F"/>
    <w:rsid w:val="00834D45"/>
    <w:rsid w:val="008C5ACC"/>
    <w:rsid w:val="008D2851"/>
    <w:rsid w:val="009C6B02"/>
    <w:rsid w:val="00BC6A30"/>
    <w:rsid w:val="00C474A4"/>
    <w:rsid w:val="00CB1040"/>
    <w:rsid w:val="00D03A17"/>
    <w:rsid w:val="00DE2947"/>
    <w:rsid w:val="00DF0274"/>
    <w:rsid w:val="00DF2C05"/>
    <w:rsid w:val="00E43404"/>
    <w:rsid w:val="00E6165E"/>
    <w:rsid w:val="00E62D20"/>
    <w:rsid w:val="00E84003"/>
    <w:rsid w:val="00E90567"/>
    <w:rsid w:val="00E91D1A"/>
    <w:rsid w:val="00F27A83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3C8AFD"/>
  <w15:chartTrackingRefBased/>
  <w15:docId w15:val="{9B1AF7D1-2C24-4CAE-ADF4-AE712D8D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kestaffslep.org.uk/about-us/govern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2</cp:revision>
  <dcterms:created xsi:type="dcterms:W3CDTF">2020-06-09T13:06:00Z</dcterms:created>
  <dcterms:modified xsi:type="dcterms:W3CDTF">2020-06-09T13:06:00Z</dcterms:modified>
</cp:coreProperties>
</file>