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3A58" w14:textId="77777777" w:rsidR="00277860" w:rsidRPr="00277860" w:rsidRDefault="00277860" w:rsidP="00277860">
      <w:pPr>
        <w:jc w:val="center"/>
        <w:rPr>
          <w:rFonts w:cstheme="minorHAnsi"/>
          <w:b/>
          <w:sz w:val="28"/>
          <w:szCs w:val="28"/>
        </w:rPr>
      </w:pPr>
      <w:r w:rsidRPr="00277860">
        <w:rPr>
          <w:rFonts w:cstheme="minorHAnsi"/>
          <w:b/>
          <w:sz w:val="28"/>
          <w:szCs w:val="28"/>
        </w:rPr>
        <w:t>STOKE ON TRENT &amp; STAFFORDSHIRE</w:t>
      </w:r>
    </w:p>
    <w:p w14:paraId="3D2EFF1C" w14:textId="77777777" w:rsidR="00277860" w:rsidRPr="00277860" w:rsidRDefault="00277860" w:rsidP="00277860">
      <w:pPr>
        <w:jc w:val="center"/>
        <w:rPr>
          <w:rFonts w:cstheme="minorHAnsi"/>
          <w:b/>
          <w:sz w:val="28"/>
          <w:szCs w:val="28"/>
        </w:rPr>
      </w:pPr>
      <w:r w:rsidRPr="00277860">
        <w:rPr>
          <w:rFonts w:cstheme="minorHAnsi"/>
          <w:b/>
          <w:sz w:val="28"/>
          <w:szCs w:val="28"/>
        </w:rPr>
        <w:t>LOCAL ENTERPRISE PARTNERSHIP</w:t>
      </w:r>
    </w:p>
    <w:p w14:paraId="4EFDB767" w14:textId="77777777" w:rsidR="00277860" w:rsidRPr="00277860" w:rsidRDefault="00277860" w:rsidP="00277860">
      <w:pPr>
        <w:jc w:val="center"/>
        <w:rPr>
          <w:rFonts w:cstheme="minorHAnsi"/>
          <w:b/>
          <w:sz w:val="28"/>
          <w:szCs w:val="28"/>
        </w:rPr>
      </w:pPr>
      <w:r w:rsidRPr="00277860">
        <w:rPr>
          <w:rFonts w:cstheme="minorHAnsi"/>
          <w:b/>
          <w:sz w:val="28"/>
          <w:szCs w:val="28"/>
        </w:rPr>
        <w:t>EXECUTIVE BOARD MEETING</w:t>
      </w:r>
    </w:p>
    <w:p w14:paraId="7671C946" w14:textId="7290C158" w:rsidR="00277860" w:rsidRPr="00277860" w:rsidRDefault="00277860" w:rsidP="00277860">
      <w:pPr>
        <w:spacing w:after="0" w:line="240" w:lineRule="auto"/>
        <w:jc w:val="center"/>
        <w:rPr>
          <w:rFonts w:cstheme="minorHAnsi"/>
          <w:b/>
          <w:sz w:val="28"/>
          <w:szCs w:val="28"/>
        </w:rPr>
      </w:pPr>
      <w:r w:rsidRPr="00277860">
        <w:rPr>
          <w:rFonts w:cstheme="minorHAnsi"/>
          <w:b/>
          <w:sz w:val="28"/>
          <w:szCs w:val="28"/>
        </w:rPr>
        <w:t>27 February 2020</w:t>
      </w:r>
    </w:p>
    <w:p w14:paraId="7C564E7C" w14:textId="2AD07994" w:rsidR="00806717" w:rsidRPr="00277860" w:rsidRDefault="00806717" w:rsidP="00277860">
      <w:pPr>
        <w:spacing w:after="0" w:line="240" w:lineRule="auto"/>
        <w:jc w:val="center"/>
        <w:rPr>
          <w:rFonts w:cstheme="minorHAnsi"/>
          <w:b/>
          <w:bCs/>
          <w:sz w:val="28"/>
          <w:szCs w:val="28"/>
        </w:rPr>
      </w:pPr>
    </w:p>
    <w:p w14:paraId="6CF2E7F1" w14:textId="4A91AA64" w:rsidR="00806717" w:rsidRPr="00277860" w:rsidRDefault="00277860" w:rsidP="00277860">
      <w:pPr>
        <w:spacing w:after="0" w:line="240" w:lineRule="auto"/>
        <w:jc w:val="center"/>
        <w:rPr>
          <w:rFonts w:cstheme="minorHAnsi"/>
          <w:b/>
          <w:bCs/>
          <w:sz w:val="28"/>
          <w:szCs w:val="28"/>
        </w:rPr>
      </w:pPr>
      <w:r>
        <w:rPr>
          <w:rFonts w:cstheme="minorHAnsi"/>
          <w:b/>
          <w:bCs/>
          <w:sz w:val="28"/>
          <w:szCs w:val="28"/>
        </w:rPr>
        <w:t xml:space="preserve">SSLEP </w:t>
      </w:r>
      <w:r w:rsidR="00806717" w:rsidRPr="00277860">
        <w:rPr>
          <w:rFonts w:cstheme="minorHAnsi"/>
          <w:b/>
          <w:bCs/>
          <w:sz w:val="28"/>
          <w:szCs w:val="28"/>
        </w:rPr>
        <w:t>Core Budget 2020</w:t>
      </w:r>
      <w:r w:rsidR="006F54C6">
        <w:rPr>
          <w:rFonts w:cstheme="minorHAnsi"/>
          <w:b/>
          <w:bCs/>
          <w:sz w:val="28"/>
          <w:szCs w:val="28"/>
        </w:rPr>
        <w:t>-</w:t>
      </w:r>
      <w:r w:rsidR="00806717" w:rsidRPr="00277860">
        <w:rPr>
          <w:rFonts w:cstheme="minorHAnsi"/>
          <w:b/>
          <w:bCs/>
          <w:sz w:val="28"/>
          <w:szCs w:val="28"/>
        </w:rPr>
        <w:t>21</w:t>
      </w:r>
    </w:p>
    <w:p w14:paraId="7A9533B1" w14:textId="77777777" w:rsidR="00806717" w:rsidRPr="00277860" w:rsidRDefault="00806717" w:rsidP="00277860">
      <w:pPr>
        <w:spacing w:after="0" w:line="240" w:lineRule="auto"/>
        <w:rPr>
          <w:rFonts w:cstheme="minorHAnsi"/>
          <w:sz w:val="24"/>
          <w:szCs w:val="24"/>
        </w:rPr>
      </w:pPr>
    </w:p>
    <w:p w14:paraId="51A1C733" w14:textId="77777777" w:rsidR="00806717" w:rsidRPr="00277860" w:rsidRDefault="00806717" w:rsidP="000E226D">
      <w:pPr>
        <w:pStyle w:val="ListParagraph"/>
        <w:numPr>
          <w:ilvl w:val="0"/>
          <w:numId w:val="1"/>
        </w:numPr>
        <w:jc w:val="both"/>
        <w:rPr>
          <w:rFonts w:cstheme="minorHAnsi"/>
          <w:sz w:val="24"/>
          <w:szCs w:val="24"/>
        </w:rPr>
      </w:pPr>
      <w:r w:rsidRPr="00277860">
        <w:rPr>
          <w:rFonts w:cstheme="minorHAnsi"/>
          <w:sz w:val="24"/>
          <w:szCs w:val="24"/>
        </w:rPr>
        <w:t>Background</w:t>
      </w:r>
    </w:p>
    <w:p w14:paraId="7FC60F12" w14:textId="77777777" w:rsidR="00806717" w:rsidRPr="00277860" w:rsidRDefault="00806717" w:rsidP="000E226D">
      <w:pPr>
        <w:pStyle w:val="ListParagraph"/>
        <w:jc w:val="both"/>
        <w:rPr>
          <w:rFonts w:cstheme="minorHAnsi"/>
          <w:sz w:val="24"/>
          <w:szCs w:val="24"/>
        </w:rPr>
      </w:pPr>
    </w:p>
    <w:p w14:paraId="00206CCA" w14:textId="4C257E39" w:rsidR="00806717" w:rsidRPr="00277860" w:rsidRDefault="00806717" w:rsidP="000E226D">
      <w:pPr>
        <w:pStyle w:val="ListParagraph"/>
        <w:jc w:val="both"/>
        <w:rPr>
          <w:rFonts w:cstheme="minorHAnsi"/>
          <w:sz w:val="24"/>
          <w:szCs w:val="24"/>
        </w:rPr>
      </w:pPr>
      <w:r w:rsidRPr="00277860">
        <w:rPr>
          <w:rFonts w:cstheme="minorHAnsi"/>
          <w:sz w:val="24"/>
          <w:szCs w:val="24"/>
        </w:rPr>
        <w:t>Under the SSLEP Scheme of Delegation</w:t>
      </w:r>
      <w:r w:rsidR="00DF27E7" w:rsidRPr="00277860">
        <w:rPr>
          <w:rFonts w:cstheme="minorHAnsi"/>
          <w:sz w:val="24"/>
          <w:szCs w:val="24"/>
        </w:rPr>
        <w:t>,</w:t>
      </w:r>
      <w:r w:rsidRPr="00277860">
        <w:rPr>
          <w:rFonts w:cstheme="minorHAnsi"/>
          <w:sz w:val="24"/>
          <w:szCs w:val="24"/>
        </w:rPr>
        <w:t xml:space="preserve"> </w:t>
      </w:r>
      <w:r w:rsidR="002A6FE0" w:rsidRPr="00277860">
        <w:rPr>
          <w:rFonts w:cstheme="minorHAnsi"/>
          <w:sz w:val="24"/>
          <w:szCs w:val="24"/>
        </w:rPr>
        <w:t xml:space="preserve">set out in the SSLEP Assurance Framework, </w:t>
      </w:r>
      <w:r w:rsidRPr="00277860">
        <w:rPr>
          <w:rFonts w:cstheme="minorHAnsi"/>
          <w:sz w:val="24"/>
          <w:szCs w:val="24"/>
        </w:rPr>
        <w:t>the Executive Board is required to formally approve the SSLEP Core Budget annually.</w:t>
      </w:r>
      <w:r w:rsidR="002A6FE0" w:rsidRPr="00277860">
        <w:rPr>
          <w:rFonts w:cstheme="minorHAnsi"/>
          <w:sz w:val="24"/>
          <w:szCs w:val="24"/>
        </w:rPr>
        <w:t xml:space="preserve"> Core budget expenditure is reported quarterly to the LEP Executive Board as part of the Finance Dashboard. </w:t>
      </w:r>
    </w:p>
    <w:p w14:paraId="7F4DEBE9" w14:textId="77777777" w:rsidR="00806717" w:rsidRPr="00277860" w:rsidRDefault="00806717" w:rsidP="000E226D">
      <w:pPr>
        <w:jc w:val="both"/>
        <w:rPr>
          <w:rFonts w:cstheme="minorHAnsi"/>
          <w:sz w:val="24"/>
          <w:szCs w:val="24"/>
        </w:rPr>
      </w:pPr>
    </w:p>
    <w:p w14:paraId="17323362" w14:textId="77777777" w:rsidR="00806717" w:rsidRPr="00277860" w:rsidRDefault="00806717" w:rsidP="000E226D">
      <w:pPr>
        <w:pStyle w:val="ListParagraph"/>
        <w:numPr>
          <w:ilvl w:val="0"/>
          <w:numId w:val="1"/>
        </w:numPr>
        <w:jc w:val="both"/>
        <w:rPr>
          <w:rFonts w:cstheme="minorHAnsi"/>
          <w:sz w:val="24"/>
          <w:szCs w:val="24"/>
        </w:rPr>
      </w:pPr>
      <w:r w:rsidRPr="00277860">
        <w:rPr>
          <w:rFonts w:cstheme="minorHAnsi"/>
          <w:sz w:val="24"/>
          <w:szCs w:val="24"/>
        </w:rPr>
        <w:t>Core Budget 20/21</w:t>
      </w:r>
    </w:p>
    <w:p w14:paraId="57B77395" w14:textId="77777777" w:rsidR="00806717" w:rsidRPr="00277860" w:rsidRDefault="00806717" w:rsidP="000E226D">
      <w:pPr>
        <w:pStyle w:val="ListParagraph"/>
        <w:jc w:val="both"/>
        <w:rPr>
          <w:rFonts w:cstheme="minorHAnsi"/>
          <w:sz w:val="24"/>
          <w:szCs w:val="24"/>
        </w:rPr>
      </w:pPr>
    </w:p>
    <w:p w14:paraId="38C4880D" w14:textId="4AE8A73D" w:rsidR="00806717" w:rsidRPr="00277860" w:rsidRDefault="00806717" w:rsidP="000E226D">
      <w:pPr>
        <w:pStyle w:val="ListParagraph"/>
        <w:jc w:val="both"/>
        <w:rPr>
          <w:rFonts w:cstheme="minorHAnsi"/>
          <w:sz w:val="24"/>
          <w:szCs w:val="24"/>
        </w:rPr>
      </w:pPr>
      <w:r w:rsidRPr="00277860">
        <w:rPr>
          <w:rFonts w:cstheme="minorHAnsi"/>
          <w:sz w:val="24"/>
          <w:szCs w:val="24"/>
        </w:rPr>
        <w:t>The detailed Core Budget for 20</w:t>
      </w:r>
      <w:r w:rsidR="006F54C6">
        <w:rPr>
          <w:rFonts w:cstheme="minorHAnsi"/>
          <w:sz w:val="24"/>
          <w:szCs w:val="24"/>
        </w:rPr>
        <w:t>20-</w:t>
      </w:r>
      <w:r w:rsidRPr="00277860">
        <w:rPr>
          <w:rFonts w:cstheme="minorHAnsi"/>
          <w:sz w:val="24"/>
          <w:szCs w:val="24"/>
        </w:rPr>
        <w:t xml:space="preserve">21, which has been produced and agreed by the </w:t>
      </w:r>
      <w:r w:rsidR="00DF27E7" w:rsidRPr="00277860">
        <w:rPr>
          <w:rFonts w:cstheme="minorHAnsi"/>
          <w:sz w:val="24"/>
          <w:szCs w:val="24"/>
        </w:rPr>
        <w:t xml:space="preserve">Audit &amp; </w:t>
      </w:r>
      <w:r w:rsidRPr="00277860">
        <w:rPr>
          <w:rFonts w:cstheme="minorHAnsi"/>
          <w:sz w:val="24"/>
          <w:szCs w:val="24"/>
        </w:rPr>
        <w:t xml:space="preserve">Finance Committee on </w:t>
      </w:r>
      <w:r w:rsidR="00D72CBF" w:rsidRPr="00277860">
        <w:rPr>
          <w:rFonts w:cstheme="minorHAnsi"/>
          <w:sz w:val="24"/>
          <w:szCs w:val="24"/>
        </w:rPr>
        <w:t>20th</w:t>
      </w:r>
      <w:r w:rsidRPr="00277860">
        <w:rPr>
          <w:rFonts w:cstheme="minorHAnsi"/>
          <w:sz w:val="24"/>
          <w:szCs w:val="24"/>
        </w:rPr>
        <w:t xml:space="preserve"> February 2020, is attached at Appendix 1. A summary of the proposed budget is set out in the table below:-</w:t>
      </w:r>
    </w:p>
    <w:p w14:paraId="447B8A3E" w14:textId="77777777" w:rsidR="00806717" w:rsidRPr="00277860" w:rsidRDefault="00806717" w:rsidP="000E226D">
      <w:pPr>
        <w:pStyle w:val="ListParagraph"/>
        <w:jc w:val="both"/>
        <w:rPr>
          <w:rFonts w:cstheme="minorHAnsi"/>
          <w:sz w:val="24"/>
          <w:szCs w:val="24"/>
        </w:rPr>
      </w:pPr>
    </w:p>
    <w:tbl>
      <w:tblPr>
        <w:tblStyle w:val="TableGrid"/>
        <w:tblW w:w="0" w:type="auto"/>
        <w:tblInd w:w="720" w:type="dxa"/>
        <w:tblLook w:val="04A0" w:firstRow="1" w:lastRow="0" w:firstColumn="1" w:lastColumn="0" w:noHBand="0" w:noVBand="1"/>
      </w:tblPr>
      <w:tblGrid>
        <w:gridCol w:w="5796"/>
        <w:gridCol w:w="849"/>
        <w:gridCol w:w="1651"/>
      </w:tblGrid>
      <w:tr w:rsidR="002D73ED" w:rsidRPr="00277860" w14:paraId="50723DB8" w14:textId="77777777" w:rsidTr="002D73ED">
        <w:tc>
          <w:tcPr>
            <w:tcW w:w="5796" w:type="dxa"/>
          </w:tcPr>
          <w:p w14:paraId="7EFF54F8" w14:textId="4A97BE5D" w:rsidR="002D73ED" w:rsidRPr="00277860" w:rsidRDefault="002D73ED" w:rsidP="000E226D">
            <w:pPr>
              <w:pStyle w:val="ListParagraph"/>
              <w:ind w:left="0"/>
              <w:jc w:val="both"/>
              <w:rPr>
                <w:rFonts w:cstheme="minorHAnsi"/>
                <w:sz w:val="24"/>
                <w:szCs w:val="24"/>
              </w:rPr>
            </w:pPr>
          </w:p>
        </w:tc>
        <w:tc>
          <w:tcPr>
            <w:tcW w:w="849" w:type="dxa"/>
          </w:tcPr>
          <w:p w14:paraId="3B69CC5A" w14:textId="2EA376AF" w:rsidR="002D73ED" w:rsidRPr="00277860" w:rsidRDefault="002D73ED" w:rsidP="000E226D">
            <w:pPr>
              <w:pStyle w:val="ListParagraph"/>
              <w:ind w:left="0"/>
              <w:jc w:val="both"/>
              <w:rPr>
                <w:rFonts w:cstheme="minorHAnsi"/>
                <w:sz w:val="24"/>
                <w:szCs w:val="24"/>
              </w:rPr>
            </w:pPr>
            <w:r w:rsidRPr="00277860">
              <w:rPr>
                <w:rFonts w:cstheme="minorHAnsi"/>
                <w:sz w:val="24"/>
                <w:szCs w:val="24"/>
              </w:rPr>
              <w:t>Note</w:t>
            </w:r>
          </w:p>
        </w:tc>
        <w:tc>
          <w:tcPr>
            <w:tcW w:w="1651" w:type="dxa"/>
          </w:tcPr>
          <w:p w14:paraId="3DE7CEC6" w14:textId="5A243DF5" w:rsidR="002D73ED" w:rsidRPr="00277860" w:rsidRDefault="002D73ED" w:rsidP="000E226D">
            <w:pPr>
              <w:pStyle w:val="ListParagraph"/>
              <w:ind w:left="0"/>
              <w:jc w:val="both"/>
              <w:rPr>
                <w:rFonts w:cstheme="minorHAnsi"/>
                <w:sz w:val="24"/>
                <w:szCs w:val="24"/>
              </w:rPr>
            </w:pPr>
            <w:r w:rsidRPr="00277860">
              <w:rPr>
                <w:rFonts w:cstheme="minorHAnsi"/>
                <w:sz w:val="24"/>
                <w:szCs w:val="24"/>
              </w:rPr>
              <w:t>Proposed Budget 20/21</w:t>
            </w:r>
          </w:p>
          <w:p w14:paraId="246BA3A9" w14:textId="00F45661" w:rsidR="002D73ED" w:rsidRPr="00277860" w:rsidRDefault="002D73ED" w:rsidP="000E226D">
            <w:pPr>
              <w:pStyle w:val="ListParagraph"/>
              <w:ind w:left="0"/>
              <w:jc w:val="both"/>
              <w:rPr>
                <w:rFonts w:cstheme="minorHAnsi"/>
                <w:sz w:val="24"/>
                <w:szCs w:val="24"/>
              </w:rPr>
            </w:pPr>
            <w:r w:rsidRPr="00277860">
              <w:rPr>
                <w:rFonts w:cstheme="minorHAnsi"/>
                <w:sz w:val="24"/>
                <w:szCs w:val="24"/>
              </w:rPr>
              <w:t>£</w:t>
            </w:r>
          </w:p>
        </w:tc>
      </w:tr>
      <w:tr w:rsidR="002D73ED" w:rsidRPr="00277860" w14:paraId="5E2EF5C7" w14:textId="77777777" w:rsidTr="002D73ED">
        <w:tc>
          <w:tcPr>
            <w:tcW w:w="5796" w:type="dxa"/>
          </w:tcPr>
          <w:p w14:paraId="193ABA8A" w14:textId="6B22CE3C" w:rsidR="002D73ED" w:rsidRPr="00277860" w:rsidRDefault="002D73ED" w:rsidP="000E226D">
            <w:pPr>
              <w:pStyle w:val="ListParagraph"/>
              <w:ind w:left="0"/>
              <w:jc w:val="both"/>
              <w:rPr>
                <w:rFonts w:cstheme="minorHAnsi"/>
                <w:b/>
                <w:bCs/>
                <w:i/>
                <w:iCs/>
                <w:sz w:val="24"/>
                <w:szCs w:val="24"/>
              </w:rPr>
            </w:pPr>
            <w:r w:rsidRPr="00277860">
              <w:rPr>
                <w:rFonts w:cstheme="minorHAnsi"/>
                <w:b/>
                <w:bCs/>
                <w:i/>
                <w:iCs/>
                <w:sz w:val="24"/>
                <w:szCs w:val="24"/>
              </w:rPr>
              <w:t>Expenditure</w:t>
            </w:r>
          </w:p>
        </w:tc>
        <w:tc>
          <w:tcPr>
            <w:tcW w:w="849" w:type="dxa"/>
          </w:tcPr>
          <w:p w14:paraId="50241A76" w14:textId="77777777" w:rsidR="002D73ED" w:rsidRPr="00277860" w:rsidRDefault="002D73ED" w:rsidP="000E226D">
            <w:pPr>
              <w:pStyle w:val="ListParagraph"/>
              <w:ind w:left="0"/>
              <w:jc w:val="both"/>
              <w:rPr>
                <w:rFonts w:cstheme="minorHAnsi"/>
                <w:sz w:val="24"/>
                <w:szCs w:val="24"/>
              </w:rPr>
            </w:pPr>
          </w:p>
        </w:tc>
        <w:tc>
          <w:tcPr>
            <w:tcW w:w="1651" w:type="dxa"/>
          </w:tcPr>
          <w:p w14:paraId="7D130836" w14:textId="64D16532" w:rsidR="002D73ED" w:rsidRPr="00277860" w:rsidRDefault="002D73ED" w:rsidP="000E226D">
            <w:pPr>
              <w:pStyle w:val="ListParagraph"/>
              <w:ind w:left="0"/>
              <w:jc w:val="both"/>
              <w:rPr>
                <w:rFonts w:cstheme="minorHAnsi"/>
                <w:sz w:val="24"/>
                <w:szCs w:val="24"/>
              </w:rPr>
            </w:pPr>
          </w:p>
        </w:tc>
      </w:tr>
      <w:tr w:rsidR="002D73ED" w:rsidRPr="00277860" w14:paraId="14F3088E" w14:textId="77777777" w:rsidTr="002D73ED">
        <w:tc>
          <w:tcPr>
            <w:tcW w:w="5796" w:type="dxa"/>
          </w:tcPr>
          <w:p w14:paraId="49B6A5F1" w14:textId="317FE97B" w:rsidR="002D73ED" w:rsidRPr="00277860" w:rsidRDefault="002D73ED" w:rsidP="000E226D">
            <w:pPr>
              <w:pStyle w:val="ListParagraph"/>
              <w:ind w:left="0"/>
              <w:jc w:val="both"/>
              <w:rPr>
                <w:rFonts w:cstheme="minorHAnsi"/>
                <w:sz w:val="24"/>
                <w:szCs w:val="24"/>
              </w:rPr>
            </w:pPr>
            <w:r w:rsidRPr="00277860">
              <w:rPr>
                <w:rFonts w:cstheme="minorHAnsi"/>
                <w:sz w:val="24"/>
                <w:szCs w:val="24"/>
              </w:rPr>
              <w:t>Staffing – SSLEP Secretariat</w:t>
            </w:r>
          </w:p>
        </w:tc>
        <w:tc>
          <w:tcPr>
            <w:tcW w:w="849" w:type="dxa"/>
          </w:tcPr>
          <w:p w14:paraId="779ABC2E" w14:textId="76302B73" w:rsidR="002D73ED" w:rsidRPr="00277860" w:rsidRDefault="002D73ED" w:rsidP="000E226D">
            <w:pPr>
              <w:pStyle w:val="ListParagraph"/>
              <w:ind w:left="0"/>
              <w:jc w:val="both"/>
              <w:rPr>
                <w:rFonts w:cstheme="minorHAnsi"/>
                <w:sz w:val="24"/>
                <w:szCs w:val="24"/>
              </w:rPr>
            </w:pPr>
            <w:r w:rsidRPr="00277860">
              <w:rPr>
                <w:rFonts w:cstheme="minorHAnsi"/>
                <w:sz w:val="24"/>
                <w:szCs w:val="24"/>
              </w:rPr>
              <w:t>a</w:t>
            </w:r>
          </w:p>
        </w:tc>
        <w:tc>
          <w:tcPr>
            <w:tcW w:w="1651" w:type="dxa"/>
          </w:tcPr>
          <w:p w14:paraId="7F08F02E" w14:textId="2D30ED0B"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w:t>
            </w:r>
            <w:r w:rsidR="002D73ED" w:rsidRPr="00277860">
              <w:rPr>
                <w:rFonts w:cstheme="minorHAnsi"/>
                <w:sz w:val="24"/>
                <w:szCs w:val="24"/>
              </w:rPr>
              <w:t>385,108</w:t>
            </w:r>
          </w:p>
        </w:tc>
      </w:tr>
      <w:tr w:rsidR="002D73ED" w:rsidRPr="00277860" w14:paraId="187E9680" w14:textId="77777777" w:rsidTr="002D73ED">
        <w:tc>
          <w:tcPr>
            <w:tcW w:w="5796" w:type="dxa"/>
          </w:tcPr>
          <w:p w14:paraId="4A9BDC2B" w14:textId="0C77B260" w:rsidR="002D73ED" w:rsidRPr="00277860" w:rsidRDefault="002D73ED" w:rsidP="000E226D">
            <w:pPr>
              <w:pStyle w:val="ListParagraph"/>
              <w:ind w:left="0"/>
              <w:jc w:val="both"/>
              <w:rPr>
                <w:rFonts w:cstheme="minorHAnsi"/>
                <w:sz w:val="24"/>
                <w:szCs w:val="24"/>
              </w:rPr>
            </w:pPr>
            <w:r w:rsidRPr="00277860">
              <w:rPr>
                <w:rFonts w:cstheme="minorHAnsi"/>
                <w:sz w:val="24"/>
                <w:szCs w:val="24"/>
              </w:rPr>
              <w:t>Operational Costs</w:t>
            </w:r>
          </w:p>
        </w:tc>
        <w:tc>
          <w:tcPr>
            <w:tcW w:w="849" w:type="dxa"/>
          </w:tcPr>
          <w:p w14:paraId="4E631491" w14:textId="30C069FC" w:rsidR="002D73ED" w:rsidRPr="00277860" w:rsidRDefault="002D73ED" w:rsidP="000E226D">
            <w:pPr>
              <w:pStyle w:val="ListParagraph"/>
              <w:ind w:left="0"/>
              <w:jc w:val="both"/>
              <w:rPr>
                <w:rFonts w:cstheme="minorHAnsi"/>
                <w:sz w:val="24"/>
                <w:szCs w:val="24"/>
              </w:rPr>
            </w:pPr>
            <w:r w:rsidRPr="00277860">
              <w:rPr>
                <w:rFonts w:cstheme="minorHAnsi"/>
                <w:sz w:val="24"/>
                <w:szCs w:val="24"/>
              </w:rPr>
              <w:t>b</w:t>
            </w:r>
          </w:p>
        </w:tc>
        <w:tc>
          <w:tcPr>
            <w:tcW w:w="1651" w:type="dxa"/>
          </w:tcPr>
          <w:p w14:paraId="585A3A62" w14:textId="558ED871"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w:t>
            </w:r>
            <w:r w:rsidR="002D73ED" w:rsidRPr="00277860">
              <w:rPr>
                <w:rFonts w:cstheme="minorHAnsi"/>
                <w:sz w:val="24"/>
                <w:szCs w:val="24"/>
              </w:rPr>
              <w:t>1</w:t>
            </w:r>
            <w:r w:rsidR="000E226D">
              <w:rPr>
                <w:rFonts w:cstheme="minorHAnsi"/>
                <w:sz w:val="24"/>
                <w:szCs w:val="24"/>
              </w:rPr>
              <w:t>58</w:t>
            </w:r>
            <w:r w:rsidR="002D73ED" w:rsidRPr="00277860">
              <w:rPr>
                <w:rFonts w:cstheme="minorHAnsi"/>
                <w:sz w:val="24"/>
                <w:szCs w:val="24"/>
              </w:rPr>
              <w:t>,</w:t>
            </w:r>
            <w:r w:rsidR="000E226D">
              <w:rPr>
                <w:rFonts w:cstheme="minorHAnsi"/>
                <w:sz w:val="24"/>
                <w:szCs w:val="24"/>
              </w:rPr>
              <w:t>2</w:t>
            </w:r>
            <w:r w:rsidR="002D73ED" w:rsidRPr="00277860">
              <w:rPr>
                <w:rFonts w:cstheme="minorHAnsi"/>
                <w:sz w:val="24"/>
                <w:szCs w:val="24"/>
              </w:rPr>
              <w:t>50</w:t>
            </w:r>
          </w:p>
        </w:tc>
      </w:tr>
      <w:tr w:rsidR="002D73ED" w:rsidRPr="00277860" w14:paraId="4A8CDF6D" w14:textId="77777777" w:rsidTr="002D73ED">
        <w:tc>
          <w:tcPr>
            <w:tcW w:w="5796" w:type="dxa"/>
          </w:tcPr>
          <w:p w14:paraId="4B605842" w14:textId="5B6F92CE" w:rsidR="002D73ED" w:rsidRPr="00277860" w:rsidRDefault="002D73ED" w:rsidP="000E226D">
            <w:pPr>
              <w:pStyle w:val="ListParagraph"/>
              <w:ind w:left="0"/>
              <w:jc w:val="both"/>
              <w:rPr>
                <w:rFonts w:cstheme="minorHAnsi"/>
                <w:sz w:val="24"/>
                <w:szCs w:val="24"/>
              </w:rPr>
            </w:pPr>
            <w:r w:rsidRPr="00277860">
              <w:rPr>
                <w:rFonts w:cstheme="minorHAnsi"/>
                <w:sz w:val="24"/>
                <w:szCs w:val="24"/>
              </w:rPr>
              <w:t>Business Engagement and Support</w:t>
            </w:r>
          </w:p>
        </w:tc>
        <w:tc>
          <w:tcPr>
            <w:tcW w:w="849" w:type="dxa"/>
          </w:tcPr>
          <w:p w14:paraId="34570739" w14:textId="77777777" w:rsidR="002D73ED" w:rsidRPr="00277860" w:rsidRDefault="002D73ED" w:rsidP="000E226D">
            <w:pPr>
              <w:pStyle w:val="ListParagraph"/>
              <w:ind w:left="0"/>
              <w:jc w:val="both"/>
              <w:rPr>
                <w:rFonts w:cstheme="minorHAnsi"/>
                <w:sz w:val="24"/>
                <w:szCs w:val="24"/>
              </w:rPr>
            </w:pPr>
          </w:p>
        </w:tc>
        <w:tc>
          <w:tcPr>
            <w:tcW w:w="1651" w:type="dxa"/>
          </w:tcPr>
          <w:p w14:paraId="4A26B8D0" w14:textId="787E3405"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w:t>
            </w:r>
            <w:r w:rsidR="002D73ED" w:rsidRPr="00277860">
              <w:rPr>
                <w:rFonts w:cstheme="minorHAnsi"/>
                <w:sz w:val="24"/>
                <w:szCs w:val="24"/>
              </w:rPr>
              <w:t>37,500</w:t>
            </w:r>
          </w:p>
        </w:tc>
      </w:tr>
      <w:tr w:rsidR="002D73ED" w:rsidRPr="00277860" w14:paraId="00D77C17" w14:textId="77777777" w:rsidTr="002D73ED">
        <w:tc>
          <w:tcPr>
            <w:tcW w:w="5796" w:type="dxa"/>
          </w:tcPr>
          <w:p w14:paraId="1964269A" w14:textId="18C3C94F" w:rsidR="002D73ED" w:rsidRPr="00277860" w:rsidRDefault="002D73ED" w:rsidP="000E226D">
            <w:pPr>
              <w:pStyle w:val="ListParagraph"/>
              <w:ind w:left="0"/>
              <w:jc w:val="both"/>
              <w:rPr>
                <w:rFonts w:cstheme="minorHAnsi"/>
                <w:sz w:val="24"/>
                <w:szCs w:val="24"/>
              </w:rPr>
            </w:pPr>
            <w:r w:rsidRPr="00277860">
              <w:rPr>
                <w:rFonts w:cstheme="minorHAnsi"/>
                <w:sz w:val="24"/>
                <w:szCs w:val="24"/>
              </w:rPr>
              <w:t>Strategic Planning – LIS Development</w:t>
            </w:r>
          </w:p>
        </w:tc>
        <w:tc>
          <w:tcPr>
            <w:tcW w:w="849" w:type="dxa"/>
          </w:tcPr>
          <w:p w14:paraId="2FD44451" w14:textId="77777777" w:rsidR="002D73ED" w:rsidRPr="00277860" w:rsidRDefault="002D73ED" w:rsidP="000E226D">
            <w:pPr>
              <w:pStyle w:val="ListParagraph"/>
              <w:ind w:left="0"/>
              <w:jc w:val="both"/>
              <w:rPr>
                <w:rFonts w:cstheme="minorHAnsi"/>
                <w:sz w:val="24"/>
                <w:szCs w:val="24"/>
              </w:rPr>
            </w:pPr>
          </w:p>
        </w:tc>
        <w:tc>
          <w:tcPr>
            <w:tcW w:w="1651" w:type="dxa"/>
          </w:tcPr>
          <w:p w14:paraId="322998CB" w14:textId="44DA129F"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w:t>
            </w:r>
            <w:r w:rsidR="002D73ED" w:rsidRPr="00277860">
              <w:rPr>
                <w:rFonts w:cstheme="minorHAnsi"/>
                <w:sz w:val="24"/>
                <w:szCs w:val="24"/>
              </w:rPr>
              <w:t>100,000</w:t>
            </w:r>
          </w:p>
        </w:tc>
      </w:tr>
      <w:tr w:rsidR="002D73ED" w:rsidRPr="00277860" w14:paraId="7D2BA6EF" w14:textId="77777777" w:rsidTr="002D73ED">
        <w:tc>
          <w:tcPr>
            <w:tcW w:w="5796" w:type="dxa"/>
          </w:tcPr>
          <w:p w14:paraId="65C037C0" w14:textId="51292B52" w:rsidR="002D73ED" w:rsidRPr="00277860" w:rsidRDefault="002D73ED" w:rsidP="000E226D">
            <w:pPr>
              <w:pStyle w:val="ListParagraph"/>
              <w:ind w:left="0"/>
              <w:jc w:val="both"/>
              <w:rPr>
                <w:rFonts w:cstheme="minorHAnsi"/>
                <w:sz w:val="24"/>
                <w:szCs w:val="24"/>
              </w:rPr>
            </w:pPr>
            <w:r w:rsidRPr="00277860">
              <w:rPr>
                <w:rFonts w:cstheme="minorHAnsi"/>
                <w:sz w:val="24"/>
                <w:szCs w:val="24"/>
              </w:rPr>
              <w:t>Project and Programme Development</w:t>
            </w:r>
          </w:p>
        </w:tc>
        <w:tc>
          <w:tcPr>
            <w:tcW w:w="849" w:type="dxa"/>
          </w:tcPr>
          <w:p w14:paraId="285FB1D5" w14:textId="77777777" w:rsidR="002D73ED" w:rsidRPr="00277860" w:rsidRDefault="002D73ED" w:rsidP="000E226D">
            <w:pPr>
              <w:pStyle w:val="ListParagraph"/>
              <w:ind w:left="0"/>
              <w:jc w:val="both"/>
              <w:rPr>
                <w:rFonts w:cstheme="minorHAnsi"/>
                <w:sz w:val="24"/>
                <w:szCs w:val="24"/>
              </w:rPr>
            </w:pPr>
          </w:p>
        </w:tc>
        <w:tc>
          <w:tcPr>
            <w:tcW w:w="1651" w:type="dxa"/>
          </w:tcPr>
          <w:p w14:paraId="1A279FD6" w14:textId="65B6B10D"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w:t>
            </w:r>
            <w:r w:rsidR="002D73ED" w:rsidRPr="00277860">
              <w:rPr>
                <w:rFonts w:cstheme="minorHAnsi"/>
                <w:sz w:val="24"/>
                <w:szCs w:val="24"/>
              </w:rPr>
              <w:t>49,500</w:t>
            </w:r>
          </w:p>
        </w:tc>
      </w:tr>
      <w:tr w:rsidR="002D73ED" w:rsidRPr="00277860" w14:paraId="78D317D3" w14:textId="77777777" w:rsidTr="002D73ED">
        <w:tc>
          <w:tcPr>
            <w:tcW w:w="5796" w:type="dxa"/>
          </w:tcPr>
          <w:p w14:paraId="0EB028FF" w14:textId="77777777" w:rsidR="002D73ED" w:rsidRPr="00277860" w:rsidRDefault="002D73ED" w:rsidP="000E226D">
            <w:pPr>
              <w:pStyle w:val="ListParagraph"/>
              <w:ind w:left="0"/>
              <w:jc w:val="both"/>
              <w:rPr>
                <w:rFonts w:cstheme="minorHAnsi"/>
                <w:sz w:val="24"/>
                <w:szCs w:val="24"/>
              </w:rPr>
            </w:pPr>
          </w:p>
        </w:tc>
        <w:tc>
          <w:tcPr>
            <w:tcW w:w="849" w:type="dxa"/>
          </w:tcPr>
          <w:p w14:paraId="0793BDF3" w14:textId="77777777" w:rsidR="002D73ED" w:rsidRPr="00277860" w:rsidRDefault="002D73ED" w:rsidP="000E226D">
            <w:pPr>
              <w:pStyle w:val="ListParagraph"/>
              <w:ind w:left="0"/>
              <w:jc w:val="both"/>
              <w:rPr>
                <w:rFonts w:cstheme="minorHAnsi"/>
                <w:sz w:val="24"/>
                <w:szCs w:val="24"/>
              </w:rPr>
            </w:pPr>
          </w:p>
        </w:tc>
        <w:tc>
          <w:tcPr>
            <w:tcW w:w="1651" w:type="dxa"/>
          </w:tcPr>
          <w:p w14:paraId="17217004" w14:textId="7A36136A" w:rsidR="002D73ED" w:rsidRPr="00277860" w:rsidRDefault="002D73ED" w:rsidP="000E226D">
            <w:pPr>
              <w:pStyle w:val="ListParagraph"/>
              <w:ind w:left="0"/>
              <w:jc w:val="both"/>
              <w:rPr>
                <w:rFonts w:cstheme="minorHAnsi"/>
                <w:sz w:val="24"/>
                <w:szCs w:val="24"/>
              </w:rPr>
            </w:pPr>
          </w:p>
        </w:tc>
      </w:tr>
      <w:tr w:rsidR="002D73ED" w:rsidRPr="00277860" w14:paraId="481774EA" w14:textId="77777777" w:rsidTr="002D73ED">
        <w:tc>
          <w:tcPr>
            <w:tcW w:w="5796" w:type="dxa"/>
          </w:tcPr>
          <w:p w14:paraId="5545F9B4" w14:textId="5C42044E" w:rsidR="002D73ED" w:rsidRPr="00277860" w:rsidRDefault="002D73ED" w:rsidP="000E226D">
            <w:pPr>
              <w:pStyle w:val="ListParagraph"/>
              <w:ind w:left="0"/>
              <w:jc w:val="both"/>
              <w:rPr>
                <w:rFonts w:cstheme="minorHAnsi"/>
                <w:b/>
                <w:bCs/>
                <w:i/>
                <w:iCs/>
                <w:sz w:val="24"/>
                <w:szCs w:val="24"/>
              </w:rPr>
            </w:pPr>
            <w:r w:rsidRPr="00277860">
              <w:rPr>
                <w:rFonts w:cstheme="minorHAnsi"/>
                <w:b/>
                <w:bCs/>
                <w:i/>
                <w:iCs/>
                <w:sz w:val="24"/>
                <w:szCs w:val="24"/>
              </w:rPr>
              <w:t>Gross Expenditure</w:t>
            </w:r>
          </w:p>
        </w:tc>
        <w:tc>
          <w:tcPr>
            <w:tcW w:w="849" w:type="dxa"/>
          </w:tcPr>
          <w:p w14:paraId="506A19AE" w14:textId="77777777" w:rsidR="002D73ED" w:rsidRPr="00277860" w:rsidRDefault="002D73ED" w:rsidP="000E226D">
            <w:pPr>
              <w:pStyle w:val="ListParagraph"/>
              <w:ind w:left="0"/>
              <w:jc w:val="both"/>
              <w:rPr>
                <w:rFonts w:cstheme="minorHAnsi"/>
                <w:sz w:val="24"/>
                <w:szCs w:val="24"/>
              </w:rPr>
            </w:pPr>
          </w:p>
        </w:tc>
        <w:tc>
          <w:tcPr>
            <w:tcW w:w="1651" w:type="dxa"/>
          </w:tcPr>
          <w:p w14:paraId="78895890" w14:textId="33EF8303" w:rsidR="002D73ED" w:rsidRPr="00277860" w:rsidRDefault="00D04DE5" w:rsidP="000E226D">
            <w:pPr>
              <w:pStyle w:val="ListParagraph"/>
              <w:ind w:left="0"/>
              <w:jc w:val="both"/>
              <w:rPr>
                <w:rFonts w:cstheme="minorHAnsi"/>
                <w:b/>
                <w:bCs/>
                <w:sz w:val="24"/>
                <w:szCs w:val="24"/>
              </w:rPr>
            </w:pPr>
            <w:r w:rsidRPr="00277860">
              <w:rPr>
                <w:rFonts w:cstheme="minorHAnsi"/>
                <w:b/>
                <w:bCs/>
                <w:sz w:val="24"/>
                <w:szCs w:val="24"/>
              </w:rPr>
              <w:t xml:space="preserve">    7</w:t>
            </w:r>
            <w:r w:rsidR="000E226D">
              <w:rPr>
                <w:rFonts w:cstheme="minorHAnsi"/>
                <w:b/>
                <w:bCs/>
                <w:sz w:val="24"/>
                <w:szCs w:val="24"/>
              </w:rPr>
              <w:t>30</w:t>
            </w:r>
            <w:r w:rsidRPr="00277860">
              <w:rPr>
                <w:rFonts w:cstheme="minorHAnsi"/>
                <w:b/>
                <w:bCs/>
                <w:sz w:val="24"/>
                <w:szCs w:val="24"/>
              </w:rPr>
              <w:t>,</w:t>
            </w:r>
            <w:r w:rsidR="000E226D">
              <w:rPr>
                <w:rFonts w:cstheme="minorHAnsi"/>
                <w:b/>
                <w:bCs/>
                <w:sz w:val="24"/>
                <w:szCs w:val="24"/>
              </w:rPr>
              <w:t>3</w:t>
            </w:r>
            <w:r w:rsidRPr="00277860">
              <w:rPr>
                <w:rFonts w:cstheme="minorHAnsi"/>
                <w:b/>
                <w:bCs/>
                <w:sz w:val="24"/>
                <w:szCs w:val="24"/>
              </w:rPr>
              <w:t>58</w:t>
            </w:r>
          </w:p>
        </w:tc>
      </w:tr>
      <w:tr w:rsidR="002D73ED" w:rsidRPr="00277860" w14:paraId="164F6A4F" w14:textId="77777777" w:rsidTr="002D73ED">
        <w:tc>
          <w:tcPr>
            <w:tcW w:w="5796" w:type="dxa"/>
          </w:tcPr>
          <w:p w14:paraId="46ECFE5D" w14:textId="77777777" w:rsidR="002D73ED" w:rsidRPr="00277860" w:rsidRDefault="002D73ED" w:rsidP="000E226D">
            <w:pPr>
              <w:pStyle w:val="ListParagraph"/>
              <w:ind w:left="0"/>
              <w:jc w:val="both"/>
              <w:rPr>
                <w:rFonts w:cstheme="minorHAnsi"/>
                <w:sz w:val="24"/>
                <w:szCs w:val="24"/>
              </w:rPr>
            </w:pPr>
          </w:p>
        </w:tc>
        <w:tc>
          <w:tcPr>
            <w:tcW w:w="849" w:type="dxa"/>
          </w:tcPr>
          <w:p w14:paraId="5DD8C1C1" w14:textId="77777777" w:rsidR="002D73ED" w:rsidRPr="00277860" w:rsidRDefault="002D73ED" w:rsidP="000E226D">
            <w:pPr>
              <w:pStyle w:val="ListParagraph"/>
              <w:ind w:left="0"/>
              <w:jc w:val="both"/>
              <w:rPr>
                <w:rFonts w:cstheme="minorHAnsi"/>
                <w:sz w:val="24"/>
                <w:szCs w:val="24"/>
              </w:rPr>
            </w:pPr>
          </w:p>
        </w:tc>
        <w:tc>
          <w:tcPr>
            <w:tcW w:w="1651" w:type="dxa"/>
          </w:tcPr>
          <w:p w14:paraId="0CE708F6" w14:textId="1168001B" w:rsidR="002D73ED" w:rsidRPr="00277860" w:rsidRDefault="002D73ED" w:rsidP="000E226D">
            <w:pPr>
              <w:pStyle w:val="ListParagraph"/>
              <w:ind w:left="0"/>
              <w:jc w:val="both"/>
              <w:rPr>
                <w:rFonts w:cstheme="minorHAnsi"/>
                <w:sz w:val="24"/>
                <w:szCs w:val="24"/>
              </w:rPr>
            </w:pPr>
          </w:p>
        </w:tc>
      </w:tr>
      <w:tr w:rsidR="002D73ED" w:rsidRPr="00277860" w14:paraId="1656908F" w14:textId="77777777" w:rsidTr="002D73ED">
        <w:tc>
          <w:tcPr>
            <w:tcW w:w="5796" w:type="dxa"/>
          </w:tcPr>
          <w:p w14:paraId="7FAE213A" w14:textId="3694DCCB" w:rsidR="002D73ED" w:rsidRPr="00277860" w:rsidRDefault="002D73ED" w:rsidP="000E226D">
            <w:pPr>
              <w:pStyle w:val="ListParagraph"/>
              <w:ind w:left="0"/>
              <w:jc w:val="both"/>
              <w:rPr>
                <w:rFonts w:cstheme="minorHAnsi"/>
                <w:b/>
                <w:bCs/>
                <w:i/>
                <w:iCs/>
                <w:sz w:val="24"/>
                <w:szCs w:val="24"/>
              </w:rPr>
            </w:pPr>
            <w:r w:rsidRPr="00277860">
              <w:rPr>
                <w:rFonts w:cstheme="minorHAnsi"/>
                <w:b/>
                <w:bCs/>
                <w:i/>
                <w:iCs/>
                <w:sz w:val="24"/>
                <w:szCs w:val="24"/>
              </w:rPr>
              <w:t>Income</w:t>
            </w:r>
          </w:p>
        </w:tc>
        <w:tc>
          <w:tcPr>
            <w:tcW w:w="849" w:type="dxa"/>
          </w:tcPr>
          <w:p w14:paraId="65C64895" w14:textId="77777777" w:rsidR="002D73ED" w:rsidRPr="00277860" w:rsidRDefault="002D73ED" w:rsidP="000E226D">
            <w:pPr>
              <w:pStyle w:val="ListParagraph"/>
              <w:ind w:left="0"/>
              <w:jc w:val="both"/>
              <w:rPr>
                <w:rFonts w:cstheme="minorHAnsi"/>
                <w:sz w:val="24"/>
                <w:szCs w:val="24"/>
              </w:rPr>
            </w:pPr>
          </w:p>
        </w:tc>
        <w:tc>
          <w:tcPr>
            <w:tcW w:w="1651" w:type="dxa"/>
          </w:tcPr>
          <w:p w14:paraId="563DA7AE" w14:textId="5F8E00EC" w:rsidR="002D73ED" w:rsidRPr="00277860" w:rsidRDefault="002D73ED" w:rsidP="000E226D">
            <w:pPr>
              <w:pStyle w:val="ListParagraph"/>
              <w:ind w:left="0"/>
              <w:jc w:val="both"/>
              <w:rPr>
                <w:rFonts w:cstheme="minorHAnsi"/>
                <w:sz w:val="24"/>
                <w:szCs w:val="24"/>
              </w:rPr>
            </w:pPr>
          </w:p>
        </w:tc>
      </w:tr>
      <w:tr w:rsidR="002D73ED" w:rsidRPr="00277860" w14:paraId="3FEA25B8" w14:textId="77777777" w:rsidTr="002D73ED">
        <w:tc>
          <w:tcPr>
            <w:tcW w:w="5796" w:type="dxa"/>
          </w:tcPr>
          <w:p w14:paraId="2BD37905" w14:textId="5F108410" w:rsidR="002D73ED" w:rsidRPr="00277860" w:rsidRDefault="00D04DE5" w:rsidP="000E226D">
            <w:pPr>
              <w:pStyle w:val="ListParagraph"/>
              <w:ind w:left="0"/>
              <w:jc w:val="both"/>
              <w:rPr>
                <w:rFonts w:cstheme="minorHAnsi"/>
                <w:sz w:val="24"/>
                <w:szCs w:val="24"/>
              </w:rPr>
            </w:pPr>
            <w:r w:rsidRPr="00277860">
              <w:rPr>
                <w:rFonts w:cstheme="minorHAnsi"/>
                <w:sz w:val="24"/>
                <w:szCs w:val="24"/>
              </w:rPr>
              <w:t>Core Fund Grant 2020/21</w:t>
            </w:r>
          </w:p>
        </w:tc>
        <w:tc>
          <w:tcPr>
            <w:tcW w:w="849" w:type="dxa"/>
          </w:tcPr>
          <w:p w14:paraId="339A9B79" w14:textId="087DE923" w:rsidR="002D73ED" w:rsidRPr="00277860" w:rsidRDefault="00D04DE5" w:rsidP="000E226D">
            <w:pPr>
              <w:pStyle w:val="ListParagraph"/>
              <w:ind w:left="0"/>
              <w:jc w:val="both"/>
              <w:rPr>
                <w:rFonts w:cstheme="minorHAnsi"/>
                <w:sz w:val="24"/>
                <w:szCs w:val="24"/>
              </w:rPr>
            </w:pPr>
            <w:r w:rsidRPr="00277860">
              <w:rPr>
                <w:rFonts w:cstheme="minorHAnsi"/>
                <w:sz w:val="24"/>
                <w:szCs w:val="24"/>
              </w:rPr>
              <w:t>c</w:t>
            </w:r>
          </w:p>
        </w:tc>
        <w:tc>
          <w:tcPr>
            <w:tcW w:w="1651" w:type="dxa"/>
          </w:tcPr>
          <w:p w14:paraId="6AD67241" w14:textId="11B8AC9D"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500,000</w:t>
            </w:r>
          </w:p>
        </w:tc>
      </w:tr>
      <w:tr w:rsidR="002D73ED" w:rsidRPr="00277860" w14:paraId="340BEEE5" w14:textId="77777777" w:rsidTr="002D73ED">
        <w:tc>
          <w:tcPr>
            <w:tcW w:w="5796" w:type="dxa"/>
          </w:tcPr>
          <w:p w14:paraId="14B5D24C" w14:textId="13BA84D2" w:rsidR="002D73ED" w:rsidRPr="00277860" w:rsidRDefault="00D04DE5" w:rsidP="000E226D">
            <w:pPr>
              <w:pStyle w:val="ListParagraph"/>
              <w:ind w:left="0"/>
              <w:jc w:val="both"/>
              <w:rPr>
                <w:rFonts w:cstheme="minorHAnsi"/>
                <w:sz w:val="24"/>
                <w:szCs w:val="24"/>
              </w:rPr>
            </w:pPr>
            <w:r w:rsidRPr="00277860">
              <w:rPr>
                <w:rFonts w:cstheme="minorHAnsi"/>
                <w:sz w:val="24"/>
                <w:szCs w:val="24"/>
              </w:rPr>
              <w:t>Core Fund Grant 2019/20 c/fwd</w:t>
            </w:r>
          </w:p>
        </w:tc>
        <w:tc>
          <w:tcPr>
            <w:tcW w:w="849" w:type="dxa"/>
          </w:tcPr>
          <w:p w14:paraId="5C02E279" w14:textId="6165AA5F" w:rsidR="002D73ED" w:rsidRPr="00277860" w:rsidRDefault="00D04DE5" w:rsidP="000E226D">
            <w:pPr>
              <w:pStyle w:val="ListParagraph"/>
              <w:ind w:left="0"/>
              <w:jc w:val="both"/>
              <w:rPr>
                <w:rFonts w:cstheme="minorHAnsi"/>
                <w:sz w:val="24"/>
                <w:szCs w:val="24"/>
              </w:rPr>
            </w:pPr>
            <w:r w:rsidRPr="00277860">
              <w:rPr>
                <w:rFonts w:cstheme="minorHAnsi"/>
                <w:sz w:val="24"/>
                <w:szCs w:val="24"/>
              </w:rPr>
              <w:t>c</w:t>
            </w:r>
          </w:p>
        </w:tc>
        <w:tc>
          <w:tcPr>
            <w:tcW w:w="1651" w:type="dxa"/>
          </w:tcPr>
          <w:p w14:paraId="1E5167E8" w14:textId="2FD59BF0"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w:t>
            </w:r>
            <w:r w:rsidR="000E226D">
              <w:rPr>
                <w:rFonts w:cstheme="minorHAnsi"/>
                <w:sz w:val="24"/>
                <w:szCs w:val="24"/>
              </w:rPr>
              <w:t>37</w:t>
            </w:r>
            <w:r w:rsidRPr="00277860">
              <w:rPr>
                <w:rFonts w:cstheme="minorHAnsi"/>
                <w:sz w:val="24"/>
                <w:szCs w:val="24"/>
              </w:rPr>
              <w:t>,</w:t>
            </w:r>
            <w:r w:rsidR="000E226D">
              <w:rPr>
                <w:rFonts w:cstheme="minorHAnsi"/>
                <w:sz w:val="24"/>
                <w:szCs w:val="24"/>
              </w:rPr>
              <w:t>4</w:t>
            </w:r>
            <w:r w:rsidRPr="00277860">
              <w:rPr>
                <w:rFonts w:cstheme="minorHAnsi"/>
                <w:sz w:val="24"/>
                <w:szCs w:val="24"/>
              </w:rPr>
              <w:t>74</w:t>
            </w:r>
          </w:p>
        </w:tc>
      </w:tr>
      <w:tr w:rsidR="002D73ED" w:rsidRPr="00277860" w14:paraId="7975B172" w14:textId="77777777" w:rsidTr="002D73ED">
        <w:tc>
          <w:tcPr>
            <w:tcW w:w="5796" w:type="dxa"/>
          </w:tcPr>
          <w:p w14:paraId="37C0FA3D" w14:textId="71B6F07F" w:rsidR="002D73ED" w:rsidRPr="00277860" w:rsidRDefault="00D04DE5" w:rsidP="000E226D">
            <w:pPr>
              <w:pStyle w:val="ListParagraph"/>
              <w:ind w:left="0"/>
              <w:jc w:val="both"/>
              <w:rPr>
                <w:rFonts w:cstheme="minorHAnsi"/>
                <w:sz w:val="24"/>
                <w:szCs w:val="24"/>
              </w:rPr>
            </w:pPr>
            <w:r w:rsidRPr="00277860">
              <w:rPr>
                <w:rFonts w:cstheme="minorHAnsi"/>
                <w:sz w:val="24"/>
                <w:szCs w:val="24"/>
              </w:rPr>
              <w:t>SSLEP Reserves – Local Growth Deal top-slice</w:t>
            </w:r>
          </w:p>
        </w:tc>
        <w:tc>
          <w:tcPr>
            <w:tcW w:w="849" w:type="dxa"/>
          </w:tcPr>
          <w:p w14:paraId="0E8C451A" w14:textId="1445E35E" w:rsidR="002D73ED" w:rsidRPr="00277860" w:rsidRDefault="00D04DE5" w:rsidP="000E226D">
            <w:pPr>
              <w:pStyle w:val="ListParagraph"/>
              <w:ind w:left="0"/>
              <w:jc w:val="both"/>
              <w:rPr>
                <w:rFonts w:cstheme="minorHAnsi"/>
                <w:sz w:val="24"/>
                <w:szCs w:val="24"/>
              </w:rPr>
            </w:pPr>
            <w:r w:rsidRPr="00277860">
              <w:rPr>
                <w:rFonts w:cstheme="minorHAnsi"/>
                <w:sz w:val="24"/>
                <w:szCs w:val="24"/>
              </w:rPr>
              <w:t>d</w:t>
            </w:r>
          </w:p>
        </w:tc>
        <w:tc>
          <w:tcPr>
            <w:tcW w:w="1651" w:type="dxa"/>
          </w:tcPr>
          <w:p w14:paraId="014CC6DD" w14:textId="39F4EF37"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98,337</w:t>
            </w:r>
          </w:p>
        </w:tc>
      </w:tr>
      <w:tr w:rsidR="002D73ED" w:rsidRPr="00277860" w14:paraId="70D107A2" w14:textId="77777777" w:rsidTr="002D73ED">
        <w:tc>
          <w:tcPr>
            <w:tcW w:w="5796" w:type="dxa"/>
          </w:tcPr>
          <w:p w14:paraId="33256637" w14:textId="4FDF457C" w:rsidR="002D73ED" w:rsidRPr="00277860" w:rsidRDefault="00D04DE5" w:rsidP="000E226D">
            <w:pPr>
              <w:pStyle w:val="ListParagraph"/>
              <w:ind w:left="0"/>
              <w:jc w:val="both"/>
              <w:rPr>
                <w:rFonts w:cstheme="minorHAnsi"/>
                <w:sz w:val="24"/>
                <w:szCs w:val="24"/>
              </w:rPr>
            </w:pPr>
            <w:r w:rsidRPr="00277860">
              <w:rPr>
                <w:rFonts w:cstheme="minorHAnsi"/>
                <w:sz w:val="24"/>
                <w:szCs w:val="24"/>
              </w:rPr>
              <w:t>SCC Direct Funding</w:t>
            </w:r>
          </w:p>
        </w:tc>
        <w:tc>
          <w:tcPr>
            <w:tcW w:w="849" w:type="dxa"/>
          </w:tcPr>
          <w:p w14:paraId="5AF7AA22" w14:textId="5830535B" w:rsidR="002D73ED" w:rsidRPr="00277860" w:rsidRDefault="00D04DE5" w:rsidP="000E226D">
            <w:pPr>
              <w:pStyle w:val="ListParagraph"/>
              <w:ind w:left="0"/>
              <w:jc w:val="both"/>
              <w:rPr>
                <w:rFonts w:cstheme="minorHAnsi"/>
                <w:sz w:val="24"/>
                <w:szCs w:val="24"/>
              </w:rPr>
            </w:pPr>
            <w:r w:rsidRPr="00277860">
              <w:rPr>
                <w:rFonts w:cstheme="minorHAnsi"/>
                <w:sz w:val="24"/>
                <w:szCs w:val="24"/>
              </w:rPr>
              <w:t>e</w:t>
            </w:r>
          </w:p>
        </w:tc>
        <w:tc>
          <w:tcPr>
            <w:tcW w:w="1651" w:type="dxa"/>
          </w:tcPr>
          <w:p w14:paraId="3CCF1E7A" w14:textId="30AC0037"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81,547</w:t>
            </w:r>
          </w:p>
        </w:tc>
      </w:tr>
      <w:tr w:rsidR="002D73ED" w:rsidRPr="00277860" w14:paraId="675A1ADA" w14:textId="77777777" w:rsidTr="002D73ED">
        <w:tc>
          <w:tcPr>
            <w:tcW w:w="5796" w:type="dxa"/>
          </w:tcPr>
          <w:p w14:paraId="1E1EBF79" w14:textId="6C23DCCC" w:rsidR="002D73ED" w:rsidRPr="00277860" w:rsidRDefault="00D04DE5" w:rsidP="000E226D">
            <w:pPr>
              <w:pStyle w:val="ListParagraph"/>
              <w:ind w:left="0"/>
              <w:jc w:val="both"/>
              <w:rPr>
                <w:rFonts w:cstheme="minorHAnsi"/>
                <w:sz w:val="24"/>
                <w:szCs w:val="24"/>
              </w:rPr>
            </w:pPr>
            <w:r w:rsidRPr="00277860">
              <w:rPr>
                <w:rFonts w:cstheme="minorHAnsi"/>
                <w:sz w:val="24"/>
                <w:szCs w:val="24"/>
              </w:rPr>
              <w:t>Chamber of Commerce Funding</w:t>
            </w:r>
          </w:p>
        </w:tc>
        <w:tc>
          <w:tcPr>
            <w:tcW w:w="849" w:type="dxa"/>
          </w:tcPr>
          <w:p w14:paraId="35AF4B25" w14:textId="3226F964" w:rsidR="002D73ED" w:rsidRPr="00277860" w:rsidRDefault="00C66F93" w:rsidP="000E226D">
            <w:pPr>
              <w:pStyle w:val="ListParagraph"/>
              <w:ind w:left="0"/>
              <w:jc w:val="both"/>
              <w:rPr>
                <w:rFonts w:cstheme="minorHAnsi"/>
                <w:sz w:val="24"/>
                <w:szCs w:val="24"/>
              </w:rPr>
            </w:pPr>
            <w:r w:rsidRPr="00277860">
              <w:rPr>
                <w:rFonts w:cstheme="minorHAnsi"/>
                <w:sz w:val="24"/>
                <w:szCs w:val="24"/>
              </w:rPr>
              <w:t>f</w:t>
            </w:r>
          </w:p>
        </w:tc>
        <w:tc>
          <w:tcPr>
            <w:tcW w:w="1651" w:type="dxa"/>
          </w:tcPr>
          <w:p w14:paraId="1CA454E8" w14:textId="1DD2DDE2" w:rsidR="002D73ED" w:rsidRPr="00277860" w:rsidRDefault="00D04DE5" w:rsidP="000E226D">
            <w:pPr>
              <w:pStyle w:val="ListParagraph"/>
              <w:ind w:left="0"/>
              <w:jc w:val="both"/>
              <w:rPr>
                <w:rFonts w:cstheme="minorHAnsi"/>
                <w:sz w:val="24"/>
                <w:szCs w:val="24"/>
              </w:rPr>
            </w:pPr>
            <w:r w:rsidRPr="00277860">
              <w:rPr>
                <w:rFonts w:cstheme="minorHAnsi"/>
                <w:sz w:val="24"/>
                <w:szCs w:val="24"/>
              </w:rPr>
              <w:t xml:space="preserve">      13,000</w:t>
            </w:r>
          </w:p>
        </w:tc>
      </w:tr>
      <w:tr w:rsidR="00D04DE5" w:rsidRPr="00277860" w14:paraId="15ED9EFD" w14:textId="77777777" w:rsidTr="002D73ED">
        <w:tc>
          <w:tcPr>
            <w:tcW w:w="5796" w:type="dxa"/>
          </w:tcPr>
          <w:p w14:paraId="5049E84E" w14:textId="77777777" w:rsidR="00D04DE5" w:rsidRPr="00277860" w:rsidRDefault="00D04DE5" w:rsidP="000E226D">
            <w:pPr>
              <w:pStyle w:val="ListParagraph"/>
              <w:ind w:left="0"/>
              <w:jc w:val="both"/>
              <w:rPr>
                <w:rFonts w:cstheme="minorHAnsi"/>
                <w:sz w:val="24"/>
                <w:szCs w:val="24"/>
              </w:rPr>
            </w:pPr>
          </w:p>
        </w:tc>
        <w:tc>
          <w:tcPr>
            <w:tcW w:w="849" w:type="dxa"/>
          </w:tcPr>
          <w:p w14:paraId="3E61D253" w14:textId="77777777" w:rsidR="00D04DE5" w:rsidRPr="00277860" w:rsidRDefault="00D04DE5" w:rsidP="000E226D">
            <w:pPr>
              <w:pStyle w:val="ListParagraph"/>
              <w:ind w:left="0"/>
              <w:jc w:val="both"/>
              <w:rPr>
                <w:rFonts w:cstheme="minorHAnsi"/>
                <w:sz w:val="24"/>
                <w:szCs w:val="24"/>
              </w:rPr>
            </w:pPr>
          </w:p>
        </w:tc>
        <w:tc>
          <w:tcPr>
            <w:tcW w:w="1651" w:type="dxa"/>
          </w:tcPr>
          <w:p w14:paraId="49CE99C3" w14:textId="77777777" w:rsidR="00D04DE5" w:rsidRPr="00277860" w:rsidRDefault="00D04DE5" w:rsidP="000E226D">
            <w:pPr>
              <w:pStyle w:val="ListParagraph"/>
              <w:ind w:left="0"/>
              <w:jc w:val="both"/>
              <w:rPr>
                <w:rFonts w:cstheme="minorHAnsi"/>
                <w:sz w:val="24"/>
                <w:szCs w:val="24"/>
              </w:rPr>
            </w:pPr>
          </w:p>
        </w:tc>
      </w:tr>
      <w:tr w:rsidR="00D04DE5" w:rsidRPr="00277860" w14:paraId="0D4C27D3" w14:textId="77777777" w:rsidTr="002D73ED">
        <w:tc>
          <w:tcPr>
            <w:tcW w:w="5796" w:type="dxa"/>
          </w:tcPr>
          <w:p w14:paraId="2326423D" w14:textId="011870A1" w:rsidR="00D04DE5" w:rsidRPr="00277860" w:rsidRDefault="00D04DE5" w:rsidP="000E226D">
            <w:pPr>
              <w:pStyle w:val="ListParagraph"/>
              <w:ind w:left="0"/>
              <w:jc w:val="both"/>
              <w:rPr>
                <w:rFonts w:cstheme="minorHAnsi"/>
                <w:b/>
                <w:bCs/>
                <w:i/>
                <w:iCs/>
                <w:sz w:val="24"/>
                <w:szCs w:val="24"/>
              </w:rPr>
            </w:pPr>
            <w:r w:rsidRPr="00277860">
              <w:rPr>
                <w:rFonts w:cstheme="minorHAnsi"/>
                <w:b/>
                <w:bCs/>
                <w:i/>
                <w:iCs/>
                <w:sz w:val="24"/>
                <w:szCs w:val="24"/>
              </w:rPr>
              <w:t>Total Revenue funding</w:t>
            </w:r>
          </w:p>
        </w:tc>
        <w:tc>
          <w:tcPr>
            <w:tcW w:w="849" w:type="dxa"/>
          </w:tcPr>
          <w:p w14:paraId="0DC7EC64" w14:textId="77777777" w:rsidR="00D04DE5" w:rsidRPr="00277860" w:rsidRDefault="00D04DE5" w:rsidP="000E226D">
            <w:pPr>
              <w:pStyle w:val="ListParagraph"/>
              <w:ind w:left="0"/>
              <w:jc w:val="both"/>
              <w:rPr>
                <w:rFonts w:cstheme="minorHAnsi"/>
                <w:sz w:val="24"/>
                <w:szCs w:val="24"/>
              </w:rPr>
            </w:pPr>
          </w:p>
        </w:tc>
        <w:tc>
          <w:tcPr>
            <w:tcW w:w="1651" w:type="dxa"/>
          </w:tcPr>
          <w:p w14:paraId="49C45DB8" w14:textId="5B62C112" w:rsidR="00D04DE5" w:rsidRPr="00277860" w:rsidRDefault="00D04DE5" w:rsidP="000E226D">
            <w:pPr>
              <w:pStyle w:val="ListParagraph"/>
              <w:ind w:left="0"/>
              <w:jc w:val="both"/>
              <w:rPr>
                <w:rFonts w:cstheme="minorHAnsi"/>
                <w:b/>
                <w:bCs/>
                <w:sz w:val="24"/>
                <w:szCs w:val="24"/>
              </w:rPr>
            </w:pPr>
            <w:r w:rsidRPr="00277860">
              <w:rPr>
                <w:rFonts w:cstheme="minorHAnsi"/>
                <w:b/>
                <w:bCs/>
                <w:sz w:val="24"/>
                <w:szCs w:val="24"/>
              </w:rPr>
              <w:t xml:space="preserve">    7</w:t>
            </w:r>
            <w:r w:rsidR="000E226D">
              <w:rPr>
                <w:rFonts w:cstheme="minorHAnsi"/>
                <w:b/>
                <w:bCs/>
                <w:sz w:val="24"/>
                <w:szCs w:val="24"/>
              </w:rPr>
              <w:t>30</w:t>
            </w:r>
            <w:r w:rsidRPr="00277860">
              <w:rPr>
                <w:rFonts w:cstheme="minorHAnsi"/>
                <w:b/>
                <w:bCs/>
                <w:sz w:val="24"/>
                <w:szCs w:val="24"/>
              </w:rPr>
              <w:t>,</w:t>
            </w:r>
            <w:r w:rsidR="000E226D">
              <w:rPr>
                <w:rFonts w:cstheme="minorHAnsi"/>
                <w:b/>
                <w:bCs/>
                <w:sz w:val="24"/>
                <w:szCs w:val="24"/>
              </w:rPr>
              <w:t>3</w:t>
            </w:r>
            <w:r w:rsidRPr="00277860">
              <w:rPr>
                <w:rFonts w:cstheme="minorHAnsi"/>
                <w:b/>
                <w:bCs/>
                <w:sz w:val="24"/>
                <w:szCs w:val="24"/>
              </w:rPr>
              <w:t>58</w:t>
            </w:r>
          </w:p>
        </w:tc>
      </w:tr>
    </w:tbl>
    <w:p w14:paraId="44B8A8B6" w14:textId="77777777" w:rsidR="00D04DE5" w:rsidRPr="00277860" w:rsidRDefault="00806717" w:rsidP="000E226D">
      <w:pPr>
        <w:pStyle w:val="ListParagraph"/>
        <w:jc w:val="both"/>
        <w:rPr>
          <w:rFonts w:cstheme="minorHAnsi"/>
          <w:sz w:val="24"/>
          <w:szCs w:val="24"/>
        </w:rPr>
      </w:pPr>
      <w:r w:rsidRPr="00277860">
        <w:rPr>
          <w:rFonts w:cstheme="minorHAnsi"/>
          <w:sz w:val="24"/>
          <w:szCs w:val="24"/>
        </w:rPr>
        <w:t xml:space="preserve"> </w:t>
      </w:r>
    </w:p>
    <w:p w14:paraId="0D9F3C79" w14:textId="77777777" w:rsidR="00D04DE5" w:rsidRPr="00277860" w:rsidRDefault="00D04DE5" w:rsidP="000E226D">
      <w:pPr>
        <w:pStyle w:val="ListParagraph"/>
        <w:jc w:val="both"/>
        <w:rPr>
          <w:rFonts w:cstheme="minorHAnsi"/>
          <w:sz w:val="24"/>
          <w:szCs w:val="24"/>
        </w:rPr>
      </w:pPr>
    </w:p>
    <w:p w14:paraId="0BD11391" w14:textId="77777777" w:rsidR="00D04DE5" w:rsidRPr="00277860" w:rsidRDefault="00D04DE5" w:rsidP="000E226D">
      <w:pPr>
        <w:pStyle w:val="ListParagraph"/>
        <w:jc w:val="both"/>
        <w:rPr>
          <w:rFonts w:cstheme="minorHAnsi"/>
          <w:sz w:val="24"/>
          <w:szCs w:val="24"/>
        </w:rPr>
      </w:pPr>
      <w:r w:rsidRPr="00277860">
        <w:rPr>
          <w:rFonts w:cstheme="minorHAnsi"/>
          <w:sz w:val="24"/>
          <w:szCs w:val="24"/>
        </w:rPr>
        <w:t>Notes</w:t>
      </w:r>
    </w:p>
    <w:p w14:paraId="62A46480" w14:textId="77777777" w:rsidR="00D04DE5" w:rsidRPr="00277860" w:rsidRDefault="00D04DE5" w:rsidP="000E226D">
      <w:pPr>
        <w:pStyle w:val="ListParagraph"/>
        <w:jc w:val="both"/>
        <w:rPr>
          <w:rFonts w:cstheme="minorHAnsi"/>
          <w:sz w:val="24"/>
          <w:szCs w:val="24"/>
        </w:rPr>
      </w:pPr>
    </w:p>
    <w:p w14:paraId="5C083094" w14:textId="7A29C58B" w:rsidR="009C6B02" w:rsidRPr="00277860" w:rsidRDefault="00D04DE5" w:rsidP="000E226D">
      <w:pPr>
        <w:pStyle w:val="ListParagraph"/>
        <w:numPr>
          <w:ilvl w:val="0"/>
          <w:numId w:val="2"/>
        </w:numPr>
        <w:jc w:val="both"/>
        <w:rPr>
          <w:rFonts w:cstheme="minorHAnsi"/>
          <w:sz w:val="24"/>
          <w:szCs w:val="24"/>
        </w:rPr>
      </w:pPr>
      <w:r w:rsidRPr="00277860">
        <w:rPr>
          <w:rFonts w:cstheme="minorHAnsi"/>
          <w:sz w:val="24"/>
          <w:szCs w:val="24"/>
        </w:rPr>
        <w:t xml:space="preserve">The SSLEP Secretariat costs include the posts shown in the staffing structure set out in Appendix 2. The structure has been amended since it was last discussed at the Board in </w:t>
      </w:r>
      <w:r w:rsidR="00DF27E7" w:rsidRPr="00277860">
        <w:rPr>
          <w:rFonts w:cstheme="minorHAnsi"/>
          <w:sz w:val="24"/>
          <w:szCs w:val="24"/>
        </w:rPr>
        <w:t xml:space="preserve">September </w:t>
      </w:r>
      <w:r w:rsidRPr="00277860">
        <w:rPr>
          <w:rFonts w:cstheme="minorHAnsi"/>
          <w:sz w:val="24"/>
          <w:szCs w:val="24"/>
        </w:rPr>
        <w:t xml:space="preserve">2019. The SSLEP Chief Executive Officer post and the </w:t>
      </w:r>
      <w:r w:rsidR="00DF27E7" w:rsidRPr="00277860">
        <w:rPr>
          <w:rFonts w:cstheme="minorHAnsi"/>
          <w:sz w:val="24"/>
          <w:szCs w:val="24"/>
        </w:rPr>
        <w:t>Strategy &amp; Governance Manager</w:t>
      </w:r>
      <w:r w:rsidRPr="00277860">
        <w:rPr>
          <w:rFonts w:cstheme="minorHAnsi"/>
          <w:sz w:val="24"/>
          <w:szCs w:val="24"/>
        </w:rPr>
        <w:t xml:space="preserve"> post have been combined into a single position</w:t>
      </w:r>
      <w:r w:rsidR="002A7AE2" w:rsidRPr="00277860">
        <w:rPr>
          <w:rFonts w:cstheme="minorHAnsi"/>
          <w:sz w:val="24"/>
          <w:szCs w:val="24"/>
        </w:rPr>
        <w:t>. This is</w:t>
      </w:r>
      <w:r w:rsidR="00DF27E7" w:rsidRPr="00277860">
        <w:rPr>
          <w:rFonts w:cstheme="minorHAnsi"/>
          <w:sz w:val="24"/>
          <w:szCs w:val="24"/>
        </w:rPr>
        <w:t xml:space="preserve"> </w:t>
      </w:r>
      <w:r w:rsidRPr="00277860">
        <w:rPr>
          <w:rFonts w:cstheme="minorHAnsi"/>
          <w:sz w:val="24"/>
          <w:szCs w:val="24"/>
        </w:rPr>
        <w:t>because</w:t>
      </w:r>
      <w:r w:rsidR="002A7AE2" w:rsidRPr="00277860">
        <w:rPr>
          <w:rFonts w:cstheme="minorHAnsi"/>
          <w:sz w:val="24"/>
          <w:szCs w:val="24"/>
        </w:rPr>
        <w:t xml:space="preserve"> SSLEP operates with significantly less cash match than all other LEPs. While the 2019 finance review and rationalisation exercise did free up sufficient Core Funds to meet the secretariat structure agreed by the Board in July 2019 and </w:t>
      </w:r>
      <w:r w:rsidR="004E267A" w:rsidRPr="00277860">
        <w:rPr>
          <w:rFonts w:cstheme="minorHAnsi"/>
          <w:sz w:val="24"/>
          <w:szCs w:val="24"/>
        </w:rPr>
        <w:t xml:space="preserve">minimal </w:t>
      </w:r>
      <w:r w:rsidR="002A7AE2" w:rsidRPr="00277860">
        <w:rPr>
          <w:rFonts w:cstheme="minorHAnsi"/>
          <w:sz w:val="24"/>
          <w:szCs w:val="24"/>
        </w:rPr>
        <w:t>running costs, there would be no annual funding available for LIS project &amp; programme development work.</w:t>
      </w:r>
    </w:p>
    <w:p w14:paraId="53665271" w14:textId="77777777" w:rsidR="00B33A63" w:rsidRPr="00277860" w:rsidRDefault="00B33A63" w:rsidP="000E226D">
      <w:pPr>
        <w:pStyle w:val="ListParagraph"/>
        <w:ind w:left="1080"/>
        <w:jc w:val="both"/>
        <w:rPr>
          <w:rFonts w:cstheme="minorHAnsi"/>
          <w:sz w:val="24"/>
          <w:szCs w:val="24"/>
        </w:rPr>
      </w:pPr>
    </w:p>
    <w:p w14:paraId="3812EDAC" w14:textId="5A649C43" w:rsidR="00B33A63" w:rsidRPr="000E226D" w:rsidRDefault="00B33A63" w:rsidP="000E226D">
      <w:pPr>
        <w:pStyle w:val="ListParagraph"/>
        <w:numPr>
          <w:ilvl w:val="0"/>
          <w:numId w:val="2"/>
        </w:numPr>
        <w:jc w:val="both"/>
        <w:rPr>
          <w:rFonts w:cstheme="minorHAnsi"/>
          <w:sz w:val="24"/>
          <w:szCs w:val="24"/>
        </w:rPr>
      </w:pPr>
      <w:r w:rsidRPr="000E226D">
        <w:rPr>
          <w:rFonts w:cstheme="minorHAnsi"/>
          <w:sz w:val="24"/>
          <w:szCs w:val="24"/>
        </w:rPr>
        <w:t>The operational costs budget includes a provision for a potential VAT liability, as no firm guidance has still been received on possible liabilities in this area. It is therefore considered prudent to budget for this potential cost. If this is not required it is proposed the funds be diverted into other areas of activity</w:t>
      </w:r>
      <w:r w:rsidR="004E267A" w:rsidRPr="000E226D">
        <w:rPr>
          <w:rFonts w:cstheme="minorHAnsi"/>
          <w:sz w:val="24"/>
          <w:szCs w:val="24"/>
        </w:rPr>
        <w:t>, as directed by the LEP Board</w:t>
      </w:r>
      <w:r w:rsidRPr="000E226D">
        <w:rPr>
          <w:rFonts w:cstheme="minorHAnsi"/>
          <w:sz w:val="24"/>
          <w:szCs w:val="24"/>
        </w:rPr>
        <w:t>.</w:t>
      </w:r>
      <w:r w:rsidR="006F54C6">
        <w:rPr>
          <w:rFonts w:cstheme="minorHAnsi"/>
          <w:sz w:val="24"/>
          <w:szCs w:val="24"/>
        </w:rPr>
        <w:t xml:space="preserve"> </w:t>
      </w:r>
      <w:r w:rsidRPr="000E226D">
        <w:rPr>
          <w:rFonts w:cstheme="minorHAnsi"/>
          <w:sz w:val="24"/>
          <w:szCs w:val="24"/>
        </w:rPr>
        <w:t>The budget also includes a provision to create a redundancy reserve to meet any future liabilities in respect of exit costs of the SSLEP secretariat.</w:t>
      </w:r>
    </w:p>
    <w:p w14:paraId="14B384F3" w14:textId="77777777" w:rsidR="00B33A63" w:rsidRPr="00277860" w:rsidRDefault="00B33A63" w:rsidP="000E226D">
      <w:pPr>
        <w:pStyle w:val="ListParagraph"/>
        <w:ind w:left="1080"/>
        <w:jc w:val="both"/>
        <w:rPr>
          <w:rFonts w:cstheme="minorHAnsi"/>
          <w:sz w:val="24"/>
          <w:szCs w:val="24"/>
        </w:rPr>
      </w:pPr>
    </w:p>
    <w:p w14:paraId="6650151B" w14:textId="7BDFEC75" w:rsidR="00B33A63" w:rsidRPr="00277860" w:rsidRDefault="00B33A63" w:rsidP="000E226D">
      <w:pPr>
        <w:pStyle w:val="ListParagraph"/>
        <w:numPr>
          <w:ilvl w:val="0"/>
          <w:numId w:val="2"/>
        </w:numPr>
        <w:jc w:val="both"/>
        <w:rPr>
          <w:rFonts w:cstheme="minorHAnsi"/>
          <w:sz w:val="24"/>
          <w:szCs w:val="24"/>
        </w:rPr>
      </w:pPr>
      <w:r w:rsidRPr="00277860">
        <w:rPr>
          <w:rFonts w:cstheme="minorHAnsi"/>
          <w:sz w:val="24"/>
          <w:szCs w:val="24"/>
        </w:rPr>
        <w:t>The Core Fund Grant is not currently guaranteed beyond 2020</w:t>
      </w:r>
      <w:r w:rsidR="006F54C6">
        <w:rPr>
          <w:rFonts w:cstheme="minorHAnsi"/>
          <w:sz w:val="24"/>
          <w:szCs w:val="24"/>
        </w:rPr>
        <w:t>-</w:t>
      </w:r>
      <w:r w:rsidRPr="00277860">
        <w:rPr>
          <w:rFonts w:cstheme="minorHAnsi"/>
          <w:sz w:val="24"/>
          <w:szCs w:val="24"/>
        </w:rPr>
        <w:t xml:space="preserve">21 and is still subject to formal approval by </w:t>
      </w:r>
      <w:r w:rsidR="0042600C" w:rsidRPr="00277860">
        <w:rPr>
          <w:rFonts w:cstheme="minorHAnsi"/>
          <w:sz w:val="24"/>
          <w:szCs w:val="24"/>
        </w:rPr>
        <w:t>MHCLG (Ministry of Housing Communities and Local Government</w:t>
      </w:r>
      <w:r w:rsidRPr="00277860">
        <w:rPr>
          <w:rFonts w:cstheme="minorHAnsi"/>
          <w:sz w:val="24"/>
          <w:szCs w:val="24"/>
        </w:rPr>
        <w:t xml:space="preserve"> following the Annual Performance Review and completed S151 Assurance letter, although it is not anticipated there will be any issues which would prevent payment of the grant.</w:t>
      </w:r>
      <w:r w:rsidR="00000899" w:rsidRPr="00277860">
        <w:rPr>
          <w:rFonts w:cstheme="minorHAnsi"/>
          <w:sz w:val="24"/>
          <w:szCs w:val="24"/>
        </w:rPr>
        <w:t xml:space="preserve"> </w:t>
      </w:r>
      <w:r w:rsidR="004E267A" w:rsidRPr="00277860">
        <w:rPr>
          <w:rFonts w:cstheme="minorHAnsi"/>
          <w:sz w:val="24"/>
          <w:szCs w:val="24"/>
        </w:rPr>
        <w:t>The MHCLG letter on this is expected in the next few days.</w:t>
      </w:r>
    </w:p>
    <w:p w14:paraId="09E50E10" w14:textId="77777777" w:rsidR="00000899" w:rsidRPr="00277860" w:rsidRDefault="00000899" w:rsidP="000E226D">
      <w:pPr>
        <w:pStyle w:val="ListParagraph"/>
        <w:ind w:left="1080"/>
        <w:jc w:val="both"/>
        <w:rPr>
          <w:rFonts w:cstheme="minorHAnsi"/>
          <w:sz w:val="24"/>
          <w:szCs w:val="24"/>
        </w:rPr>
      </w:pPr>
    </w:p>
    <w:p w14:paraId="6F502E73" w14:textId="186E1A0F" w:rsidR="00000899" w:rsidRPr="00277860" w:rsidRDefault="00000899" w:rsidP="000E226D">
      <w:pPr>
        <w:pStyle w:val="ListParagraph"/>
        <w:numPr>
          <w:ilvl w:val="0"/>
          <w:numId w:val="2"/>
        </w:numPr>
        <w:jc w:val="both"/>
        <w:rPr>
          <w:rFonts w:cstheme="minorHAnsi"/>
          <w:sz w:val="24"/>
          <w:szCs w:val="24"/>
        </w:rPr>
      </w:pPr>
      <w:r w:rsidRPr="00277860">
        <w:rPr>
          <w:rFonts w:cstheme="minorHAnsi"/>
          <w:sz w:val="24"/>
          <w:szCs w:val="24"/>
        </w:rPr>
        <w:t>This funding stream is specifically to pay for the Secretariat costs relating to the business case approval and programme and management costs relating to the Local Growth deal. Grant awards are top-sliced to provide the funding stream for these costs.</w:t>
      </w:r>
    </w:p>
    <w:p w14:paraId="075690F1" w14:textId="77777777" w:rsidR="00000899" w:rsidRPr="00277860" w:rsidRDefault="00000899" w:rsidP="000E226D">
      <w:pPr>
        <w:pStyle w:val="ListParagraph"/>
        <w:jc w:val="both"/>
        <w:rPr>
          <w:rFonts w:cstheme="minorHAnsi"/>
          <w:sz w:val="24"/>
          <w:szCs w:val="24"/>
        </w:rPr>
      </w:pPr>
    </w:p>
    <w:p w14:paraId="38A729FB" w14:textId="780FDA57" w:rsidR="00C66F93" w:rsidRPr="00277860" w:rsidRDefault="00000899" w:rsidP="000E226D">
      <w:pPr>
        <w:pStyle w:val="ListParagraph"/>
        <w:numPr>
          <w:ilvl w:val="0"/>
          <w:numId w:val="2"/>
        </w:numPr>
        <w:jc w:val="both"/>
        <w:rPr>
          <w:rFonts w:cstheme="minorHAnsi"/>
          <w:sz w:val="24"/>
          <w:szCs w:val="24"/>
        </w:rPr>
      </w:pPr>
      <w:r w:rsidRPr="00277860">
        <w:rPr>
          <w:rFonts w:cstheme="minorHAnsi"/>
          <w:sz w:val="24"/>
          <w:szCs w:val="24"/>
        </w:rPr>
        <w:t>Staffordshire County Council have committed to continue to provide fund</w:t>
      </w:r>
      <w:r w:rsidR="000C320A" w:rsidRPr="00277860">
        <w:rPr>
          <w:rFonts w:cstheme="minorHAnsi"/>
          <w:sz w:val="24"/>
          <w:szCs w:val="24"/>
        </w:rPr>
        <w:t>s</w:t>
      </w:r>
      <w:r w:rsidRPr="00277860">
        <w:rPr>
          <w:rFonts w:cstheme="minorHAnsi"/>
          <w:sz w:val="24"/>
          <w:szCs w:val="24"/>
        </w:rPr>
        <w:t xml:space="preserve"> towards the CEO / Operations Director position</w:t>
      </w:r>
      <w:r w:rsidR="00C66F93" w:rsidRPr="00277860">
        <w:rPr>
          <w:rFonts w:cstheme="minorHAnsi"/>
          <w:sz w:val="24"/>
          <w:szCs w:val="24"/>
        </w:rPr>
        <w:t xml:space="preserve"> which also forms part of the match funding requirement referred to in paragraph 3 below.</w:t>
      </w:r>
    </w:p>
    <w:p w14:paraId="112409B5" w14:textId="77777777" w:rsidR="00C66F93" w:rsidRPr="00277860" w:rsidRDefault="00C66F93" w:rsidP="000E226D">
      <w:pPr>
        <w:pStyle w:val="ListParagraph"/>
        <w:jc w:val="both"/>
        <w:rPr>
          <w:rFonts w:cstheme="minorHAnsi"/>
          <w:sz w:val="24"/>
          <w:szCs w:val="24"/>
        </w:rPr>
      </w:pPr>
    </w:p>
    <w:p w14:paraId="0103FD96" w14:textId="46FDB539" w:rsidR="00C66F93" w:rsidRPr="00277860" w:rsidRDefault="00C66F93" w:rsidP="000E226D">
      <w:pPr>
        <w:pStyle w:val="ListParagraph"/>
        <w:numPr>
          <w:ilvl w:val="0"/>
          <w:numId w:val="2"/>
        </w:numPr>
        <w:jc w:val="both"/>
        <w:rPr>
          <w:rFonts w:cstheme="minorHAnsi"/>
          <w:sz w:val="24"/>
          <w:szCs w:val="24"/>
        </w:rPr>
      </w:pPr>
      <w:r w:rsidRPr="00277860">
        <w:rPr>
          <w:rFonts w:cstheme="minorHAnsi"/>
          <w:sz w:val="24"/>
          <w:szCs w:val="24"/>
        </w:rPr>
        <w:t>The Chamber of Commerce has committed to provide support of 40% towards the cost of the Business Engagement Officer post</w:t>
      </w:r>
      <w:r w:rsidR="004E267A" w:rsidRPr="00277860">
        <w:rPr>
          <w:rFonts w:cstheme="minorHAnsi"/>
          <w:sz w:val="24"/>
          <w:szCs w:val="24"/>
        </w:rPr>
        <w:t xml:space="preserve"> for an initial 18 month period</w:t>
      </w:r>
      <w:r w:rsidR="000C320A" w:rsidRPr="00277860">
        <w:rPr>
          <w:rFonts w:cstheme="minorHAnsi"/>
          <w:sz w:val="24"/>
          <w:szCs w:val="24"/>
        </w:rPr>
        <w:t>.</w:t>
      </w:r>
    </w:p>
    <w:p w14:paraId="00024912" w14:textId="39857B7E" w:rsidR="00C66F93" w:rsidRPr="00277860" w:rsidRDefault="00C66F93" w:rsidP="000E226D">
      <w:pPr>
        <w:pStyle w:val="ListParagraph"/>
        <w:jc w:val="both"/>
        <w:rPr>
          <w:rFonts w:cstheme="minorHAnsi"/>
          <w:sz w:val="24"/>
          <w:szCs w:val="24"/>
        </w:rPr>
      </w:pPr>
    </w:p>
    <w:p w14:paraId="50DF75DA" w14:textId="6DEEF477" w:rsidR="004E267A" w:rsidRDefault="004E267A" w:rsidP="000E226D">
      <w:pPr>
        <w:pStyle w:val="ListParagraph"/>
        <w:jc w:val="both"/>
        <w:rPr>
          <w:rFonts w:cstheme="minorHAnsi"/>
          <w:sz w:val="24"/>
          <w:szCs w:val="24"/>
        </w:rPr>
      </w:pPr>
    </w:p>
    <w:p w14:paraId="03256DD3" w14:textId="4DF2DD0B" w:rsidR="00277860" w:rsidRDefault="00277860" w:rsidP="000E226D">
      <w:pPr>
        <w:pStyle w:val="ListParagraph"/>
        <w:jc w:val="both"/>
        <w:rPr>
          <w:rFonts w:cstheme="minorHAnsi"/>
          <w:sz w:val="24"/>
          <w:szCs w:val="24"/>
        </w:rPr>
      </w:pPr>
    </w:p>
    <w:p w14:paraId="7916BAF9" w14:textId="77777777" w:rsidR="00277860" w:rsidRPr="00277860" w:rsidRDefault="00277860" w:rsidP="000E226D">
      <w:pPr>
        <w:pStyle w:val="ListParagraph"/>
        <w:jc w:val="both"/>
        <w:rPr>
          <w:rFonts w:cstheme="minorHAnsi"/>
          <w:sz w:val="24"/>
          <w:szCs w:val="24"/>
        </w:rPr>
      </w:pPr>
    </w:p>
    <w:p w14:paraId="005A36BF" w14:textId="77777777" w:rsidR="004E267A" w:rsidRPr="00277860" w:rsidRDefault="004E267A" w:rsidP="000E226D">
      <w:pPr>
        <w:pStyle w:val="ListParagraph"/>
        <w:jc w:val="both"/>
        <w:rPr>
          <w:rFonts w:cstheme="minorHAnsi"/>
          <w:sz w:val="24"/>
          <w:szCs w:val="24"/>
        </w:rPr>
      </w:pPr>
    </w:p>
    <w:p w14:paraId="3F1E9F68" w14:textId="77777777" w:rsidR="00C66F93" w:rsidRPr="00277860" w:rsidRDefault="00C66F93" w:rsidP="000E226D">
      <w:pPr>
        <w:pStyle w:val="ListParagraph"/>
        <w:numPr>
          <w:ilvl w:val="0"/>
          <w:numId w:val="1"/>
        </w:numPr>
        <w:jc w:val="both"/>
        <w:rPr>
          <w:rFonts w:cstheme="minorHAnsi"/>
          <w:sz w:val="24"/>
          <w:szCs w:val="24"/>
        </w:rPr>
      </w:pPr>
      <w:r w:rsidRPr="00277860">
        <w:rPr>
          <w:rFonts w:cstheme="minorHAnsi"/>
          <w:sz w:val="24"/>
          <w:szCs w:val="24"/>
        </w:rPr>
        <w:lastRenderedPageBreak/>
        <w:t>Match Funding</w:t>
      </w:r>
    </w:p>
    <w:p w14:paraId="781EB268" w14:textId="77777777" w:rsidR="00C66F93" w:rsidRPr="00277860" w:rsidRDefault="00C66F93" w:rsidP="000E226D">
      <w:pPr>
        <w:pStyle w:val="ListParagraph"/>
        <w:jc w:val="both"/>
        <w:rPr>
          <w:rFonts w:cstheme="minorHAnsi"/>
          <w:sz w:val="24"/>
          <w:szCs w:val="24"/>
        </w:rPr>
      </w:pPr>
    </w:p>
    <w:p w14:paraId="2C44F9C2" w14:textId="2E71928F" w:rsidR="00C66F93" w:rsidRPr="00277860" w:rsidRDefault="00C66F93" w:rsidP="000E226D">
      <w:pPr>
        <w:pStyle w:val="ListParagraph"/>
        <w:jc w:val="both"/>
        <w:rPr>
          <w:rFonts w:cstheme="minorHAnsi"/>
          <w:sz w:val="24"/>
          <w:szCs w:val="24"/>
        </w:rPr>
      </w:pPr>
      <w:r w:rsidRPr="00277860">
        <w:rPr>
          <w:rFonts w:cstheme="minorHAnsi"/>
          <w:sz w:val="24"/>
          <w:szCs w:val="24"/>
        </w:rPr>
        <w:t>As part of the payment of Core Fund Grant, each LEP is required to identify a minimum of £250k of local match</w:t>
      </w:r>
      <w:r w:rsidR="001C5116" w:rsidRPr="00277860">
        <w:rPr>
          <w:rFonts w:cstheme="minorHAnsi"/>
          <w:sz w:val="24"/>
          <w:szCs w:val="24"/>
        </w:rPr>
        <w:t xml:space="preserve">. The table below shows the level of estimated match in </w:t>
      </w:r>
      <w:r w:rsidR="006F54C6">
        <w:rPr>
          <w:rFonts w:cstheme="minorHAnsi"/>
          <w:sz w:val="24"/>
          <w:szCs w:val="24"/>
        </w:rPr>
        <w:t>20</w:t>
      </w:r>
      <w:r w:rsidR="001C5116" w:rsidRPr="00277860">
        <w:rPr>
          <w:rFonts w:cstheme="minorHAnsi"/>
          <w:sz w:val="24"/>
          <w:szCs w:val="24"/>
        </w:rPr>
        <w:t>20</w:t>
      </w:r>
      <w:r w:rsidR="006F54C6">
        <w:rPr>
          <w:rFonts w:cstheme="minorHAnsi"/>
          <w:sz w:val="24"/>
          <w:szCs w:val="24"/>
        </w:rPr>
        <w:t>-</w:t>
      </w:r>
      <w:r w:rsidR="001C5116" w:rsidRPr="00277860">
        <w:rPr>
          <w:rFonts w:cstheme="minorHAnsi"/>
          <w:sz w:val="24"/>
          <w:szCs w:val="24"/>
        </w:rPr>
        <w:t>21.</w:t>
      </w:r>
    </w:p>
    <w:p w14:paraId="258029DF" w14:textId="40D31997" w:rsidR="001C5116" w:rsidRPr="00277860" w:rsidRDefault="001C5116" w:rsidP="000E226D">
      <w:pPr>
        <w:pStyle w:val="ListParagraph"/>
        <w:jc w:val="both"/>
        <w:rPr>
          <w:rFonts w:cstheme="minorHAnsi"/>
          <w:sz w:val="24"/>
          <w:szCs w:val="24"/>
        </w:rPr>
      </w:pPr>
    </w:p>
    <w:tbl>
      <w:tblPr>
        <w:tblStyle w:val="TableGrid"/>
        <w:tblW w:w="0" w:type="auto"/>
        <w:tblInd w:w="720" w:type="dxa"/>
        <w:tblLook w:val="04A0" w:firstRow="1" w:lastRow="0" w:firstColumn="1" w:lastColumn="0" w:noHBand="0" w:noVBand="1"/>
      </w:tblPr>
      <w:tblGrid>
        <w:gridCol w:w="2605"/>
        <w:gridCol w:w="1483"/>
        <w:gridCol w:w="1438"/>
        <w:gridCol w:w="1483"/>
        <w:gridCol w:w="1287"/>
      </w:tblGrid>
      <w:tr w:rsidR="00500BEA" w:rsidRPr="00277860" w14:paraId="397C44EA" w14:textId="77777777" w:rsidTr="001C5116">
        <w:tc>
          <w:tcPr>
            <w:tcW w:w="2819" w:type="dxa"/>
          </w:tcPr>
          <w:p w14:paraId="55538818" w14:textId="028B0B41" w:rsidR="001C5116" w:rsidRPr="00277860" w:rsidRDefault="001C5116" w:rsidP="000E226D">
            <w:pPr>
              <w:pStyle w:val="ListParagraph"/>
              <w:ind w:left="0"/>
              <w:jc w:val="both"/>
              <w:rPr>
                <w:rFonts w:cstheme="minorHAnsi"/>
                <w:sz w:val="24"/>
                <w:szCs w:val="24"/>
              </w:rPr>
            </w:pPr>
          </w:p>
        </w:tc>
        <w:tc>
          <w:tcPr>
            <w:tcW w:w="1288" w:type="dxa"/>
          </w:tcPr>
          <w:p w14:paraId="79460880" w14:textId="77777777" w:rsidR="00500BEA" w:rsidRDefault="001C5116" w:rsidP="00500BEA">
            <w:pPr>
              <w:pStyle w:val="ListParagraph"/>
              <w:ind w:left="0"/>
              <w:jc w:val="center"/>
              <w:rPr>
                <w:rFonts w:cstheme="minorHAnsi"/>
                <w:sz w:val="24"/>
                <w:szCs w:val="24"/>
              </w:rPr>
            </w:pPr>
            <w:r w:rsidRPr="00277860">
              <w:rPr>
                <w:rFonts w:cstheme="minorHAnsi"/>
                <w:sz w:val="24"/>
                <w:szCs w:val="24"/>
              </w:rPr>
              <w:t>S</w:t>
            </w:r>
            <w:r w:rsidR="00500BEA">
              <w:rPr>
                <w:rFonts w:cstheme="minorHAnsi"/>
                <w:sz w:val="24"/>
                <w:szCs w:val="24"/>
              </w:rPr>
              <w:t>taffordshire County Council</w:t>
            </w:r>
          </w:p>
          <w:p w14:paraId="0098E4FA" w14:textId="64F5ABA5" w:rsidR="001C5116" w:rsidRPr="00277860" w:rsidRDefault="001C5116" w:rsidP="00500BEA">
            <w:pPr>
              <w:pStyle w:val="ListParagraph"/>
              <w:ind w:left="0"/>
              <w:jc w:val="center"/>
              <w:rPr>
                <w:rFonts w:cstheme="minorHAnsi"/>
                <w:sz w:val="24"/>
                <w:szCs w:val="24"/>
              </w:rPr>
            </w:pPr>
            <w:r w:rsidRPr="00277860">
              <w:rPr>
                <w:rFonts w:cstheme="minorHAnsi"/>
                <w:sz w:val="24"/>
                <w:szCs w:val="24"/>
              </w:rPr>
              <w:t>£</w:t>
            </w:r>
          </w:p>
        </w:tc>
        <w:tc>
          <w:tcPr>
            <w:tcW w:w="1523" w:type="dxa"/>
          </w:tcPr>
          <w:p w14:paraId="1AF87B29" w14:textId="3595914B" w:rsidR="00500BEA" w:rsidRDefault="001C5116" w:rsidP="00500BEA">
            <w:pPr>
              <w:pStyle w:val="ListParagraph"/>
              <w:ind w:left="0"/>
              <w:jc w:val="center"/>
              <w:rPr>
                <w:rFonts w:cstheme="minorHAnsi"/>
                <w:sz w:val="24"/>
                <w:szCs w:val="24"/>
              </w:rPr>
            </w:pPr>
            <w:r w:rsidRPr="00277860">
              <w:rPr>
                <w:rFonts w:cstheme="minorHAnsi"/>
                <w:sz w:val="24"/>
                <w:szCs w:val="24"/>
              </w:rPr>
              <w:t>S</w:t>
            </w:r>
            <w:r w:rsidR="00500BEA">
              <w:rPr>
                <w:rFonts w:cstheme="minorHAnsi"/>
                <w:sz w:val="24"/>
                <w:szCs w:val="24"/>
              </w:rPr>
              <w:t>toke on Trent City Council</w:t>
            </w:r>
          </w:p>
          <w:p w14:paraId="0494FFA6" w14:textId="17044C86" w:rsidR="001C5116" w:rsidRPr="00277860" w:rsidRDefault="001C5116" w:rsidP="00500BEA">
            <w:pPr>
              <w:pStyle w:val="ListParagraph"/>
              <w:ind w:left="0"/>
              <w:jc w:val="center"/>
              <w:rPr>
                <w:rFonts w:cstheme="minorHAnsi"/>
                <w:sz w:val="24"/>
                <w:szCs w:val="24"/>
              </w:rPr>
            </w:pPr>
            <w:r w:rsidRPr="00277860">
              <w:rPr>
                <w:rFonts w:cstheme="minorHAnsi"/>
                <w:sz w:val="24"/>
                <w:szCs w:val="24"/>
              </w:rPr>
              <w:t>£</w:t>
            </w:r>
          </w:p>
        </w:tc>
        <w:tc>
          <w:tcPr>
            <w:tcW w:w="1324" w:type="dxa"/>
          </w:tcPr>
          <w:p w14:paraId="44B42B7B" w14:textId="77777777" w:rsidR="00500BEA" w:rsidRDefault="00500BEA" w:rsidP="00500BEA">
            <w:pPr>
              <w:pStyle w:val="ListParagraph"/>
              <w:ind w:left="0"/>
              <w:jc w:val="center"/>
              <w:rPr>
                <w:rFonts w:cstheme="minorHAnsi"/>
                <w:sz w:val="24"/>
                <w:szCs w:val="24"/>
              </w:rPr>
            </w:pPr>
            <w:r>
              <w:rPr>
                <w:rFonts w:cstheme="minorHAnsi"/>
                <w:sz w:val="24"/>
                <w:szCs w:val="24"/>
              </w:rPr>
              <w:t xml:space="preserve">Staffordshire </w:t>
            </w:r>
            <w:r w:rsidR="001C5116" w:rsidRPr="00277860">
              <w:rPr>
                <w:rFonts w:cstheme="minorHAnsi"/>
                <w:sz w:val="24"/>
                <w:szCs w:val="24"/>
              </w:rPr>
              <w:t>Chamber</w:t>
            </w:r>
            <w:r>
              <w:rPr>
                <w:rFonts w:cstheme="minorHAnsi"/>
                <w:sz w:val="24"/>
                <w:szCs w:val="24"/>
              </w:rPr>
              <w:t xml:space="preserve"> of Commerce</w:t>
            </w:r>
          </w:p>
          <w:p w14:paraId="632038F4" w14:textId="19AAB37B" w:rsidR="001C5116" w:rsidRPr="00277860" w:rsidRDefault="001C5116" w:rsidP="00500BEA">
            <w:pPr>
              <w:pStyle w:val="ListParagraph"/>
              <w:ind w:left="0"/>
              <w:jc w:val="center"/>
              <w:rPr>
                <w:rFonts w:cstheme="minorHAnsi"/>
                <w:sz w:val="24"/>
                <w:szCs w:val="24"/>
              </w:rPr>
            </w:pPr>
            <w:r w:rsidRPr="00277860">
              <w:rPr>
                <w:rFonts w:cstheme="minorHAnsi"/>
                <w:sz w:val="24"/>
                <w:szCs w:val="24"/>
              </w:rPr>
              <w:t>£</w:t>
            </w:r>
          </w:p>
        </w:tc>
        <w:tc>
          <w:tcPr>
            <w:tcW w:w="1342" w:type="dxa"/>
          </w:tcPr>
          <w:p w14:paraId="64865346" w14:textId="77777777" w:rsidR="001C5116" w:rsidRPr="00277860" w:rsidRDefault="001C5116" w:rsidP="00500BEA">
            <w:pPr>
              <w:pStyle w:val="ListParagraph"/>
              <w:ind w:left="0"/>
              <w:jc w:val="center"/>
              <w:rPr>
                <w:rFonts w:cstheme="minorHAnsi"/>
                <w:sz w:val="24"/>
                <w:szCs w:val="24"/>
              </w:rPr>
            </w:pPr>
            <w:r w:rsidRPr="00277860">
              <w:rPr>
                <w:rFonts w:cstheme="minorHAnsi"/>
                <w:sz w:val="24"/>
                <w:szCs w:val="24"/>
              </w:rPr>
              <w:t>Total</w:t>
            </w:r>
          </w:p>
          <w:p w14:paraId="6635D013" w14:textId="536E3593" w:rsidR="001C5116" w:rsidRPr="00277860" w:rsidRDefault="001C5116" w:rsidP="00500BEA">
            <w:pPr>
              <w:pStyle w:val="ListParagraph"/>
              <w:ind w:left="0"/>
              <w:jc w:val="center"/>
              <w:rPr>
                <w:rFonts w:cstheme="minorHAnsi"/>
                <w:sz w:val="24"/>
                <w:szCs w:val="24"/>
              </w:rPr>
            </w:pPr>
            <w:r w:rsidRPr="00277860">
              <w:rPr>
                <w:rFonts w:cstheme="minorHAnsi"/>
                <w:sz w:val="24"/>
                <w:szCs w:val="24"/>
              </w:rPr>
              <w:t>£</w:t>
            </w:r>
          </w:p>
        </w:tc>
      </w:tr>
      <w:tr w:rsidR="00500BEA" w:rsidRPr="00277860" w14:paraId="4BD851AF" w14:textId="77777777" w:rsidTr="001C5116">
        <w:tc>
          <w:tcPr>
            <w:tcW w:w="2819" w:type="dxa"/>
          </w:tcPr>
          <w:p w14:paraId="6F6CA0F1" w14:textId="57958826" w:rsidR="001C5116" w:rsidRPr="00277860" w:rsidRDefault="001C5116" w:rsidP="000E226D">
            <w:pPr>
              <w:pStyle w:val="ListParagraph"/>
              <w:ind w:left="0"/>
              <w:jc w:val="both"/>
              <w:rPr>
                <w:rFonts w:cstheme="minorHAnsi"/>
                <w:sz w:val="24"/>
                <w:szCs w:val="24"/>
              </w:rPr>
            </w:pPr>
            <w:r w:rsidRPr="00277860">
              <w:rPr>
                <w:rFonts w:cstheme="minorHAnsi"/>
                <w:sz w:val="24"/>
                <w:szCs w:val="24"/>
              </w:rPr>
              <w:t>Cash contributions to SSLEP Secretariat costs (per table above)</w:t>
            </w:r>
          </w:p>
        </w:tc>
        <w:tc>
          <w:tcPr>
            <w:tcW w:w="1288" w:type="dxa"/>
          </w:tcPr>
          <w:p w14:paraId="4B7A0B09" w14:textId="77777777" w:rsidR="001C5116" w:rsidRPr="00277860" w:rsidRDefault="001C5116" w:rsidP="000E226D">
            <w:pPr>
              <w:pStyle w:val="ListParagraph"/>
              <w:ind w:left="0"/>
              <w:jc w:val="both"/>
              <w:rPr>
                <w:rFonts w:cstheme="minorHAnsi"/>
                <w:sz w:val="24"/>
                <w:szCs w:val="24"/>
              </w:rPr>
            </w:pPr>
          </w:p>
          <w:p w14:paraId="356738E2" w14:textId="0BB3D5FE" w:rsidR="001C5116" w:rsidRPr="00277860" w:rsidRDefault="00BC0D74" w:rsidP="000E226D">
            <w:pPr>
              <w:pStyle w:val="ListParagraph"/>
              <w:ind w:left="0"/>
              <w:jc w:val="both"/>
              <w:rPr>
                <w:rFonts w:cstheme="minorHAnsi"/>
                <w:sz w:val="24"/>
                <w:szCs w:val="24"/>
              </w:rPr>
            </w:pPr>
            <w:r w:rsidRPr="00277860">
              <w:rPr>
                <w:rFonts w:cstheme="minorHAnsi"/>
                <w:sz w:val="24"/>
                <w:szCs w:val="24"/>
              </w:rPr>
              <w:t xml:space="preserve">    </w:t>
            </w:r>
            <w:r w:rsidR="001C5116" w:rsidRPr="00277860">
              <w:rPr>
                <w:rFonts w:cstheme="minorHAnsi"/>
                <w:sz w:val="24"/>
                <w:szCs w:val="24"/>
              </w:rPr>
              <w:t>81,547</w:t>
            </w:r>
          </w:p>
        </w:tc>
        <w:tc>
          <w:tcPr>
            <w:tcW w:w="1523" w:type="dxa"/>
          </w:tcPr>
          <w:p w14:paraId="38ACA20A" w14:textId="77777777" w:rsidR="001C5116" w:rsidRDefault="001C5116" w:rsidP="000E226D">
            <w:pPr>
              <w:pStyle w:val="ListParagraph"/>
              <w:ind w:left="0"/>
              <w:jc w:val="both"/>
              <w:rPr>
                <w:rFonts w:cstheme="minorHAnsi"/>
                <w:sz w:val="24"/>
                <w:szCs w:val="24"/>
              </w:rPr>
            </w:pPr>
          </w:p>
          <w:p w14:paraId="53FE0F57" w14:textId="51D12562" w:rsidR="00E21313" w:rsidRPr="00277860" w:rsidRDefault="00E21313" w:rsidP="00E21313">
            <w:pPr>
              <w:pStyle w:val="ListParagraph"/>
              <w:ind w:left="0"/>
              <w:jc w:val="center"/>
              <w:rPr>
                <w:rFonts w:cstheme="minorHAnsi"/>
                <w:sz w:val="24"/>
                <w:szCs w:val="24"/>
              </w:rPr>
            </w:pPr>
            <w:r>
              <w:rPr>
                <w:rFonts w:cstheme="minorHAnsi"/>
                <w:sz w:val="24"/>
                <w:szCs w:val="24"/>
              </w:rPr>
              <w:t>0</w:t>
            </w:r>
          </w:p>
        </w:tc>
        <w:tc>
          <w:tcPr>
            <w:tcW w:w="1324" w:type="dxa"/>
          </w:tcPr>
          <w:p w14:paraId="1FC54AEE" w14:textId="77777777" w:rsidR="001C5116" w:rsidRPr="00277860" w:rsidRDefault="001C5116" w:rsidP="000E226D">
            <w:pPr>
              <w:pStyle w:val="ListParagraph"/>
              <w:ind w:left="0"/>
              <w:jc w:val="both"/>
              <w:rPr>
                <w:rFonts w:cstheme="minorHAnsi"/>
                <w:sz w:val="24"/>
                <w:szCs w:val="24"/>
              </w:rPr>
            </w:pPr>
          </w:p>
          <w:p w14:paraId="549F6342" w14:textId="02A5E967" w:rsidR="001C5116" w:rsidRPr="00277860" w:rsidRDefault="00BC0D74" w:rsidP="000E226D">
            <w:pPr>
              <w:pStyle w:val="ListParagraph"/>
              <w:ind w:left="0"/>
              <w:jc w:val="both"/>
              <w:rPr>
                <w:rFonts w:cstheme="minorHAnsi"/>
                <w:sz w:val="24"/>
                <w:szCs w:val="24"/>
              </w:rPr>
            </w:pPr>
            <w:r w:rsidRPr="00277860">
              <w:rPr>
                <w:rFonts w:cstheme="minorHAnsi"/>
                <w:sz w:val="24"/>
                <w:szCs w:val="24"/>
              </w:rPr>
              <w:t xml:space="preserve">   </w:t>
            </w:r>
            <w:r w:rsidR="001C5116" w:rsidRPr="00277860">
              <w:rPr>
                <w:rFonts w:cstheme="minorHAnsi"/>
                <w:sz w:val="24"/>
                <w:szCs w:val="24"/>
              </w:rPr>
              <w:t>13,000</w:t>
            </w:r>
          </w:p>
        </w:tc>
        <w:tc>
          <w:tcPr>
            <w:tcW w:w="1342" w:type="dxa"/>
          </w:tcPr>
          <w:p w14:paraId="7902ACE4" w14:textId="77777777" w:rsidR="001C5116" w:rsidRPr="00277860" w:rsidRDefault="001C5116" w:rsidP="000E226D">
            <w:pPr>
              <w:pStyle w:val="ListParagraph"/>
              <w:ind w:left="0"/>
              <w:jc w:val="both"/>
              <w:rPr>
                <w:rFonts w:cstheme="minorHAnsi"/>
                <w:sz w:val="24"/>
                <w:szCs w:val="24"/>
              </w:rPr>
            </w:pPr>
          </w:p>
          <w:p w14:paraId="01AFAEFA" w14:textId="2EA85AE5" w:rsidR="001C5116" w:rsidRPr="00277860" w:rsidRDefault="00BC0D74" w:rsidP="000E226D">
            <w:pPr>
              <w:pStyle w:val="ListParagraph"/>
              <w:ind w:left="0"/>
              <w:jc w:val="both"/>
              <w:rPr>
                <w:rFonts w:cstheme="minorHAnsi"/>
                <w:sz w:val="24"/>
                <w:szCs w:val="24"/>
              </w:rPr>
            </w:pPr>
            <w:r w:rsidRPr="00277860">
              <w:rPr>
                <w:rFonts w:cstheme="minorHAnsi"/>
                <w:sz w:val="24"/>
                <w:szCs w:val="24"/>
              </w:rPr>
              <w:t xml:space="preserve">   </w:t>
            </w:r>
            <w:r w:rsidR="001C5116" w:rsidRPr="00277860">
              <w:rPr>
                <w:rFonts w:cstheme="minorHAnsi"/>
                <w:sz w:val="24"/>
                <w:szCs w:val="24"/>
              </w:rPr>
              <w:t>94,547</w:t>
            </w:r>
          </w:p>
        </w:tc>
      </w:tr>
      <w:tr w:rsidR="00500BEA" w:rsidRPr="00277860" w14:paraId="2BC217D5" w14:textId="77777777" w:rsidTr="001C5116">
        <w:tc>
          <w:tcPr>
            <w:tcW w:w="2819" w:type="dxa"/>
          </w:tcPr>
          <w:p w14:paraId="44C28E81" w14:textId="4A79CE82" w:rsidR="001C5116" w:rsidRPr="00277860" w:rsidRDefault="001C5116" w:rsidP="000E226D">
            <w:pPr>
              <w:pStyle w:val="ListParagraph"/>
              <w:ind w:left="0"/>
              <w:jc w:val="both"/>
              <w:rPr>
                <w:rFonts w:cstheme="minorHAnsi"/>
                <w:sz w:val="24"/>
                <w:szCs w:val="24"/>
              </w:rPr>
            </w:pPr>
            <w:r w:rsidRPr="00277860">
              <w:rPr>
                <w:rFonts w:cstheme="minorHAnsi"/>
                <w:sz w:val="24"/>
                <w:szCs w:val="24"/>
              </w:rPr>
              <w:t>Officer time e.g. finance, admin, audit</w:t>
            </w:r>
          </w:p>
        </w:tc>
        <w:tc>
          <w:tcPr>
            <w:tcW w:w="1288" w:type="dxa"/>
          </w:tcPr>
          <w:p w14:paraId="76E1B2DE" w14:textId="7963538C" w:rsidR="001C5116" w:rsidRPr="00277860" w:rsidRDefault="00E21313" w:rsidP="00500BEA">
            <w:pPr>
              <w:pStyle w:val="ListParagraph"/>
              <w:ind w:left="0"/>
              <w:jc w:val="center"/>
              <w:rPr>
                <w:rFonts w:cstheme="minorHAnsi"/>
                <w:sz w:val="24"/>
                <w:szCs w:val="24"/>
              </w:rPr>
            </w:pPr>
            <w:r>
              <w:rPr>
                <w:rFonts w:cstheme="minorHAnsi"/>
                <w:sz w:val="24"/>
                <w:szCs w:val="24"/>
              </w:rPr>
              <w:t>90</w:t>
            </w:r>
            <w:r w:rsidR="001C5116" w:rsidRPr="00277860">
              <w:rPr>
                <w:rFonts w:cstheme="minorHAnsi"/>
                <w:sz w:val="24"/>
                <w:szCs w:val="24"/>
              </w:rPr>
              <w:t>,327</w:t>
            </w:r>
          </w:p>
        </w:tc>
        <w:tc>
          <w:tcPr>
            <w:tcW w:w="1523" w:type="dxa"/>
          </w:tcPr>
          <w:p w14:paraId="4B97DDD7" w14:textId="62FF0049" w:rsidR="001C5116" w:rsidRPr="00277860" w:rsidRDefault="00E21313" w:rsidP="00500BEA">
            <w:pPr>
              <w:pStyle w:val="ListParagraph"/>
              <w:ind w:left="0"/>
              <w:jc w:val="center"/>
              <w:rPr>
                <w:rFonts w:cstheme="minorHAnsi"/>
                <w:sz w:val="24"/>
                <w:szCs w:val="24"/>
              </w:rPr>
            </w:pPr>
            <w:r>
              <w:rPr>
                <w:rFonts w:cstheme="minorHAnsi"/>
                <w:sz w:val="24"/>
                <w:szCs w:val="24"/>
              </w:rPr>
              <w:t>105,420</w:t>
            </w:r>
          </w:p>
        </w:tc>
        <w:tc>
          <w:tcPr>
            <w:tcW w:w="1324" w:type="dxa"/>
          </w:tcPr>
          <w:p w14:paraId="1C26703A" w14:textId="78EC2E2D" w:rsidR="001C5116" w:rsidRPr="00277860" w:rsidRDefault="00500BEA" w:rsidP="00500BEA">
            <w:pPr>
              <w:pStyle w:val="ListParagraph"/>
              <w:ind w:left="0"/>
              <w:jc w:val="center"/>
              <w:rPr>
                <w:rFonts w:cstheme="minorHAnsi"/>
                <w:sz w:val="24"/>
                <w:szCs w:val="24"/>
              </w:rPr>
            </w:pPr>
            <w:r>
              <w:rPr>
                <w:rFonts w:cstheme="minorHAnsi"/>
                <w:sz w:val="24"/>
                <w:szCs w:val="24"/>
              </w:rPr>
              <w:t>0</w:t>
            </w:r>
          </w:p>
        </w:tc>
        <w:tc>
          <w:tcPr>
            <w:tcW w:w="1342" w:type="dxa"/>
          </w:tcPr>
          <w:p w14:paraId="09AC22DC" w14:textId="413D80B1" w:rsidR="001C5116" w:rsidRPr="00277860" w:rsidRDefault="00E21313" w:rsidP="00500BEA">
            <w:pPr>
              <w:pStyle w:val="ListParagraph"/>
              <w:ind w:left="0"/>
              <w:jc w:val="center"/>
              <w:rPr>
                <w:rFonts w:cstheme="minorHAnsi"/>
                <w:sz w:val="24"/>
                <w:szCs w:val="24"/>
              </w:rPr>
            </w:pPr>
            <w:r>
              <w:rPr>
                <w:rFonts w:cstheme="minorHAnsi"/>
                <w:sz w:val="24"/>
                <w:szCs w:val="24"/>
              </w:rPr>
              <w:t>195,747</w:t>
            </w:r>
          </w:p>
        </w:tc>
      </w:tr>
      <w:tr w:rsidR="00500BEA" w:rsidRPr="00277860" w14:paraId="4EA3E8FC" w14:textId="77777777" w:rsidTr="001C5116">
        <w:tc>
          <w:tcPr>
            <w:tcW w:w="2819" w:type="dxa"/>
          </w:tcPr>
          <w:p w14:paraId="50190BE9" w14:textId="77777777" w:rsidR="001C5116" w:rsidRPr="00277860" w:rsidRDefault="001C5116" w:rsidP="000E226D">
            <w:pPr>
              <w:pStyle w:val="ListParagraph"/>
              <w:ind w:left="0"/>
              <w:jc w:val="both"/>
              <w:rPr>
                <w:rFonts w:cstheme="minorHAnsi"/>
                <w:sz w:val="24"/>
                <w:szCs w:val="24"/>
              </w:rPr>
            </w:pPr>
          </w:p>
        </w:tc>
        <w:tc>
          <w:tcPr>
            <w:tcW w:w="1288" w:type="dxa"/>
          </w:tcPr>
          <w:p w14:paraId="6BEAD90F" w14:textId="77777777" w:rsidR="001C5116" w:rsidRPr="00277860" w:rsidRDefault="001C5116" w:rsidP="000E226D">
            <w:pPr>
              <w:pStyle w:val="ListParagraph"/>
              <w:ind w:left="0"/>
              <w:jc w:val="both"/>
              <w:rPr>
                <w:rFonts w:cstheme="minorHAnsi"/>
                <w:sz w:val="24"/>
                <w:szCs w:val="24"/>
              </w:rPr>
            </w:pPr>
          </w:p>
        </w:tc>
        <w:tc>
          <w:tcPr>
            <w:tcW w:w="1523" w:type="dxa"/>
          </w:tcPr>
          <w:p w14:paraId="2B961879" w14:textId="77777777" w:rsidR="001C5116" w:rsidRPr="00277860" w:rsidRDefault="001C5116" w:rsidP="000E226D">
            <w:pPr>
              <w:pStyle w:val="ListParagraph"/>
              <w:ind w:left="0"/>
              <w:jc w:val="both"/>
              <w:rPr>
                <w:rFonts w:cstheme="minorHAnsi"/>
                <w:sz w:val="24"/>
                <w:szCs w:val="24"/>
              </w:rPr>
            </w:pPr>
          </w:p>
        </w:tc>
        <w:tc>
          <w:tcPr>
            <w:tcW w:w="1324" w:type="dxa"/>
          </w:tcPr>
          <w:p w14:paraId="3835B5E5" w14:textId="77777777" w:rsidR="001C5116" w:rsidRPr="00277860" w:rsidRDefault="001C5116" w:rsidP="000E226D">
            <w:pPr>
              <w:pStyle w:val="ListParagraph"/>
              <w:ind w:left="0"/>
              <w:jc w:val="both"/>
              <w:rPr>
                <w:rFonts w:cstheme="minorHAnsi"/>
                <w:sz w:val="24"/>
                <w:szCs w:val="24"/>
              </w:rPr>
            </w:pPr>
          </w:p>
        </w:tc>
        <w:tc>
          <w:tcPr>
            <w:tcW w:w="1342" w:type="dxa"/>
          </w:tcPr>
          <w:p w14:paraId="7F8FE728" w14:textId="77777777" w:rsidR="001C5116" w:rsidRPr="00277860" w:rsidRDefault="001C5116" w:rsidP="000E226D">
            <w:pPr>
              <w:pStyle w:val="ListParagraph"/>
              <w:ind w:left="0"/>
              <w:jc w:val="both"/>
              <w:rPr>
                <w:rFonts w:cstheme="minorHAnsi"/>
                <w:sz w:val="24"/>
                <w:szCs w:val="24"/>
              </w:rPr>
            </w:pPr>
          </w:p>
        </w:tc>
      </w:tr>
      <w:tr w:rsidR="00500BEA" w:rsidRPr="00277860" w14:paraId="210A884A" w14:textId="77777777" w:rsidTr="001C5116">
        <w:tc>
          <w:tcPr>
            <w:tcW w:w="2819" w:type="dxa"/>
          </w:tcPr>
          <w:p w14:paraId="61974BC6" w14:textId="11F483C3" w:rsidR="001C5116" w:rsidRPr="00277860" w:rsidRDefault="00BC0D74" w:rsidP="000E226D">
            <w:pPr>
              <w:pStyle w:val="ListParagraph"/>
              <w:ind w:left="0"/>
              <w:jc w:val="both"/>
              <w:rPr>
                <w:rFonts w:cstheme="minorHAnsi"/>
                <w:sz w:val="24"/>
                <w:szCs w:val="24"/>
              </w:rPr>
            </w:pPr>
            <w:r w:rsidRPr="00277860">
              <w:rPr>
                <w:rFonts w:cstheme="minorHAnsi"/>
                <w:sz w:val="24"/>
                <w:szCs w:val="24"/>
              </w:rPr>
              <w:t>Total</w:t>
            </w:r>
          </w:p>
        </w:tc>
        <w:tc>
          <w:tcPr>
            <w:tcW w:w="1288" w:type="dxa"/>
          </w:tcPr>
          <w:p w14:paraId="0442CE10" w14:textId="71C3B7BF" w:rsidR="001C5116" w:rsidRPr="00277860" w:rsidRDefault="00BC0D74" w:rsidP="00500BEA">
            <w:pPr>
              <w:pStyle w:val="ListParagraph"/>
              <w:ind w:left="0"/>
              <w:jc w:val="center"/>
              <w:rPr>
                <w:rFonts w:cstheme="minorHAnsi"/>
                <w:sz w:val="24"/>
                <w:szCs w:val="24"/>
              </w:rPr>
            </w:pPr>
            <w:r w:rsidRPr="00277860">
              <w:rPr>
                <w:rFonts w:cstheme="minorHAnsi"/>
                <w:sz w:val="24"/>
                <w:szCs w:val="24"/>
              </w:rPr>
              <w:t>1</w:t>
            </w:r>
            <w:r w:rsidR="00E21313">
              <w:rPr>
                <w:rFonts w:cstheme="minorHAnsi"/>
                <w:sz w:val="24"/>
                <w:szCs w:val="24"/>
              </w:rPr>
              <w:t>71</w:t>
            </w:r>
            <w:r w:rsidRPr="00277860">
              <w:rPr>
                <w:rFonts w:cstheme="minorHAnsi"/>
                <w:sz w:val="24"/>
                <w:szCs w:val="24"/>
              </w:rPr>
              <w:t>,874</w:t>
            </w:r>
          </w:p>
        </w:tc>
        <w:tc>
          <w:tcPr>
            <w:tcW w:w="1523" w:type="dxa"/>
          </w:tcPr>
          <w:p w14:paraId="11E7FB34" w14:textId="1A98D6DA" w:rsidR="001C5116" w:rsidRPr="00277860" w:rsidRDefault="00E21313" w:rsidP="00500BEA">
            <w:pPr>
              <w:pStyle w:val="ListParagraph"/>
              <w:ind w:left="0"/>
              <w:jc w:val="center"/>
              <w:rPr>
                <w:rFonts w:cstheme="minorHAnsi"/>
                <w:sz w:val="24"/>
                <w:szCs w:val="24"/>
              </w:rPr>
            </w:pPr>
            <w:r>
              <w:rPr>
                <w:rFonts w:cstheme="minorHAnsi"/>
                <w:sz w:val="24"/>
                <w:szCs w:val="24"/>
              </w:rPr>
              <w:t>105,420</w:t>
            </w:r>
          </w:p>
        </w:tc>
        <w:tc>
          <w:tcPr>
            <w:tcW w:w="1324" w:type="dxa"/>
          </w:tcPr>
          <w:p w14:paraId="0B9CC6FF" w14:textId="6B407BC6" w:rsidR="00500BEA" w:rsidRPr="00277860" w:rsidRDefault="00500BEA" w:rsidP="00500BEA">
            <w:pPr>
              <w:pStyle w:val="ListParagraph"/>
              <w:ind w:left="0"/>
              <w:jc w:val="center"/>
              <w:rPr>
                <w:rFonts w:cstheme="minorHAnsi"/>
                <w:sz w:val="24"/>
                <w:szCs w:val="24"/>
              </w:rPr>
            </w:pPr>
            <w:r>
              <w:rPr>
                <w:rFonts w:cstheme="minorHAnsi"/>
                <w:sz w:val="24"/>
                <w:szCs w:val="24"/>
              </w:rPr>
              <w:t>13,000</w:t>
            </w:r>
          </w:p>
        </w:tc>
        <w:tc>
          <w:tcPr>
            <w:tcW w:w="1342" w:type="dxa"/>
          </w:tcPr>
          <w:p w14:paraId="188AD498" w14:textId="7CFE8E80" w:rsidR="001C5116" w:rsidRPr="00277860" w:rsidRDefault="00E21313" w:rsidP="00500BEA">
            <w:pPr>
              <w:pStyle w:val="ListParagraph"/>
              <w:ind w:left="0"/>
              <w:jc w:val="center"/>
              <w:rPr>
                <w:rFonts w:cstheme="minorHAnsi"/>
                <w:sz w:val="24"/>
                <w:szCs w:val="24"/>
              </w:rPr>
            </w:pPr>
            <w:r>
              <w:rPr>
                <w:rFonts w:cstheme="minorHAnsi"/>
                <w:sz w:val="24"/>
                <w:szCs w:val="24"/>
              </w:rPr>
              <w:t>290,294</w:t>
            </w:r>
          </w:p>
        </w:tc>
      </w:tr>
    </w:tbl>
    <w:p w14:paraId="7D899DED" w14:textId="4EC1EFBC" w:rsidR="001C5116" w:rsidRPr="00277860" w:rsidRDefault="001C5116" w:rsidP="000E226D">
      <w:pPr>
        <w:pStyle w:val="ListParagraph"/>
        <w:jc w:val="both"/>
        <w:rPr>
          <w:rFonts w:cstheme="minorHAnsi"/>
          <w:sz w:val="24"/>
          <w:szCs w:val="24"/>
        </w:rPr>
      </w:pPr>
    </w:p>
    <w:p w14:paraId="29210714" w14:textId="77777777" w:rsidR="00C66F93" w:rsidRPr="00277860" w:rsidRDefault="00C66F93" w:rsidP="000E226D">
      <w:pPr>
        <w:pStyle w:val="ListParagraph"/>
        <w:numPr>
          <w:ilvl w:val="0"/>
          <w:numId w:val="1"/>
        </w:numPr>
        <w:jc w:val="both"/>
        <w:rPr>
          <w:rFonts w:cstheme="minorHAnsi"/>
          <w:sz w:val="24"/>
          <w:szCs w:val="24"/>
        </w:rPr>
      </w:pPr>
      <w:r w:rsidRPr="00277860">
        <w:rPr>
          <w:rFonts w:cstheme="minorHAnsi"/>
          <w:sz w:val="24"/>
          <w:szCs w:val="24"/>
        </w:rPr>
        <w:t>Recommendations</w:t>
      </w:r>
    </w:p>
    <w:p w14:paraId="2FF4338D" w14:textId="77777777" w:rsidR="00C66F93" w:rsidRPr="00277860" w:rsidRDefault="00C66F93" w:rsidP="000E226D">
      <w:pPr>
        <w:pStyle w:val="ListParagraph"/>
        <w:jc w:val="both"/>
        <w:rPr>
          <w:rFonts w:cstheme="minorHAnsi"/>
          <w:sz w:val="24"/>
          <w:szCs w:val="24"/>
        </w:rPr>
      </w:pPr>
    </w:p>
    <w:p w14:paraId="52EA734F" w14:textId="7EDFD414" w:rsidR="00000899" w:rsidRPr="00277860" w:rsidRDefault="004E267A" w:rsidP="000E226D">
      <w:pPr>
        <w:pStyle w:val="ListParagraph"/>
        <w:jc w:val="both"/>
        <w:rPr>
          <w:rFonts w:cstheme="minorHAnsi"/>
          <w:sz w:val="24"/>
          <w:szCs w:val="24"/>
        </w:rPr>
      </w:pPr>
      <w:r w:rsidRPr="00277860">
        <w:rPr>
          <w:rFonts w:cstheme="minorHAnsi"/>
          <w:sz w:val="24"/>
          <w:szCs w:val="24"/>
        </w:rPr>
        <w:t>That Board Directors ap</w:t>
      </w:r>
      <w:r w:rsidR="00C66F93" w:rsidRPr="00277860">
        <w:rPr>
          <w:rFonts w:cstheme="minorHAnsi"/>
          <w:sz w:val="24"/>
          <w:szCs w:val="24"/>
        </w:rPr>
        <w:t xml:space="preserve">prove the draft Core Budget for </w:t>
      </w:r>
      <w:r w:rsidR="006F54C6">
        <w:rPr>
          <w:rFonts w:cstheme="minorHAnsi"/>
          <w:sz w:val="24"/>
          <w:szCs w:val="24"/>
        </w:rPr>
        <w:t>20</w:t>
      </w:r>
      <w:r w:rsidR="00C66F93" w:rsidRPr="00277860">
        <w:rPr>
          <w:rFonts w:cstheme="minorHAnsi"/>
          <w:sz w:val="24"/>
          <w:szCs w:val="24"/>
        </w:rPr>
        <w:t>20</w:t>
      </w:r>
      <w:r w:rsidR="006F54C6">
        <w:rPr>
          <w:rFonts w:cstheme="minorHAnsi"/>
          <w:sz w:val="24"/>
          <w:szCs w:val="24"/>
        </w:rPr>
        <w:t>-</w:t>
      </w:r>
      <w:r w:rsidR="00C66F93" w:rsidRPr="00277860">
        <w:rPr>
          <w:rFonts w:cstheme="minorHAnsi"/>
          <w:sz w:val="24"/>
          <w:szCs w:val="24"/>
        </w:rPr>
        <w:t>21</w:t>
      </w:r>
      <w:r w:rsidRPr="00277860">
        <w:rPr>
          <w:rFonts w:cstheme="minorHAnsi"/>
          <w:sz w:val="24"/>
          <w:szCs w:val="24"/>
        </w:rPr>
        <w:t xml:space="preserve"> and</w:t>
      </w:r>
      <w:r w:rsidR="00E21313">
        <w:rPr>
          <w:rFonts w:cstheme="minorHAnsi"/>
          <w:sz w:val="24"/>
          <w:szCs w:val="24"/>
        </w:rPr>
        <w:t xml:space="preserve"> the</w:t>
      </w:r>
      <w:r w:rsidRPr="00277860">
        <w:rPr>
          <w:rFonts w:cstheme="minorHAnsi"/>
          <w:sz w:val="24"/>
          <w:szCs w:val="24"/>
        </w:rPr>
        <w:t xml:space="preserve"> revised structure set out in Appendix</w:t>
      </w:r>
      <w:r w:rsidR="006F54C6">
        <w:rPr>
          <w:rFonts w:cstheme="minorHAnsi"/>
          <w:sz w:val="24"/>
          <w:szCs w:val="24"/>
        </w:rPr>
        <w:t xml:space="preserve"> </w:t>
      </w:r>
      <w:r w:rsidRPr="00277860">
        <w:rPr>
          <w:rFonts w:cstheme="minorHAnsi"/>
          <w:sz w:val="24"/>
          <w:szCs w:val="24"/>
        </w:rPr>
        <w:t>2 of this paper.</w:t>
      </w:r>
      <w:r w:rsidR="00C66F93" w:rsidRPr="00277860">
        <w:rPr>
          <w:rFonts w:cstheme="minorHAnsi"/>
          <w:sz w:val="24"/>
          <w:szCs w:val="24"/>
        </w:rPr>
        <w:t xml:space="preserve"> </w:t>
      </w:r>
    </w:p>
    <w:p w14:paraId="3052EA5D" w14:textId="29E0CFCA" w:rsidR="00D72CBF" w:rsidRPr="00277860" w:rsidRDefault="00D72CBF" w:rsidP="000E226D">
      <w:pPr>
        <w:jc w:val="both"/>
        <w:rPr>
          <w:rFonts w:cstheme="minorHAnsi"/>
          <w:sz w:val="24"/>
          <w:szCs w:val="24"/>
        </w:rPr>
      </w:pPr>
    </w:p>
    <w:p w14:paraId="30905452" w14:textId="681D43A7" w:rsidR="00D72CBF" w:rsidRPr="00277860" w:rsidRDefault="004E267A" w:rsidP="000E226D">
      <w:pPr>
        <w:jc w:val="both"/>
        <w:rPr>
          <w:rFonts w:cstheme="minorHAnsi"/>
          <w:sz w:val="24"/>
          <w:szCs w:val="24"/>
        </w:rPr>
      </w:pPr>
      <w:r w:rsidRPr="00277860">
        <w:rPr>
          <w:rFonts w:cstheme="minorHAnsi"/>
          <w:b/>
          <w:bCs/>
          <w:sz w:val="24"/>
          <w:szCs w:val="24"/>
        </w:rPr>
        <w:t>Lead Board Director:</w:t>
      </w:r>
      <w:r w:rsidRPr="00277860">
        <w:rPr>
          <w:rFonts w:cstheme="minorHAnsi"/>
          <w:sz w:val="24"/>
          <w:szCs w:val="24"/>
        </w:rPr>
        <w:t xml:space="preserve"> Mohammed Ahmed</w:t>
      </w:r>
    </w:p>
    <w:p w14:paraId="2056DB64" w14:textId="12354B00" w:rsidR="00D72CBF" w:rsidRPr="00277860" w:rsidRDefault="004E267A" w:rsidP="000E226D">
      <w:pPr>
        <w:jc w:val="both"/>
        <w:rPr>
          <w:rFonts w:cstheme="minorHAnsi"/>
          <w:sz w:val="24"/>
          <w:szCs w:val="24"/>
        </w:rPr>
      </w:pPr>
      <w:r w:rsidRPr="00277860">
        <w:rPr>
          <w:rFonts w:cstheme="minorHAnsi"/>
          <w:b/>
          <w:bCs/>
          <w:sz w:val="24"/>
          <w:szCs w:val="24"/>
        </w:rPr>
        <w:t>Report Authors:</w:t>
      </w:r>
      <w:r w:rsidRPr="00277860">
        <w:rPr>
          <w:rFonts w:cstheme="minorHAnsi"/>
          <w:sz w:val="24"/>
          <w:szCs w:val="24"/>
        </w:rPr>
        <w:t xml:space="preserve"> </w:t>
      </w:r>
      <w:r w:rsidR="00D72CBF" w:rsidRPr="00277860">
        <w:rPr>
          <w:rFonts w:cstheme="minorHAnsi"/>
          <w:sz w:val="24"/>
          <w:szCs w:val="24"/>
        </w:rPr>
        <w:t>Jacqui Casey</w:t>
      </w:r>
      <w:r w:rsidRPr="00277860">
        <w:rPr>
          <w:rFonts w:cstheme="minorHAnsi"/>
          <w:sz w:val="24"/>
          <w:szCs w:val="24"/>
        </w:rPr>
        <w:t xml:space="preserve">, </w:t>
      </w:r>
      <w:r w:rsidR="001760DB" w:rsidRPr="00277860">
        <w:rPr>
          <w:rFonts w:cstheme="minorHAnsi"/>
          <w:sz w:val="24"/>
          <w:szCs w:val="24"/>
        </w:rPr>
        <w:t xml:space="preserve">SSLEP </w:t>
      </w:r>
      <w:r w:rsidRPr="00277860">
        <w:rPr>
          <w:rFonts w:cstheme="minorHAnsi"/>
          <w:sz w:val="24"/>
          <w:szCs w:val="24"/>
        </w:rPr>
        <w:t xml:space="preserve">Interim </w:t>
      </w:r>
      <w:r w:rsidR="00492FD4" w:rsidRPr="00277860">
        <w:rPr>
          <w:rFonts w:cstheme="minorHAnsi"/>
          <w:sz w:val="24"/>
          <w:szCs w:val="24"/>
        </w:rPr>
        <w:t>Partnership Manager</w:t>
      </w:r>
      <w:r w:rsidRPr="00277860">
        <w:rPr>
          <w:rFonts w:cstheme="minorHAnsi"/>
          <w:sz w:val="24"/>
          <w:szCs w:val="24"/>
        </w:rPr>
        <w:t xml:space="preserve"> </w:t>
      </w:r>
      <w:hyperlink r:id="rId7" w:history="1">
        <w:r w:rsidRPr="00277860">
          <w:rPr>
            <w:rStyle w:val="Hyperlink"/>
            <w:rFonts w:cstheme="minorHAnsi"/>
            <w:sz w:val="24"/>
            <w:szCs w:val="24"/>
          </w:rPr>
          <w:t>Jacqui.casey@staffordshire.gov.uk</w:t>
        </w:r>
      </w:hyperlink>
      <w:r w:rsidRPr="00277860">
        <w:rPr>
          <w:rFonts w:cstheme="minorHAnsi"/>
          <w:sz w:val="24"/>
          <w:szCs w:val="24"/>
        </w:rPr>
        <w:t xml:space="preserve"> ; </w:t>
      </w:r>
      <w:r w:rsidR="00D72CBF" w:rsidRPr="00277860">
        <w:rPr>
          <w:rFonts w:cstheme="minorHAnsi"/>
          <w:sz w:val="24"/>
          <w:szCs w:val="24"/>
        </w:rPr>
        <w:t>Simon Ablewhite</w:t>
      </w:r>
      <w:r w:rsidRPr="00277860">
        <w:rPr>
          <w:rFonts w:cstheme="minorHAnsi"/>
          <w:sz w:val="24"/>
          <w:szCs w:val="24"/>
        </w:rPr>
        <w:t>,</w:t>
      </w:r>
      <w:r w:rsidR="00492FD4" w:rsidRPr="00277860">
        <w:rPr>
          <w:rFonts w:cstheme="minorHAnsi"/>
          <w:sz w:val="24"/>
          <w:szCs w:val="24"/>
        </w:rPr>
        <w:t xml:space="preserve"> S</w:t>
      </w:r>
      <w:r w:rsidRPr="00277860">
        <w:rPr>
          <w:rFonts w:cstheme="minorHAnsi"/>
          <w:sz w:val="24"/>
          <w:szCs w:val="24"/>
        </w:rPr>
        <w:t>SLEP</w:t>
      </w:r>
      <w:r w:rsidR="00492FD4" w:rsidRPr="00277860">
        <w:rPr>
          <w:rFonts w:cstheme="minorHAnsi"/>
          <w:sz w:val="24"/>
          <w:szCs w:val="24"/>
        </w:rPr>
        <w:t xml:space="preserve"> Accountable Body (151 Officer)</w:t>
      </w:r>
      <w:r w:rsidRPr="00277860">
        <w:rPr>
          <w:rFonts w:cstheme="minorHAnsi"/>
          <w:sz w:val="24"/>
          <w:szCs w:val="24"/>
        </w:rPr>
        <w:t xml:space="preserve">, </w:t>
      </w:r>
      <w:hyperlink r:id="rId8" w:history="1">
        <w:r w:rsidRPr="00277860">
          <w:rPr>
            <w:rStyle w:val="Hyperlink"/>
            <w:rFonts w:cstheme="minorHAnsi"/>
            <w:sz w:val="24"/>
            <w:szCs w:val="24"/>
          </w:rPr>
          <w:t>simon.ablewhite@staffordshire.gov.uk</w:t>
        </w:r>
      </w:hyperlink>
      <w:r w:rsidRPr="00277860">
        <w:rPr>
          <w:rFonts w:cstheme="minorHAnsi"/>
          <w:sz w:val="24"/>
          <w:szCs w:val="24"/>
        </w:rPr>
        <w:t xml:space="preserve"> </w:t>
      </w:r>
    </w:p>
    <w:p w14:paraId="0E27BC5B" w14:textId="77777777" w:rsidR="00492FD4" w:rsidRPr="00277860" w:rsidRDefault="00492FD4" w:rsidP="00D72CBF">
      <w:pPr>
        <w:rPr>
          <w:rFonts w:cstheme="minorHAnsi"/>
          <w:sz w:val="24"/>
          <w:szCs w:val="24"/>
        </w:rPr>
      </w:pPr>
    </w:p>
    <w:sectPr w:rsidR="00492FD4" w:rsidRPr="002778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4AC9" w14:textId="77777777" w:rsidR="00277860" w:rsidRDefault="00277860" w:rsidP="00277860">
      <w:pPr>
        <w:spacing w:after="0" w:line="240" w:lineRule="auto"/>
      </w:pPr>
      <w:r>
        <w:separator/>
      </w:r>
    </w:p>
  </w:endnote>
  <w:endnote w:type="continuationSeparator" w:id="0">
    <w:p w14:paraId="7EB2BF26" w14:textId="77777777" w:rsidR="00277860" w:rsidRDefault="00277860" w:rsidP="0027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2EB1" w14:textId="77777777" w:rsidR="00466AE3" w:rsidRDefault="0046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FFE0" w14:textId="77777777" w:rsidR="00466AE3" w:rsidRDefault="00466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6A61" w14:textId="77777777" w:rsidR="00466AE3" w:rsidRDefault="0046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8FB5" w14:textId="77777777" w:rsidR="00277860" w:rsidRDefault="00277860" w:rsidP="00277860">
      <w:pPr>
        <w:spacing w:after="0" w:line="240" w:lineRule="auto"/>
      </w:pPr>
      <w:r>
        <w:separator/>
      </w:r>
    </w:p>
  </w:footnote>
  <w:footnote w:type="continuationSeparator" w:id="0">
    <w:p w14:paraId="37C7E0F7" w14:textId="77777777" w:rsidR="00277860" w:rsidRDefault="00277860" w:rsidP="0027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48A7" w14:textId="77777777" w:rsidR="00466AE3" w:rsidRDefault="00466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1B40" w14:textId="63F0D35E" w:rsidR="00277860" w:rsidRDefault="00277860" w:rsidP="00277860">
    <w:pPr>
      <w:jc w:val="right"/>
    </w:pPr>
    <w:r w:rsidRPr="00277860">
      <w:rPr>
        <w:rFonts w:cstheme="minorHAnsi"/>
        <w:sz w:val="24"/>
        <w:szCs w:val="24"/>
      </w:rPr>
      <w:t>Item No.</w:t>
    </w:r>
    <w:r w:rsidR="00466AE3">
      <w:rPr>
        <w:rFonts w:cstheme="minorHAnsi"/>
        <w:sz w:val="24"/>
        <w:szCs w:val="24"/>
      </w:rPr>
      <w:t>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D8DE" w14:textId="77777777" w:rsidR="00466AE3" w:rsidRDefault="0046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1E2C"/>
    <w:multiLevelType w:val="hybridMultilevel"/>
    <w:tmpl w:val="6DC81B0E"/>
    <w:lvl w:ilvl="0" w:tplc="D834D2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B1843D5"/>
    <w:multiLevelType w:val="hybridMultilevel"/>
    <w:tmpl w:val="68B2F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17"/>
    <w:rsid w:val="00000899"/>
    <w:rsid w:val="0006784E"/>
    <w:rsid w:val="000C320A"/>
    <w:rsid w:val="000E226D"/>
    <w:rsid w:val="001760DB"/>
    <w:rsid w:val="001C5116"/>
    <w:rsid w:val="00277860"/>
    <w:rsid w:val="002A6FE0"/>
    <w:rsid w:val="002A7AE2"/>
    <w:rsid w:val="002D73ED"/>
    <w:rsid w:val="0042600C"/>
    <w:rsid w:val="00466AE3"/>
    <w:rsid w:val="00492FD4"/>
    <w:rsid w:val="004E267A"/>
    <w:rsid w:val="00500BEA"/>
    <w:rsid w:val="006F54C6"/>
    <w:rsid w:val="00806717"/>
    <w:rsid w:val="00834D45"/>
    <w:rsid w:val="00975EE9"/>
    <w:rsid w:val="009C6B02"/>
    <w:rsid w:val="00B33A63"/>
    <w:rsid w:val="00BB6709"/>
    <w:rsid w:val="00BC0D74"/>
    <w:rsid w:val="00BD6A5D"/>
    <w:rsid w:val="00C66F93"/>
    <w:rsid w:val="00D04DE5"/>
    <w:rsid w:val="00D72CBF"/>
    <w:rsid w:val="00DF27E7"/>
    <w:rsid w:val="00E2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3FCB"/>
  <w15:chartTrackingRefBased/>
  <w15:docId w15:val="{60C7C0C0-AF02-4E76-A3AA-20A32822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17"/>
    <w:pPr>
      <w:ind w:left="720"/>
      <w:contextualSpacing/>
    </w:pPr>
  </w:style>
  <w:style w:type="table" w:styleId="TableGrid">
    <w:name w:val="Table Grid"/>
    <w:basedOn w:val="TableNormal"/>
    <w:uiPriority w:val="39"/>
    <w:rsid w:val="0080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7A"/>
    <w:rPr>
      <w:color w:val="0563C1" w:themeColor="hyperlink"/>
      <w:u w:val="single"/>
    </w:rPr>
  </w:style>
  <w:style w:type="character" w:styleId="UnresolvedMention">
    <w:name w:val="Unresolved Mention"/>
    <w:basedOn w:val="DefaultParagraphFont"/>
    <w:uiPriority w:val="99"/>
    <w:semiHidden/>
    <w:unhideWhenUsed/>
    <w:rsid w:val="004E267A"/>
    <w:rPr>
      <w:color w:val="605E5C"/>
      <w:shd w:val="clear" w:color="auto" w:fill="E1DFDD"/>
    </w:rPr>
  </w:style>
  <w:style w:type="paragraph" w:styleId="Header">
    <w:name w:val="header"/>
    <w:basedOn w:val="Normal"/>
    <w:link w:val="HeaderChar"/>
    <w:uiPriority w:val="99"/>
    <w:unhideWhenUsed/>
    <w:rsid w:val="0027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60"/>
  </w:style>
  <w:style w:type="paragraph" w:styleId="Footer">
    <w:name w:val="footer"/>
    <w:basedOn w:val="Normal"/>
    <w:link w:val="FooterChar"/>
    <w:uiPriority w:val="99"/>
    <w:unhideWhenUsed/>
    <w:rsid w:val="0027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blewhite@staffordshi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cqui.casey@staffordshire.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Kemp, Joanne (EXT)</cp:lastModifiedBy>
  <cp:revision>6</cp:revision>
  <cp:lastPrinted>2020-02-14T10:11:00Z</cp:lastPrinted>
  <dcterms:created xsi:type="dcterms:W3CDTF">2020-02-18T09:57:00Z</dcterms:created>
  <dcterms:modified xsi:type="dcterms:W3CDTF">2020-02-21T11:29:00Z</dcterms:modified>
</cp:coreProperties>
</file>