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9502" w14:textId="77777777" w:rsidR="00761570" w:rsidRPr="00761570" w:rsidRDefault="00761570" w:rsidP="003B4DE3">
      <w:pPr>
        <w:jc w:val="center"/>
        <w:rPr>
          <w:rFonts w:cstheme="minorHAnsi"/>
          <w:b/>
          <w:sz w:val="24"/>
          <w:szCs w:val="24"/>
          <w:u w:val="single"/>
        </w:rPr>
      </w:pPr>
      <w:r w:rsidRPr="00761570">
        <w:rPr>
          <w:rFonts w:cstheme="minorHAnsi"/>
          <w:b/>
          <w:sz w:val="24"/>
          <w:szCs w:val="24"/>
          <w:u w:val="single"/>
        </w:rPr>
        <w:t xml:space="preserve">STOKE-ON-TRENT &amp; STAFFORDSHIRE  </w:t>
      </w:r>
    </w:p>
    <w:p w14:paraId="5268E133" w14:textId="18631063" w:rsidR="00761570" w:rsidRPr="00761570" w:rsidRDefault="00761570" w:rsidP="003B4DE3">
      <w:pPr>
        <w:jc w:val="center"/>
        <w:rPr>
          <w:rFonts w:cstheme="minorHAnsi"/>
          <w:b/>
          <w:sz w:val="24"/>
          <w:szCs w:val="24"/>
          <w:u w:val="single"/>
        </w:rPr>
      </w:pPr>
      <w:r w:rsidRPr="00761570">
        <w:rPr>
          <w:rFonts w:cstheme="minorHAnsi"/>
          <w:b/>
          <w:sz w:val="24"/>
          <w:szCs w:val="24"/>
          <w:u w:val="single"/>
        </w:rPr>
        <w:t>LOCAL ENTERPRISE PARTNERSHIP</w:t>
      </w:r>
    </w:p>
    <w:p w14:paraId="2B786967" w14:textId="137161C3" w:rsidR="00761570" w:rsidRPr="00761570" w:rsidRDefault="00761570" w:rsidP="003B4DE3">
      <w:pPr>
        <w:jc w:val="center"/>
        <w:rPr>
          <w:rFonts w:cstheme="minorHAnsi"/>
          <w:b/>
          <w:sz w:val="24"/>
          <w:szCs w:val="24"/>
          <w:u w:val="single"/>
        </w:rPr>
      </w:pPr>
      <w:r w:rsidRPr="00761570">
        <w:rPr>
          <w:rFonts w:cstheme="minorHAnsi"/>
          <w:b/>
          <w:sz w:val="24"/>
          <w:szCs w:val="24"/>
          <w:u w:val="single"/>
        </w:rPr>
        <w:t>EXECUTIVE BOARD MEETING</w:t>
      </w:r>
    </w:p>
    <w:p w14:paraId="7FC0221E" w14:textId="103D151F" w:rsidR="00761570" w:rsidRPr="00761570" w:rsidRDefault="00761570" w:rsidP="003B4DE3">
      <w:pPr>
        <w:jc w:val="center"/>
        <w:rPr>
          <w:rFonts w:cstheme="minorHAnsi"/>
          <w:b/>
          <w:sz w:val="24"/>
          <w:szCs w:val="24"/>
          <w:u w:val="single"/>
        </w:rPr>
      </w:pPr>
      <w:r w:rsidRPr="00761570">
        <w:rPr>
          <w:rFonts w:cstheme="minorHAnsi"/>
          <w:b/>
          <w:sz w:val="24"/>
          <w:szCs w:val="24"/>
          <w:u w:val="single"/>
        </w:rPr>
        <w:t>27</w:t>
      </w:r>
      <w:r w:rsidRPr="00761570">
        <w:rPr>
          <w:rFonts w:cstheme="minorHAnsi"/>
          <w:b/>
          <w:sz w:val="24"/>
          <w:szCs w:val="24"/>
          <w:u w:val="single"/>
          <w:vertAlign w:val="superscript"/>
        </w:rPr>
        <w:t>th</w:t>
      </w:r>
      <w:r w:rsidRPr="00761570">
        <w:rPr>
          <w:rFonts w:cstheme="minorHAnsi"/>
          <w:b/>
          <w:sz w:val="24"/>
          <w:szCs w:val="24"/>
          <w:u w:val="single"/>
        </w:rPr>
        <w:t xml:space="preserve"> February 2020</w:t>
      </w:r>
    </w:p>
    <w:p w14:paraId="125FFE76" w14:textId="77777777" w:rsidR="00761570" w:rsidRPr="00761570" w:rsidRDefault="00761570" w:rsidP="003B4DE3">
      <w:pPr>
        <w:jc w:val="center"/>
        <w:rPr>
          <w:rFonts w:cstheme="minorHAnsi"/>
          <w:b/>
          <w:sz w:val="24"/>
          <w:szCs w:val="24"/>
          <w:u w:val="single"/>
        </w:rPr>
      </w:pPr>
    </w:p>
    <w:p w14:paraId="5D2BA260" w14:textId="7B4648EF" w:rsidR="003B4DE3" w:rsidRPr="00761570" w:rsidRDefault="003B4DE3" w:rsidP="003B4DE3">
      <w:pPr>
        <w:jc w:val="center"/>
        <w:rPr>
          <w:rFonts w:cstheme="minorHAnsi"/>
          <w:b/>
          <w:sz w:val="24"/>
          <w:szCs w:val="24"/>
        </w:rPr>
      </w:pPr>
      <w:r w:rsidRPr="00761570">
        <w:rPr>
          <w:rFonts w:cstheme="minorHAnsi"/>
          <w:b/>
          <w:sz w:val="24"/>
          <w:szCs w:val="24"/>
        </w:rPr>
        <w:t>LOCAL INDUSTRIAL STRATEGY – IMPLEMENTATION PLAN</w:t>
      </w:r>
    </w:p>
    <w:p w14:paraId="6E012480" w14:textId="77777777" w:rsidR="00547BC5" w:rsidRPr="00761570" w:rsidRDefault="00547BC5" w:rsidP="003B4DE3">
      <w:pPr>
        <w:jc w:val="center"/>
        <w:rPr>
          <w:rFonts w:cstheme="minorHAnsi"/>
          <w:b/>
          <w:sz w:val="24"/>
          <w:szCs w:val="24"/>
        </w:rPr>
      </w:pPr>
      <w:r w:rsidRPr="00761570">
        <w:rPr>
          <w:rFonts w:cstheme="minorHAnsi"/>
          <w:b/>
          <w:sz w:val="24"/>
          <w:szCs w:val="24"/>
        </w:rPr>
        <w:t>PROPOSED ARRANGEMENTS FOR ADVISORY SUB-GROUPS</w:t>
      </w:r>
    </w:p>
    <w:p w14:paraId="01A60A3B" w14:textId="77777777" w:rsidR="003B4DE3" w:rsidRPr="00761570" w:rsidRDefault="003B4DE3" w:rsidP="003B4DE3">
      <w:pPr>
        <w:rPr>
          <w:rFonts w:cstheme="minorHAnsi"/>
          <w:b/>
          <w:sz w:val="24"/>
          <w:szCs w:val="24"/>
        </w:rPr>
      </w:pPr>
    </w:p>
    <w:p w14:paraId="59E31AC7" w14:textId="6D4D8E28" w:rsidR="003B4DE3" w:rsidRPr="00761570" w:rsidRDefault="003B4DE3" w:rsidP="001762DA">
      <w:pPr>
        <w:pStyle w:val="ListParagraph"/>
        <w:numPr>
          <w:ilvl w:val="0"/>
          <w:numId w:val="1"/>
        </w:numPr>
        <w:ind w:left="426" w:hanging="426"/>
        <w:rPr>
          <w:rFonts w:cstheme="minorHAnsi"/>
          <w:b/>
          <w:sz w:val="24"/>
          <w:szCs w:val="24"/>
        </w:rPr>
      </w:pPr>
      <w:r w:rsidRPr="00761570">
        <w:rPr>
          <w:rFonts w:cstheme="minorHAnsi"/>
          <w:b/>
          <w:sz w:val="24"/>
          <w:szCs w:val="24"/>
        </w:rPr>
        <w:t>Introduction</w:t>
      </w:r>
    </w:p>
    <w:p w14:paraId="67DE24F1" w14:textId="34E978CB" w:rsidR="001932CB" w:rsidRDefault="00CF44FD" w:rsidP="00663F1D">
      <w:pPr>
        <w:ind w:left="426"/>
        <w:rPr>
          <w:rFonts w:cstheme="minorHAnsi"/>
          <w:sz w:val="24"/>
          <w:szCs w:val="24"/>
        </w:rPr>
      </w:pPr>
      <w:r w:rsidRPr="00761570">
        <w:rPr>
          <w:rFonts w:cstheme="minorHAnsi"/>
          <w:sz w:val="24"/>
          <w:szCs w:val="24"/>
        </w:rPr>
        <w:t xml:space="preserve">Following a period of public consultation in late January/early February, SSLEP is undertaking a final review of its Local Industrial Strategy (LIS) prior to adoption.  </w:t>
      </w:r>
      <w:r w:rsidR="001932CB">
        <w:rPr>
          <w:rFonts w:cstheme="minorHAnsi"/>
          <w:sz w:val="24"/>
          <w:szCs w:val="24"/>
        </w:rPr>
        <w:t xml:space="preserve">Government has not yet confirmed whether LISs will continue to be published as joint documents and this may affect the final detail and timetable.  However, local partners and the Board have been clear that this should not prevent us from making early progress.  Maintaining momentum and </w:t>
      </w:r>
      <w:r w:rsidR="001932CB" w:rsidRPr="00761570">
        <w:rPr>
          <w:rFonts w:cstheme="minorHAnsi"/>
          <w:sz w:val="24"/>
          <w:szCs w:val="24"/>
        </w:rPr>
        <w:t xml:space="preserve">putting swiftly in place the </w:t>
      </w:r>
      <w:r w:rsidR="001932CB">
        <w:rPr>
          <w:rFonts w:cstheme="minorHAnsi"/>
          <w:sz w:val="24"/>
          <w:szCs w:val="24"/>
        </w:rPr>
        <w:t>appropriate implementation arr</w:t>
      </w:r>
      <w:r w:rsidR="001932CB" w:rsidRPr="00761570">
        <w:rPr>
          <w:rFonts w:cstheme="minorHAnsi"/>
          <w:sz w:val="24"/>
          <w:szCs w:val="24"/>
        </w:rPr>
        <w:t xml:space="preserve">angements </w:t>
      </w:r>
      <w:r w:rsidR="001932CB">
        <w:rPr>
          <w:rFonts w:cstheme="minorHAnsi"/>
          <w:sz w:val="24"/>
          <w:szCs w:val="24"/>
        </w:rPr>
        <w:t>are vital if we are</w:t>
      </w:r>
      <w:r w:rsidRPr="00761570">
        <w:rPr>
          <w:rFonts w:cstheme="minorHAnsi"/>
          <w:sz w:val="24"/>
          <w:szCs w:val="24"/>
        </w:rPr>
        <w:t xml:space="preserve"> to achieve the o</w:t>
      </w:r>
      <w:r w:rsidR="00610FD3" w:rsidRPr="00761570">
        <w:rPr>
          <w:rFonts w:cstheme="minorHAnsi"/>
          <w:sz w:val="24"/>
          <w:szCs w:val="24"/>
        </w:rPr>
        <w:t>bj</w:t>
      </w:r>
      <w:r w:rsidRPr="00761570">
        <w:rPr>
          <w:rFonts w:cstheme="minorHAnsi"/>
          <w:sz w:val="24"/>
          <w:szCs w:val="24"/>
        </w:rPr>
        <w:t>ectives and priorities identified in the LIS</w:t>
      </w:r>
      <w:r w:rsidR="001932CB">
        <w:rPr>
          <w:rFonts w:cstheme="minorHAnsi"/>
          <w:sz w:val="24"/>
          <w:szCs w:val="24"/>
        </w:rPr>
        <w:t>.</w:t>
      </w:r>
    </w:p>
    <w:p w14:paraId="7887179C" w14:textId="2F03AEB3" w:rsidR="00547BC5" w:rsidRPr="00761570" w:rsidRDefault="00610FD3" w:rsidP="00663F1D">
      <w:pPr>
        <w:ind w:left="426"/>
        <w:rPr>
          <w:rFonts w:cstheme="minorHAnsi"/>
          <w:sz w:val="24"/>
          <w:szCs w:val="24"/>
        </w:rPr>
      </w:pPr>
      <w:r w:rsidRPr="00761570">
        <w:rPr>
          <w:rFonts w:cstheme="minorHAnsi"/>
          <w:sz w:val="24"/>
          <w:szCs w:val="24"/>
        </w:rPr>
        <w:t xml:space="preserve">The purpose of this report is to </w:t>
      </w:r>
      <w:r w:rsidR="001932CB">
        <w:rPr>
          <w:rFonts w:cstheme="minorHAnsi"/>
          <w:sz w:val="24"/>
          <w:szCs w:val="24"/>
        </w:rPr>
        <w:t xml:space="preserve">seek Board agreement to </w:t>
      </w:r>
      <w:r w:rsidR="008E392F">
        <w:rPr>
          <w:rFonts w:cstheme="minorHAnsi"/>
          <w:sz w:val="24"/>
          <w:szCs w:val="24"/>
        </w:rPr>
        <w:t>proposed arrangements for</w:t>
      </w:r>
      <w:r w:rsidRPr="00761570">
        <w:rPr>
          <w:rFonts w:cstheme="minorHAnsi"/>
          <w:sz w:val="24"/>
          <w:szCs w:val="24"/>
        </w:rPr>
        <w:t xml:space="preserve"> advisory sub-groups </w:t>
      </w:r>
      <w:r w:rsidR="008E392F">
        <w:rPr>
          <w:rFonts w:cstheme="minorHAnsi"/>
          <w:sz w:val="24"/>
          <w:szCs w:val="24"/>
        </w:rPr>
        <w:t xml:space="preserve">that will drive progress on specific priorities.  This approach will enable us to maximise the impact of specific skills of Board members and external expertise and allow for deeper focus than would be appropriate or manageable at full Board.  </w:t>
      </w:r>
      <w:r w:rsidRPr="00761570">
        <w:rPr>
          <w:rFonts w:cstheme="minorHAnsi"/>
          <w:sz w:val="24"/>
          <w:szCs w:val="24"/>
        </w:rPr>
        <w:t>The</w:t>
      </w:r>
      <w:r w:rsidR="008E392F">
        <w:rPr>
          <w:rFonts w:cstheme="minorHAnsi"/>
          <w:sz w:val="24"/>
          <w:szCs w:val="24"/>
        </w:rPr>
        <w:t>se</w:t>
      </w:r>
      <w:r w:rsidRPr="00761570">
        <w:rPr>
          <w:rFonts w:cstheme="minorHAnsi"/>
          <w:sz w:val="24"/>
          <w:szCs w:val="24"/>
        </w:rPr>
        <w:t xml:space="preserve"> proposals build </w:t>
      </w:r>
      <w:r w:rsidR="004615A9" w:rsidRPr="00761570">
        <w:rPr>
          <w:rFonts w:cstheme="minorHAnsi"/>
          <w:sz w:val="24"/>
          <w:szCs w:val="24"/>
        </w:rPr>
        <w:t>on the work that has taken place during 2019 to strengthen our networks</w:t>
      </w:r>
      <w:r w:rsidR="007F3DC7" w:rsidRPr="00761570">
        <w:rPr>
          <w:rFonts w:cstheme="minorHAnsi"/>
          <w:sz w:val="24"/>
          <w:szCs w:val="24"/>
        </w:rPr>
        <w:t xml:space="preserve"> and </w:t>
      </w:r>
      <w:r w:rsidR="004615A9" w:rsidRPr="00761570">
        <w:rPr>
          <w:rFonts w:cstheme="minorHAnsi"/>
          <w:sz w:val="24"/>
          <w:szCs w:val="24"/>
        </w:rPr>
        <w:t>governance</w:t>
      </w:r>
      <w:r w:rsidR="006936DF" w:rsidRPr="00761570">
        <w:rPr>
          <w:rFonts w:cstheme="minorHAnsi"/>
          <w:sz w:val="24"/>
          <w:szCs w:val="24"/>
        </w:rPr>
        <w:t xml:space="preserve"> and will actively </w:t>
      </w:r>
      <w:r w:rsidR="008E392F">
        <w:rPr>
          <w:rFonts w:cstheme="minorHAnsi"/>
          <w:sz w:val="24"/>
          <w:szCs w:val="24"/>
        </w:rPr>
        <w:t>ensure</w:t>
      </w:r>
      <w:r w:rsidR="004C7DB0" w:rsidRPr="00761570">
        <w:rPr>
          <w:rFonts w:cstheme="minorHAnsi"/>
          <w:sz w:val="24"/>
          <w:szCs w:val="24"/>
        </w:rPr>
        <w:t xml:space="preserve"> leadership and involvement from our local businesses and key partners.</w:t>
      </w:r>
    </w:p>
    <w:p w14:paraId="70A891D2" w14:textId="3097930B" w:rsidR="00573965" w:rsidRPr="00761570" w:rsidRDefault="00573965" w:rsidP="00573965">
      <w:pPr>
        <w:ind w:left="426" w:hanging="426"/>
        <w:rPr>
          <w:rFonts w:cstheme="minorHAnsi"/>
          <w:b/>
          <w:bCs/>
          <w:sz w:val="24"/>
          <w:szCs w:val="24"/>
        </w:rPr>
      </w:pPr>
      <w:r w:rsidRPr="00761570">
        <w:rPr>
          <w:rFonts w:cstheme="minorHAnsi"/>
          <w:b/>
          <w:bCs/>
          <w:sz w:val="24"/>
          <w:szCs w:val="24"/>
        </w:rPr>
        <w:t xml:space="preserve">2. </w:t>
      </w:r>
      <w:r w:rsidRPr="00761570">
        <w:rPr>
          <w:rFonts w:cstheme="minorHAnsi"/>
          <w:b/>
          <w:bCs/>
          <w:sz w:val="24"/>
          <w:szCs w:val="24"/>
        </w:rPr>
        <w:tab/>
      </w:r>
      <w:r w:rsidR="00760252" w:rsidRPr="00761570">
        <w:rPr>
          <w:rFonts w:cstheme="minorHAnsi"/>
          <w:b/>
          <w:bCs/>
          <w:sz w:val="24"/>
          <w:szCs w:val="24"/>
        </w:rPr>
        <w:t>A Framework for the Advisory Sub-groups</w:t>
      </w:r>
    </w:p>
    <w:p w14:paraId="11059A7A" w14:textId="783EDF63" w:rsidR="00FF6EEE" w:rsidRPr="00761570" w:rsidRDefault="00FF6EEE" w:rsidP="00663F1D">
      <w:pPr>
        <w:ind w:left="426"/>
        <w:rPr>
          <w:rFonts w:cstheme="minorHAnsi"/>
          <w:sz w:val="24"/>
          <w:szCs w:val="24"/>
        </w:rPr>
      </w:pPr>
      <w:r w:rsidRPr="00761570">
        <w:rPr>
          <w:rFonts w:cstheme="minorHAnsi"/>
          <w:sz w:val="24"/>
          <w:szCs w:val="24"/>
        </w:rPr>
        <w:t>The LIS for Stoke-on-Trent and Staffordshire has been developed within the context of government priorities for the future UK economy, using robust evidence on local strengths and opportunities to contribute to increased productivity and economic growth.</w:t>
      </w:r>
      <w:r w:rsidR="00152AB7" w:rsidRPr="00761570">
        <w:rPr>
          <w:rFonts w:cstheme="minorHAnsi"/>
          <w:sz w:val="24"/>
          <w:szCs w:val="24"/>
        </w:rPr>
        <w:t xml:space="preserve"> The results of our research and engagement with stakeholders suggest four areas of focus:</w:t>
      </w:r>
    </w:p>
    <w:p w14:paraId="09B13F56" w14:textId="577E1D8D" w:rsidR="001A710A" w:rsidRPr="00761570" w:rsidRDefault="00292F40" w:rsidP="00FF6EEE">
      <w:pPr>
        <w:rPr>
          <w:rFonts w:cstheme="minorHAnsi"/>
          <w:sz w:val="24"/>
          <w:szCs w:val="24"/>
        </w:rPr>
      </w:pPr>
      <w:r w:rsidRPr="00761570">
        <w:rPr>
          <w:rFonts w:cstheme="minorHAnsi"/>
          <w:noProof/>
          <w:sz w:val="24"/>
          <w:szCs w:val="24"/>
        </w:rPr>
        <mc:AlternateContent>
          <mc:Choice Requires="wps">
            <w:drawing>
              <wp:anchor distT="45720" distB="45720" distL="114300" distR="114300" simplePos="0" relativeHeight="251659264" behindDoc="0" locked="0" layoutInCell="1" allowOverlap="1" wp14:anchorId="620117F1" wp14:editId="435CE772">
                <wp:simplePos x="0" y="0"/>
                <wp:positionH relativeFrom="margin">
                  <wp:posOffset>247015</wp:posOffset>
                </wp:positionH>
                <wp:positionV relativeFrom="paragraph">
                  <wp:posOffset>341630</wp:posOffset>
                </wp:positionV>
                <wp:extent cx="12477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solidFill>
                          <a:srgbClr val="FFFFFF"/>
                        </a:solidFill>
                        <a:ln w="9525">
                          <a:solidFill>
                            <a:srgbClr val="000000"/>
                          </a:solidFill>
                          <a:miter lim="800000"/>
                          <a:headEnd/>
                          <a:tailEnd/>
                        </a:ln>
                      </wps:spPr>
                      <wps:txbx>
                        <w:txbxContent>
                          <w:p w14:paraId="68C4379C" w14:textId="0ED85CCD" w:rsidR="009A577E" w:rsidRDefault="009A577E" w:rsidP="00994AFF">
                            <w:pPr>
                              <w:spacing w:after="0"/>
                              <w:jc w:val="center"/>
                            </w:pPr>
                            <w:r>
                              <w:rPr>
                                <w:noProof/>
                              </w:rPr>
                              <w:drawing>
                                <wp:inline distT="0" distB="0" distL="0" distR="0" wp14:anchorId="04A9B30B" wp14:editId="54028768">
                                  <wp:extent cx="419100" cy="419100"/>
                                  <wp:effectExtent l="0" t="0" r="0" b="0"/>
                                  <wp:docPr id="30" name="Graphic 87" descr="Marker">
                                    <a:extLst xmlns:a="http://schemas.openxmlformats.org/drawingml/2006/main">
                                      <a:ext uri="{FF2B5EF4-FFF2-40B4-BE49-F238E27FC236}">
                                        <a16:creationId xmlns:a16="http://schemas.microsoft.com/office/drawing/2014/main" id="{372EDC9D-9212-42AD-8760-906D71351C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7" descr="Marker">
                                            <a:extLst>
                                              <a:ext uri="{FF2B5EF4-FFF2-40B4-BE49-F238E27FC236}">
                                                <a16:creationId xmlns:a16="http://schemas.microsoft.com/office/drawing/2014/main" id="{372EDC9D-9212-42AD-8760-906D71351C4E}"/>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p>
                          <w:p w14:paraId="1D6CEBE2" w14:textId="32F5AF10" w:rsidR="009A577E" w:rsidRPr="001A710A" w:rsidRDefault="009A577E" w:rsidP="00994AFF">
                            <w:pPr>
                              <w:spacing w:after="0"/>
                              <w:jc w:val="center"/>
                              <w:rPr>
                                <w:b/>
                                <w:bCs/>
                              </w:rPr>
                            </w:pPr>
                            <w:r w:rsidRPr="001A710A">
                              <w:rPr>
                                <w:b/>
                                <w:bCs/>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117F1" id="_x0000_t202" coordsize="21600,21600" o:spt="202" path="m,l,21600r21600,l21600,xe">
                <v:stroke joinstyle="miter"/>
                <v:path gradientshapeok="t" o:connecttype="rect"/>
              </v:shapetype>
              <v:shape id="Text Box 2" o:spid="_x0000_s1026" type="#_x0000_t202" style="position:absolute;margin-left:19.45pt;margin-top:26.9pt;width:98.25pt;height: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">
                <v:textbox>
                  <w:txbxContent>
                    <w:p w14:paraId="68C4379C" w14:textId="0ED85CCD" w:rsidR="009A577E" w:rsidRDefault="009A577E" w:rsidP="00994AFF">
                      <w:pPr>
                        <w:spacing w:after="0"/>
                        <w:jc w:val="center"/>
                      </w:pPr>
                      <w:r>
                        <w:rPr>
                          <w:noProof/>
                        </w:rPr>
                        <w:drawing>
                          <wp:inline distT="0" distB="0" distL="0" distR="0" wp14:anchorId="04A9B30B" wp14:editId="54028768">
                            <wp:extent cx="419100" cy="419100"/>
                            <wp:effectExtent l="0" t="0" r="0" b="0"/>
                            <wp:docPr id="30" name="Graphic 87" descr="Marker">
                              <a:extLst xmlns:a="http://schemas.openxmlformats.org/drawingml/2006/main">
                                <a:ext uri="{FF2B5EF4-FFF2-40B4-BE49-F238E27FC236}">
                                  <a16:creationId xmlns:a16="http://schemas.microsoft.com/office/drawing/2014/main" id="{372EDC9D-9212-42AD-8760-906D71351C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7" descr="Marker">
                                      <a:extLst>
                                        <a:ext uri="{FF2B5EF4-FFF2-40B4-BE49-F238E27FC236}">
                                          <a16:creationId xmlns:a16="http://schemas.microsoft.com/office/drawing/2014/main" id="{372EDC9D-9212-42AD-8760-906D71351C4E}"/>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9100" cy="419100"/>
                                    </a:xfrm>
                                    <a:prstGeom prst="rect">
                                      <a:avLst/>
                                    </a:prstGeom>
                                  </pic:spPr>
                                </pic:pic>
                              </a:graphicData>
                            </a:graphic>
                          </wp:inline>
                        </w:drawing>
                      </w:r>
                    </w:p>
                    <w:p w14:paraId="1D6CEBE2" w14:textId="32F5AF10" w:rsidR="009A577E" w:rsidRPr="001A710A" w:rsidRDefault="009A577E" w:rsidP="00994AFF">
                      <w:pPr>
                        <w:spacing w:after="0"/>
                        <w:jc w:val="center"/>
                        <w:rPr>
                          <w:b/>
                          <w:bCs/>
                        </w:rPr>
                      </w:pPr>
                      <w:r w:rsidRPr="001A710A">
                        <w:rPr>
                          <w:b/>
                          <w:bCs/>
                        </w:rPr>
                        <w:t>Place</w:t>
                      </w:r>
                    </w:p>
                  </w:txbxContent>
                </v:textbox>
                <w10:wrap type="square" anchorx="margin"/>
              </v:shape>
            </w:pict>
          </mc:Fallback>
        </mc:AlternateContent>
      </w:r>
      <w:r w:rsidR="001A710A" w:rsidRPr="00761570">
        <w:rPr>
          <w:rFonts w:cstheme="minorHAnsi"/>
          <w:noProof/>
          <w:sz w:val="24"/>
          <w:szCs w:val="24"/>
        </w:rPr>
        <mc:AlternateContent>
          <mc:Choice Requires="wps">
            <w:drawing>
              <wp:anchor distT="45720" distB="45720" distL="114300" distR="114300" simplePos="0" relativeHeight="251665408" behindDoc="0" locked="0" layoutInCell="1" allowOverlap="1" wp14:anchorId="779D65BE" wp14:editId="00F0BF7A">
                <wp:simplePos x="0" y="0"/>
                <wp:positionH relativeFrom="margin">
                  <wp:posOffset>4752340</wp:posOffset>
                </wp:positionH>
                <wp:positionV relativeFrom="paragraph">
                  <wp:posOffset>344805</wp:posOffset>
                </wp:positionV>
                <wp:extent cx="1247775" cy="8001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solidFill>
                          <a:srgbClr val="FFFFFF"/>
                        </a:solidFill>
                        <a:ln w="9525">
                          <a:solidFill>
                            <a:srgbClr val="000000"/>
                          </a:solidFill>
                          <a:miter lim="800000"/>
                          <a:headEnd/>
                          <a:tailEnd/>
                        </a:ln>
                      </wps:spPr>
                      <wps:txbx>
                        <w:txbxContent>
                          <w:p w14:paraId="43EA12EC" w14:textId="092DB91D" w:rsidR="009A577E" w:rsidRDefault="009A577E" w:rsidP="00994AFF">
                            <w:pPr>
                              <w:spacing w:after="0"/>
                              <w:jc w:val="center"/>
                            </w:pPr>
                            <w:r>
                              <w:rPr>
                                <w:noProof/>
                              </w:rPr>
                              <w:drawing>
                                <wp:inline distT="0" distB="0" distL="0" distR="0" wp14:anchorId="0A10CA36" wp14:editId="3D71B831">
                                  <wp:extent cx="419100" cy="419100"/>
                                  <wp:effectExtent l="0" t="0" r="0" b="0"/>
                                  <wp:docPr id="31" name="Graphic 79" descr="Business Growth">
                                    <a:extLst xmlns:a="http://schemas.openxmlformats.org/drawingml/2006/main">
                                      <a:ext uri="{FF2B5EF4-FFF2-40B4-BE49-F238E27FC236}">
                                        <a16:creationId xmlns:a16="http://schemas.microsoft.com/office/drawing/2014/main" id="{5D334863-EE50-43A2-864A-E5C2AD19F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79" descr="Business Growth">
                                            <a:extLst>
                                              <a:ext uri="{FF2B5EF4-FFF2-40B4-BE49-F238E27FC236}">
                                                <a16:creationId xmlns:a16="http://schemas.microsoft.com/office/drawing/2014/main" id="{5D334863-EE50-43A2-864A-E5C2AD19F78B}"/>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19100" cy="419100"/>
                                          </a:xfrm>
                                          <a:prstGeom prst="rect">
                                            <a:avLst/>
                                          </a:prstGeom>
                                        </pic:spPr>
                                      </pic:pic>
                                    </a:graphicData>
                                  </a:graphic>
                                </wp:inline>
                              </w:drawing>
                            </w:r>
                          </w:p>
                          <w:p w14:paraId="05E4C00B" w14:textId="6FD3EBD7" w:rsidR="009A577E" w:rsidRPr="001A710A" w:rsidRDefault="009A577E" w:rsidP="00994AFF">
                            <w:pPr>
                              <w:spacing w:after="0"/>
                              <w:jc w:val="center"/>
                              <w:rPr>
                                <w:b/>
                                <w:bCs/>
                              </w:rPr>
                            </w:pPr>
                            <w:r>
                              <w:rPr>
                                <w:b/>
                                <w:bCs/>
                              </w:rPr>
                              <w:t>Growing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D65BE" id="_x0000_s1027" type="#_x0000_t202" style="position:absolute;margin-left:374.2pt;margin-top:27.15pt;width:98.25pt;height: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">
                <v:textbox>
                  <w:txbxContent>
                    <w:p w14:paraId="43EA12EC" w14:textId="092DB91D" w:rsidR="009A577E" w:rsidRDefault="009A577E" w:rsidP="00994AFF">
                      <w:pPr>
                        <w:spacing w:after="0"/>
                        <w:jc w:val="center"/>
                      </w:pPr>
                      <w:r>
                        <w:rPr>
                          <w:noProof/>
                        </w:rPr>
                        <w:drawing>
                          <wp:inline distT="0" distB="0" distL="0" distR="0" wp14:anchorId="0A10CA36" wp14:editId="3D71B831">
                            <wp:extent cx="419100" cy="419100"/>
                            <wp:effectExtent l="0" t="0" r="0" b="0"/>
                            <wp:docPr id="31" name="Graphic 79" descr="Business Growth">
                              <a:extLst xmlns:a="http://schemas.openxmlformats.org/drawingml/2006/main">
                                <a:ext uri="{FF2B5EF4-FFF2-40B4-BE49-F238E27FC236}">
                                  <a16:creationId xmlns:a16="http://schemas.microsoft.com/office/drawing/2014/main" id="{5D334863-EE50-43A2-864A-E5C2AD19F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79" descr="Business Growth">
                                      <a:extLst>
                                        <a:ext uri="{FF2B5EF4-FFF2-40B4-BE49-F238E27FC236}">
                                          <a16:creationId xmlns:a16="http://schemas.microsoft.com/office/drawing/2014/main" id="{5D334863-EE50-43A2-864A-E5C2AD19F78B}"/>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19100" cy="419100"/>
                                    </a:xfrm>
                                    <a:prstGeom prst="rect">
                                      <a:avLst/>
                                    </a:prstGeom>
                                  </pic:spPr>
                                </pic:pic>
                              </a:graphicData>
                            </a:graphic>
                          </wp:inline>
                        </w:drawing>
                      </w:r>
                    </w:p>
                    <w:p w14:paraId="05E4C00B" w14:textId="6FD3EBD7" w:rsidR="009A577E" w:rsidRPr="001A710A" w:rsidRDefault="009A577E" w:rsidP="00994AFF">
                      <w:pPr>
                        <w:spacing w:after="0"/>
                        <w:jc w:val="center"/>
                        <w:rPr>
                          <w:b/>
                          <w:bCs/>
                        </w:rPr>
                      </w:pPr>
                      <w:r>
                        <w:rPr>
                          <w:b/>
                          <w:bCs/>
                        </w:rPr>
                        <w:t>Growing Business</w:t>
                      </w:r>
                    </w:p>
                  </w:txbxContent>
                </v:textbox>
                <w10:wrap type="square" anchorx="margin"/>
              </v:shape>
            </w:pict>
          </mc:Fallback>
        </mc:AlternateContent>
      </w:r>
      <w:r w:rsidR="001A710A" w:rsidRPr="00761570">
        <w:rPr>
          <w:rFonts w:cstheme="minorHAnsi"/>
          <w:noProof/>
          <w:sz w:val="24"/>
          <w:szCs w:val="24"/>
        </w:rPr>
        <mc:AlternateContent>
          <mc:Choice Requires="wps">
            <w:drawing>
              <wp:anchor distT="45720" distB="45720" distL="114300" distR="114300" simplePos="0" relativeHeight="251661312" behindDoc="0" locked="0" layoutInCell="1" allowOverlap="1" wp14:anchorId="2663EB3A" wp14:editId="09A98914">
                <wp:simplePos x="0" y="0"/>
                <wp:positionH relativeFrom="margin">
                  <wp:posOffset>1751965</wp:posOffset>
                </wp:positionH>
                <wp:positionV relativeFrom="paragraph">
                  <wp:posOffset>340360</wp:posOffset>
                </wp:positionV>
                <wp:extent cx="1247775" cy="8001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solidFill>
                          <a:srgbClr val="FFFFFF"/>
                        </a:solidFill>
                        <a:ln w="9525">
                          <a:solidFill>
                            <a:srgbClr val="000000"/>
                          </a:solidFill>
                          <a:miter lim="800000"/>
                          <a:headEnd/>
                          <a:tailEnd/>
                        </a:ln>
                      </wps:spPr>
                      <wps:txbx>
                        <w:txbxContent>
                          <w:p w14:paraId="49B402CA" w14:textId="7DB2E5BA" w:rsidR="009A577E" w:rsidRDefault="009A577E" w:rsidP="00994AFF">
                            <w:pPr>
                              <w:spacing w:after="0"/>
                              <w:jc w:val="center"/>
                            </w:pPr>
                            <w:r>
                              <w:rPr>
                                <w:noProof/>
                              </w:rPr>
                              <w:drawing>
                                <wp:inline distT="0" distB="0" distL="0" distR="0" wp14:anchorId="59FE007B" wp14:editId="437514FC">
                                  <wp:extent cx="409575" cy="409575"/>
                                  <wp:effectExtent l="0" t="0" r="9525" b="0"/>
                                  <wp:docPr id="64" name="Graphic 89" descr="Users">
                                    <a:extLst xmlns:a="http://schemas.openxmlformats.org/drawingml/2006/main">
                                      <a:ext uri="{FF2B5EF4-FFF2-40B4-BE49-F238E27FC236}">
                                        <a16:creationId xmlns:a16="http://schemas.microsoft.com/office/drawing/2014/main" id="{2D798B55-6C8E-403D-AABB-B7FFB2335E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phic 89" descr="Users">
                                            <a:extLst>
                                              <a:ext uri="{FF2B5EF4-FFF2-40B4-BE49-F238E27FC236}">
                                                <a16:creationId xmlns:a16="http://schemas.microsoft.com/office/drawing/2014/main" id="{2D798B55-6C8E-403D-AABB-B7FFB2335EBE}"/>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9575" cy="409575"/>
                                          </a:xfrm>
                                          <a:prstGeom prst="rect">
                                            <a:avLst/>
                                          </a:prstGeom>
                                        </pic:spPr>
                                      </pic:pic>
                                    </a:graphicData>
                                  </a:graphic>
                                </wp:inline>
                              </w:drawing>
                            </w:r>
                          </w:p>
                          <w:p w14:paraId="19DBE5D0" w14:textId="19DB10B3" w:rsidR="009A577E" w:rsidRPr="001A710A" w:rsidRDefault="009A577E" w:rsidP="00994AFF">
                            <w:pPr>
                              <w:spacing w:after="0"/>
                              <w:jc w:val="center"/>
                              <w:rPr>
                                <w:b/>
                                <w:bCs/>
                              </w:rPr>
                            </w:pPr>
                            <w:r>
                              <w:rPr>
                                <w:b/>
                                <w:bCs/>
                              </w:rPr>
                              <w:t>Future Workforce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3EB3A" id="_x0000_s1028" type="#_x0000_t202" style="position:absolute;margin-left:137.95pt;margin-top:26.8pt;width:98.2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">
                <v:textbox>
                  <w:txbxContent>
                    <w:p w14:paraId="49B402CA" w14:textId="7DB2E5BA" w:rsidR="009A577E" w:rsidRDefault="009A577E" w:rsidP="00994AFF">
                      <w:pPr>
                        <w:spacing w:after="0"/>
                        <w:jc w:val="center"/>
                      </w:pPr>
                      <w:r>
                        <w:rPr>
                          <w:noProof/>
                        </w:rPr>
                        <w:drawing>
                          <wp:inline distT="0" distB="0" distL="0" distR="0" wp14:anchorId="59FE007B" wp14:editId="437514FC">
                            <wp:extent cx="409575" cy="409575"/>
                            <wp:effectExtent l="0" t="0" r="9525" b="0"/>
                            <wp:docPr id="64" name="Graphic 89" descr="Users">
                              <a:extLst xmlns:a="http://schemas.openxmlformats.org/drawingml/2006/main">
                                <a:ext uri="{FF2B5EF4-FFF2-40B4-BE49-F238E27FC236}">
                                  <a16:creationId xmlns:a16="http://schemas.microsoft.com/office/drawing/2014/main" id="{2D798B55-6C8E-403D-AABB-B7FFB2335E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phic 89" descr="Users">
                                      <a:extLst>
                                        <a:ext uri="{FF2B5EF4-FFF2-40B4-BE49-F238E27FC236}">
                                          <a16:creationId xmlns:a16="http://schemas.microsoft.com/office/drawing/2014/main" id="{2D798B55-6C8E-403D-AABB-B7FFB2335EBE}"/>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9575" cy="409575"/>
                                    </a:xfrm>
                                    <a:prstGeom prst="rect">
                                      <a:avLst/>
                                    </a:prstGeom>
                                  </pic:spPr>
                                </pic:pic>
                              </a:graphicData>
                            </a:graphic>
                          </wp:inline>
                        </w:drawing>
                      </w:r>
                    </w:p>
                    <w:p w14:paraId="19DBE5D0" w14:textId="19DB10B3" w:rsidR="009A577E" w:rsidRPr="001A710A" w:rsidRDefault="009A577E" w:rsidP="00994AFF">
                      <w:pPr>
                        <w:spacing w:after="0"/>
                        <w:jc w:val="center"/>
                        <w:rPr>
                          <w:b/>
                          <w:bCs/>
                        </w:rPr>
                      </w:pPr>
                      <w:r>
                        <w:rPr>
                          <w:b/>
                          <w:bCs/>
                        </w:rPr>
                        <w:t>Future Workforce</w:t>
                      </w:r>
                    </w:p>
                  </w:txbxContent>
                </v:textbox>
                <w10:wrap type="square" anchorx="margin"/>
              </v:shape>
            </w:pict>
          </mc:Fallback>
        </mc:AlternateContent>
      </w:r>
    </w:p>
    <w:p w14:paraId="1C4996B8" w14:textId="59F20F03" w:rsidR="00152AB7" w:rsidRPr="00761570" w:rsidRDefault="001A710A" w:rsidP="00FF6EEE">
      <w:pPr>
        <w:rPr>
          <w:rFonts w:cstheme="minorHAnsi"/>
          <w:sz w:val="24"/>
          <w:szCs w:val="24"/>
        </w:rPr>
      </w:pPr>
      <w:r w:rsidRPr="00761570">
        <w:rPr>
          <w:rFonts w:cstheme="minorHAnsi"/>
          <w:noProof/>
          <w:sz w:val="24"/>
          <w:szCs w:val="24"/>
        </w:rPr>
        <mc:AlternateContent>
          <mc:Choice Requires="wps">
            <w:drawing>
              <wp:anchor distT="45720" distB="45720" distL="114300" distR="114300" simplePos="0" relativeHeight="251663360" behindDoc="0" locked="0" layoutInCell="1" allowOverlap="1" wp14:anchorId="0193EBE6" wp14:editId="739BBA81">
                <wp:simplePos x="0" y="0"/>
                <wp:positionH relativeFrom="margin">
                  <wp:posOffset>3256915</wp:posOffset>
                </wp:positionH>
                <wp:positionV relativeFrom="paragraph">
                  <wp:posOffset>16510</wp:posOffset>
                </wp:positionV>
                <wp:extent cx="1247775" cy="8001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solidFill>
                          <a:srgbClr val="FFFFFF"/>
                        </a:solidFill>
                        <a:ln w="9525">
                          <a:solidFill>
                            <a:srgbClr val="000000"/>
                          </a:solidFill>
                          <a:miter lim="800000"/>
                          <a:headEnd/>
                          <a:tailEnd/>
                        </a:ln>
                      </wps:spPr>
                      <wps:txbx>
                        <w:txbxContent>
                          <w:p w14:paraId="3F117B0E" w14:textId="5AC30D6C" w:rsidR="009A577E" w:rsidRDefault="009A577E" w:rsidP="00994AFF">
                            <w:pPr>
                              <w:spacing w:after="0"/>
                              <w:jc w:val="center"/>
                            </w:pPr>
                            <w:r>
                              <w:rPr>
                                <w:noProof/>
                              </w:rPr>
                              <w:drawing>
                                <wp:inline distT="0" distB="0" distL="0" distR="0" wp14:anchorId="3664ACD0" wp14:editId="5044105D">
                                  <wp:extent cx="409575" cy="409575"/>
                                  <wp:effectExtent l="0" t="0" r="0" b="9525"/>
                                  <wp:docPr id="25" name="Graphic 83" descr="Lightbulb and gear">
                                    <a:extLst xmlns:a="http://schemas.openxmlformats.org/drawingml/2006/main">
                                      <a:ext uri="{FF2B5EF4-FFF2-40B4-BE49-F238E27FC236}">
                                        <a16:creationId xmlns:a16="http://schemas.microsoft.com/office/drawing/2014/main" id="{3601FF9A-4C49-499B-BBF0-E6F81E4768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3" descr="Lightbulb and gear">
                                            <a:extLst>
                                              <a:ext uri="{FF2B5EF4-FFF2-40B4-BE49-F238E27FC236}">
                                                <a16:creationId xmlns:a16="http://schemas.microsoft.com/office/drawing/2014/main" id="{3601FF9A-4C49-499B-BBF0-E6F81E4768B9}"/>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9575" cy="409575"/>
                                          </a:xfrm>
                                          <a:prstGeom prst="rect">
                                            <a:avLst/>
                                          </a:prstGeom>
                                        </pic:spPr>
                                      </pic:pic>
                                    </a:graphicData>
                                  </a:graphic>
                                </wp:inline>
                              </w:drawing>
                            </w:r>
                          </w:p>
                          <w:p w14:paraId="1CAA9783" w14:textId="2C124BAA" w:rsidR="009A577E" w:rsidRPr="001A710A" w:rsidRDefault="009A577E" w:rsidP="00994AFF">
                            <w:pPr>
                              <w:spacing w:after="0"/>
                              <w:jc w:val="center"/>
                              <w:rPr>
                                <w:b/>
                                <w:bCs/>
                              </w:rPr>
                            </w:pPr>
                            <w:r>
                              <w:rPr>
                                <w:b/>
                                <w:bCs/>
                              </w:rPr>
                              <w:t>Innovation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3EBE6" id="_x0000_s1029" type="#_x0000_t202" style="position:absolute;margin-left:256.45pt;margin-top:1.3pt;width:98.25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">
                <v:textbox>
                  <w:txbxContent>
                    <w:p w14:paraId="3F117B0E" w14:textId="5AC30D6C" w:rsidR="009A577E" w:rsidRDefault="009A577E" w:rsidP="00994AFF">
                      <w:pPr>
                        <w:spacing w:after="0"/>
                        <w:jc w:val="center"/>
                      </w:pPr>
                      <w:r>
                        <w:rPr>
                          <w:noProof/>
                        </w:rPr>
                        <w:drawing>
                          <wp:inline distT="0" distB="0" distL="0" distR="0" wp14:anchorId="3664ACD0" wp14:editId="5044105D">
                            <wp:extent cx="409575" cy="409575"/>
                            <wp:effectExtent l="0" t="0" r="0" b="9525"/>
                            <wp:docPr id="25" name="Graphic 83" descr="Lightbulb and gear">
                              <a:extLst xmlns:a="http://schemas.openxmlformats.org/drawingml/2006/main">
                                <a:ext uri="{FF2B5EF4-FFF2-40B4-BE49-F238E27FC236}">
                                  <a16:creationId xmlns:a16="http://schemas.microsoft.com/office/drawing/2014/main" id="{3601FF9A-4C49-499B-BBF0-E6F81E4768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3" descr="Lightbulb and gear">
                                      <a:extLst>
                                        <a:ext uri="{FF2B5EF4-FFF2-40B4-BE49-F238E27FC236}">
                                          <a16:creationId xmlns:a16="http://schemas.microsoft.com/office/drawing/2014/main" id="{3601FF9A-4C49-499B-BBF0-E6F81E4768B9}"/>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9575" cy="409575"/>
                                    </a:xfrm>
                                    <a:prstGeom prst="rect">
                                      <a:avLst/>
                                    </a:prstGeom>
                                  </pic:spPr>
                                </pic:pic>
                              </a:graphicData>
                            </a:graphic>
                          </wp:inline>
                        </w:drawing>
                      </w:r>
                    </w:p>
                    <w:p w14:paraId="1CAA9783" w14:textId="2C124BAA" w:rsidR="009A577E" w:rsidRPr="001A710A" w:rsidRDefault="009A577E" w:rsidP="00994AFF">
                      <w:pPr>
                        <w:spacing w:after="0"/>
                        <w:jc w:val="center"/>
                        <w:rPr>
                          <w:b/>
                          <w:bCs/>
                        </w:rPr>
                      </w:pPr>
                      <w:r>
                        <w:rPr>
                          <w:b/>
                          <w:bCs/>
                        </w:rPr>
                        <w:t>Innovation</w:t>
                      </w:r>
                    </w:p>
                  </w:txbxContent>
                </v:textbox>
                <w10:wrap type="square" anchorx="margin"/>
              </v:shape>
            </w:pict>
          </mc:Fallback>
        </mc:AlternateContent>
      </w:r>
    </w:p>
    <w:p w14:paraId="71C6EE6F" w14:textId="04AA1D24" w:rsidR="004C7DB0" w:rsidRPr="00761570" w:rsidRDefault="00760252" w:rsidP="00663F1D">
      <w:pPr>
        <w:ind w:left="426"/>
        <w:rPr>
          <w:rFonts w:cstheme="minorHAnsi"/>
          <w:sz w:val="24"/>
          <w:szCs w:val="24"/>
        </w:rPr>
      </w:pPr>
      <w:r w:rsidRPr="00761570">
        <w:rPr>
          <w:rFonts w:cstheme="minorHAnsi"/>
          <w:sz w:val="24"/>
          <w:szCs w:val="24"/>
        </w:rPr>
        <w:lastRenderedPageBreak/>
        <w:t>An illustration of how these sub-groups fit into the LEP governance framework is provided in the chart at Appendix 1.</w:t>
      </w:r>
      <w:r w:rsidR="00761570">
        <w:rPr>
          <w:rFonts w:cstheme="minorHAnsi"/>
          <w:sz w:val="24"/>
          <w:szCs w:val="24"/>
        </w:rPr>
        <w:t xml:space="preserve">  </w:t>
      </w:r>
    </w:p>
    <w:p w14:paraId="565549E8" w14:textId="76378BCF" w:rsidR="00663F1D" w:rsidRPr="00761570" w:rsidRDefault="003C56C3" w:rsidP="00FD4E8E">
      <w:pPr>
        <w:spacing w:line="240" w:lineRule="auto"/>
        <w:ind w:left="426"/>
        <w:rPr>
          <w:rFonts w:cstheme="minorHAnsi"/>
          <w:sz w:val="24"/>
          <w:szCs w:val="24"/>
        </w:rPr>
      </w:pPr>
      <w:r>
        <w:rPr>
          <w:rFonts w:cstheme="minorHAnsi"/>
          <w:sz w:val="24"/>
          <w:szCs w:val="24"/>
        </w:rPr>
        <w:t xml:space="preserve">The role and scope of each </w:t>
      </w:r>
      <w:r w:rsidR="003A61B8">
        <w:rPr>
          <w:rFonts w:cstheme="minorHAnsi"/>
          <w:sz w:val="24"/>
          <w:szCs w:val="24"/>
        </w:rPr>
        <w:t>sub-</w:t>
      </w:r>
      <w:r w:rsidR="00761570">
        <w:rPr>
          <w:rFonts w:cstheme="minorHAnsi"/>
          <w:sz w:val="24"/>
          <w:szCs w:val="24"/>
        </w:rPr>
        <w:t>group</w:t>
      </w:r>
      <w:r>
        <w:rPr>
          <w:rFonts w:cstheme="minorHAnsi"/>
          <w:sz w:val="24"/>
          <w:szCs w:val="24"/>
        </w:rPr>
        <w:t xml:space="preserve"> is set out in the next section. Each is</w:t>
      </w:r>
      <w:r w:rsidR="00761570">
        <w:rPr>
          <w:rFonts w:cstheme="minorHAnsi"/>
          <w:sz w:val="24"/>
          <w:szCs w:val="24"/>
        </w:rPr>
        <w:t xml:space="preserve"> required to operate in line with </w:t>
      </w:r>
      <w:r w:rsidR="00BB1FA6">
        <w:rPr>
          <w:rFonts w:cstheme="minorHAnsi"/>
          <w:sz w:val="24"/>
          <w:szCs w:val="24"/>
        </w:rPr>
        <w:t xml:space="preserve">the </w:t>
      </w:r>
      <w:r w:rsidR="00761570">
        <w:rPr>
          <w:rFonts w:cstheme="minorHAnsi"/>
          <w:sz w:val="24"/>
          <w:szCs w:val="24"/>
        </w:rPr>
        <w:t>governance</w:t>
      </w:r>
      <w:r w:rsidR="00BB1FA6">
        <w:rPr>
          <w:rFonts w:cstheme="minorHAnsi"/>
          <w:sz w:val="24"/>
          <w:szCs w:val="24"/>
        </w:rPr>
        <w:t xml:space="preserve"> procedures and processes set out in the SSLEP Assurance Framework</w:t>
      </w:r>
      <w:r>
        <w:rPr>
          <w:rFonts w:cstheme="minorHAnsi"/>
          <w:sz w:val="24"/>
          <w:szCs w:val="24"/>
        </w:rPr>
        <w:t>.  G</w:t>
      </w:r>
      <w:r w:rsidR="00760252" w:rsidRPr="00761570">
        <w:rPr>
          <w:rFonts w:cstheme="minorHAnsi"/>
          <w:sz w:val="24"/>
          <w:szCs w:val="24"/>
        </w:rPr>
        <w:t>eneric Terms of Reference</w:t>
      </w:r>
      <w:r w:rsidR="00BB1FA6">
        <w:rPr>
          <w:rFonts w:cstheme="minorHAnsi"/>
          <w:sz w:val="24"/>
          <w:szCs w:val="24"/>
        </w:rPr>
        <w:t>, which incorporate</w:t>
      </w:r>
      <w:r w:rsidR="00663F1D" w:rsidRPr="00761570">
        <w:rPr>
          <w:rFonts w:cstheme="minorHAnsi"/>
          <w:sz w:val="24"/>
          <w:szCs w:val="24"/>
        </w:rPr>
        <w:t xml:space="preserve"> </w:t>
      </w:r>
      <w:r w:rsidR="00BB1FA6">
        <w:rPr>
          <w:rFonts w:cstheme="minorHAnsi"/>
          <w:sz w:val="24"/>
          <w:szCs w:val="24"/>
        </w:rPr>
        <w:t xml:space="preserve">the key requirements, </w:t>
      </w:r>
      <w:r w:rsidR="00663F1D" w:rsidRPr="00761570">
        <w:rPr>
          <w:rFonts w:cstheme="minorHAnsi"/>
          <w:sz w:val="24"/>
          <w:szCs w:val="24"/>
        </w:rPr>
        <w:t>are</w:t>
      </w:r>
      <w:r w:rsidR="00760252" w:rsidRPr="00761570">
        <w:rPr>
          <w:rFonts w:cstheme="minorHAnsi"/>
          <w:sz w:val="24"/>
          <w:szCs w:val="24"/>
        </w:rPr>
        <w:t xml:space="preserve"> </w:t>
      </w:r>
      <w:r w:rsidR="00BB1FA6">
        <w:rPr>
          <w:rFonts w:cstheme="minorHAnsi"/>
          <w:sz w:val="24"/>
          <w:szCs w:val="24"/>
        </w:rPr>
        <w:t>provid</w:t>
      </w:r>
      <w:r w:rsidR="00760252" w:rsidRPr="00761570">
        <w:rPr>
          <w:rFonts w:cstheme="minorHAnsi"/>
          <w:sz w:val="24"/>
          <w:szCs w:val="24"/>
        </w:rPr>
        <w:t>ed in Appendix 2</w:t>
      </w:r>
      <w:r w:rsidR="00CB0600" w:rsidRPr="00761570">
        <w:rPr>
          <w:rFonts w:cstheme="minorHAnsi"/>
          <w:sz w:val="24"/>
          <w:szCs w:val="24"/>
        </w:rPr>
        <w:t xml:space="preserve">.  In addition, </w:t>
      </w:r>
      <w:r w:rsidR="00663F1D" w:rsidRPr="00761570">
        <w:rPr>
          <w:rFonts w:cstheme="minorHAnsi"/>
          <w:sz w:val="24"/>
          <w:szCs w:val="24"/>
        </w:rPr>
        <w:t xml:space="preserve">each sub-group will have </w:t>
      </w:r>
      <w:r w:rsidR="00CB0600" w:rsidRPr="00761570">
        <w:rPr>
          <w:rFonts w:cstheme="minorHAnsi"/>
          <w:sz w:val="24"/>
          <w:szCs w:val="24"/>
        </w:rPr>
        <w:t xml:space="preserve">a </w:t>
      </w:r>
      <w:r>
        <w:rPr>
          <w:rFonts w:cstheme="minorHAnsi"/>
          <w:sz w:val="24"/>
          <w:szCs w:val="24"/>
        </w:rPr>
        <w:t xml:space="preserve">more detailed </w:t>
      </w:r>
      <w:r w:rsidR="00CB0600" w:rsidRPr="00761570">
        <w:rPr>
          <w:rFonts w:cstheme="minorHAnsi"/>
          <w:sz w:val="24"/>
          <w:szCs w:val="24"/>
        </w:rPr>
        <w:t>Specification, which will be specific to its remit and specialism</w:t>
      </w:r>
      <w:r w:rsidR="00663F1D" w:rsidRPr="00761570">
        <w:rPr>
          <w:rFonts w:cstheme="minorHAnsi"/>
          <w:sz w:val="24"/>
          <w:szCs w:val="24"/>
        </w:rPr>
        <w:t>.</w:t>
      </w:r>
      <w:r w:rsidR="00CB0600" w:rsidRPr="00761570">
        <w:rPr>
          <w:rFonts w:cstheme="minorHAnsi"/>
          <w:sz w:val="24"/>
          <w:szCs w:val="24"/>
        </w:rPr>
        <w:t xml:space="preserve">  </w:t>
      </w:r>
      <w:r w:rsidR="00205F11">
        <w:rPr>
          <w:rFonts w:cstheme="minorHAnsi"/>
          <w:sz w:val="24"/>
          <w:szCs w:val="24"/>
        </w:rPr>
        <w:t xml:space="preserve">Specifications for each sub-group are </w:t>
      </w:r>
      <w:r w:rsidR="00CB0600" w:rsidRPr="00761570">
        <w:rPr>
          <w:rFonts w:cstheme="minorHAnsi"/>
          <w:sz w:val="24"/>
          <w:szCs w:val="24"/>
        </w:rPr>
        <w:t>provided in Appendi</w:t>
      </w:r>
      <w:r w:rsidR="00205F11">
        <w:rPr>
          <w:rFonts w:cstheme="minorHAnsi"/>
          <w:sz w:val="24"/>
          <w:szCs w:val="24"/>
        </w:rPr>
        <w:t>ces</w:t>
      </w:r>
      <w:r w:rsidR="00CB0600" w:rsidRPr="00761570">
        <w:rPr>
          <w:rFonts w:cstheme="minorHAnsi"/>
          <w:sz w:val="24"/>
          <w:szCs w:val="24"/>
        </w:rPr>
        <w:t xml:space="preserve"> 3</w:t>
      </w:r>
      <w:r w:rsidR="00205F11">
        <w:rPr>
          <w:rFonts w:cstheme="minorHAnsi"/>
          <w:sz w:val="24"/>
          <w:szCs w:val="24"/>
        </w:rPr>
        <w:t>a-3d</w:t>
      </w:r>
      <w:r w:rsidR="00CB0600" w:rsidRPr="00761570">
        <w:rPr>
          <w:rFonts w:cstheme="minorHAnsi"/>
          <w:sz w:val="24"/>
          <w:szCs w:val="24"/>
        </w:rPr>
        <w:t>.</w:t>
      </w:r>
    </w:p>
    <w:p w14:paraId="01C9CFAC" w14:textId="77777777" w:rsidR="00572DC7" w:rsidRPr="00761570" w:rsidRDefault="00572DC7" w:rsidP="00572DC7">
      <w:pPr>
        <w:spacing w:after="0" w:line="240" w:lineRule="auto"/>
        <w:ind w:left="426"/>
        <w:rPr>
          <w:rFonts w:cstheme="minorHAnsi"/>
          <w:sz w:val="24"/>
          <w:szCs w:val="24"/>
        </w:rPr>
      </w:pPr>
    </w:p>
    <w:p w14:paraId="3219E0E0" w14:textId="7FB79689" w:rsidR="00731CEE" w:rsidRDefault="00CB335F" w:rsidP="00CB335F">
      <w:pPr>
        <w:pStyle w:val="ListParagraph"/>
        <w:numPr>
          <w:ilvl w:val="0"/>
          <w:numId w:val="2"/>
        </w:numPr>
        <w:ind w:left="426" w:hanging="426"/>
        <w:rPr>
          <w:rFonts w:cstheme="minorHAnsi"/>
          <w:b/>
          <w:bCs/>
          <w:sz w:val="24"/>
          <w:szCs w:val="24"/>
        </w:rPr>
      </w:pPr>
      <w:r w:rsidRPr="00761570">
        <w:rPr>
          <w:rFonts w:cstheme="minorHAnsi"/>
          <w:b/>
          <w:bCs/>
          <w:sz w:val="24"/>
          <w:szCs w:val="24"/>
        </w:rPr>
        <w:t>Role of the Sub-groups</w:t>
      </w:r>
    </w:p>
    <w:p w14:paraId="4116F304" w14:textId="0AFA1750" w:rsidR="003A61B8" w:rsidRPr="003A61B8" w:rsidRDefault="003A61B8" w:rsidP="003A61B8">
      <w:pPr>
        <w:pStyle w:val="ListParagraph"/>
        <w:ind w:left="426"/>
        <w:rPr>
          <w:rFonts w:cstheme="minorHAnsi"/>
          <w:sz w:val="24"/>
          <w:szCs w:val="24"/>
        </w:rPr>
      </w:pPr>
      <w:r>
        <w:rPr>
          <w:rFonts w:cstheme="minorHAnsi"/>
          <w:sz w:val="24"/>
          <w:szCs w:val="24"/>
        </w:rPr>
        <w:t>The role of the sub-groups is advisory</w:t>
      </w:r>
      <w:r w:rsidR="005965B3">
        <w:rPr>
          <w:rFonts w:cstheme="minorHAnsi"/>
          <w:sz w:val="24"/>
          <w:szCs w:val="24"/>
        </w:rPr>
        <w:t xml:space="preserve"> and will make </w:t>
      </w:r>
      <w:r>
        <w:rPr>
          <w:rFonts w:cstheme="minorHAnsi"/>
          <w:sz w:val="24"/>
          <w:szCs w:val="24"/>
        </w:rPr>
        <w:t>recommendations to the Board</w:t>
      </w:r>
      <w:r w:rsidR="005965B3">
        <w:rPr>
          <w:rFonts w:cstheme="minorHAnsi"/>
          <w:sz w:val="24"/>
          <w:szCs w:val="24"/>
        </w:rPr>
        <w:t xml:space="preserve">, </w:t>
      </w:r>
      <w:r>
        <w:rPr>
          <w:rFonts w:cstheme="minorHAnsi"/>
          <w:sz w:val="24"/>
          <w:szCs w:val="24"/>
        </w:rPr>
        <w:t>which w</w:t>
      </w:r>
      <w:r w:rsidR="005965B3">
        <w:rPr>
          <w:rFonts w:cstheme="minorHAnsi"/>
          <w:sz w:val="24"/>
          <w:szCs w:val="24"/>
        </w:rPr>
        <w:t xml:space="preserve">ill </w:t>
      </w:r>
      <w:r>
        <w:rPr>
          <w:rFonts w:cstheme="minorHAnsi"/>
          <w:sz w:val="24"/>
          <w:szCs w:val="24"/>
        </w:rPr>
        <w:t>retain overall responsibility</w:t>
      </w:r>
      <w:r w:rsidR="005965B3">
        <w:rPr>
          <w:rFonts w:cstheme="minorHAnsi"/>
          <w:sz w:val="24"/>
          <w:szCs w:val="24"/>
        </w:rPr>
        <w:t xml:space="preserve"> for investment decisions and progress of the </w:t>
      </w:r>
      <w:proofErr w:type="gramStart"/>
      <w:r w:rsidR="005965B3">
        <w:rPr>
          <w:rFonts w:cstheme="minorHAnsi"/>
          <w:sz w:val="24"/>
          <w:szCs w:val="24"/>
        </w:rPr>
        <w:t>LIS as a whole</w:t>
      </w:r>
      <w:proofErr w:type="gramEnd"/>
      <w:r w:rsidR="005965B3">
        <w:rPr>
          <w:rFonts w:cstheme="minorHAnsi"/>
          <w:sz w:val="24"/>
          <w:szCs w:val="24"/>
        </w:rPr>
        <w:t xml:space="preserve">.  The areas of work have been </w:t>
      </w:r>
      <w:r w:rsidR="00AD3E1B">
        <w:rPr>
          <w:rFonts w:cstheme="minorHAnsi"/>
          <w:sz w:val="24"/>
          <w:szCs w:val="24"/>
        </w:rPr>
        <w:t>organised into the four sub-groups, recognising that some activities will be relevant to more than one sub-group.  Chairs will be expected to share information and work collaboratively, coordinating their efforts through a monthly governance call with the SSLEP Chair and CEO.</w:t>
      </w:r>
    </w:p>
    <w:p w14:paraId="60363753" w14:textId="460ABE9F" w:rsidR="00CB335F" w:rsidRPr="00761570" w:rsidRDefault="00CB335F" w:rsidP="00CB335F">
      <w:pPr>
        <w:pStyle w:val="ListParagraph"/>
        <w:ind w:left="426"/>
        <w:rPr>
          <w:rFonts w:cstheme="minorHAnsi"/>
          <w:b/>
          <w:bCs/>
          <w:sz w:val="24"/>
          <w:szCs w:val="24"/>
        </w:rPr>
      </w:pPr>
    </w:p>
    <w:p w14:paraId="253FBEB1" w14:textId="0DFE4564" w:rsidR="00CB335F" w:rsidRPr="00761570" w:rsidRDefault="00CB335F" w:rsidP="00CB335F">
      <w:pPr>
        <w:pStyle w:val="ListParagraph"/>
        <w:numPr>
          <w:ilvl w:val="1"/>
          <w:numId w:val="2"/>
        </w:numPr>
        <w:ind w:left="993" w:hanging="567"/>
        <w:rPr>
          <w:rFonts w:cstheme="minorHAnsi"/>
          <w:b/>
          <w:bCs/>
          <w:sz w:val="24"/>
          <w:szCs w:val="24"/>
        </w:rPr>
      </w:pPr>
      <w:r w:rsidRPr="00761570">
        <w:rPr>
          <w:rFonts w:cstheme="minorHAnsi"/>
          <w:b/>
          <w:bCs/>
          <w:sz w:val="24"/>
          <w:szCs w:val="24"/>
        </w:rPr>
        <w:t>Place</w:t>
      </w:r>
    </w:p>
    <w:p w14:paraId="2F938AA2" w14:textId="69352D49" w:rsidR="00F47323" w:rsidRDefault="00663F1D" w:rsidP="00CB335F">
      <w:pPr>
        <w:pStyle w:val="ListParagraph"/>
        <w:ind w:left="993"/>
        <w:rPr>
          <w:rFonts w:cstheme="minorHAnsi"/>
          <w:sz w:val="24"/>
          <w:szCs w:val="24"/>
        </w:rPr>
      </w:pPr>
      <w:r w:rsidRPr="00761570">
        <w:rPr>
          <w:rFonts w:cstheme="minorHAnsi"/>
          <w:sz w:val="24"/>
          <w:szCs w:val="24"/>
        </w:rPr>
        <w:t xml:space="preserve">Stoke-on-Trent and Staffordshire </w:t>
      </w:r>
      <w:proofErr w:type="gramStart"/>
      <w:r w:rsidRPr="00761570">
        <w:rPr>
          <w:rFonts w:cstheme="minorHAnsi"/>
          <w:sz w:val="24"/>
          <w:szCs w:val="24"/>
        </w:rPr>
        <w:t>is</w:t>
      </w:r>
      <w:proofErr w:type="gramEnd"/>
      <w:r w:rsidRPr="00761570">
        <w:rPr>
          <w:rFonts w:cstheme="minorHAnsi"/>
          <w:sz w:val="24"/>
          <w:szCs w:val="24"/>
        </w:rPr>
        <w:t xml:space="preserve"> a diverse place.  </w:t>
      </w:r>
      <w:r w:rsidR="001D1B48">
        <w:rPr>
          <w:rFonts w:cstheme="minorHAnsi"/>
          <w:sz w:val="24"/>
          <w:szCs w:val="24"/>
        </w:rPr>
        <w:t>Differentiated interventions will be required to meet the needs of o</w:t>
      </w:r>
      <w:r w:rsidRPr="00761570">
        <w:rPr>
          <w:rFonts w:cstheme="minorHAnsi"/>
          <w:sz w:val="24"/>
          <w:szCs w:val="24"/>
        </w:rPr>
        <w:t xml:space="preserve">ur cities, towns and rural areas </w:t>
      </w:r>
      <w:r w:rsidR="001D1B48">
        <w:rPr>
          <w:rFonts w:cstheme="minorHAnsi"/>
          <w:sz w:val="24"/>
          <w:szCs w:val="24"/>
        </w:rPr>
        <w:t xml:space="preserve">whilst combining </w:t>
      </w:r>
      <w:r w:rsidRPr="00761570">
        <w:rPr>
          <w:rFonts w:cstheme="minorHAnsi"/>
          <w:sz w:val="24"/>
          <w:szCs w:val="24"/>
        </w:rPr>
        <w:t xml:space="preserve">to realise </w:t>
      </w:r>
      <w:r w:rsidR="00134BB8">
        <w:rPr>
          <w:rFonts w:cstheme="minorHAnsi"/>
          <w:sz w:val="24"/>
          <w:szCs w:val="24"/>
        </w:rPr>
        <w:t>our ambition</w:t>
      </w:r>
      <w:r w:rsidR="00234A0C">
        <w:rPr>
          <w:rFonts w:cstheme="minorHAnsi"/>
          <w:sz w:val="24"/>
          <w:szCs w:val="24"/>
        </w:rPr>
        <w:t>s</w:t>
      </w:r>
      <w:r w:rsidR="00134BB8">
        <w:rPr>
          <w:rFonts w:cstheme="minorHAnsi"/>
          <w:sz w:val="24"/>
          <w:szCs w:val="24"/>
        </w:rPr>
        <w:t xml:space="preserve"> for the area</w:t>
      </w:r>
      <w:r w:rsidR="00234A0C">
        <w:rPr>
          <w:rFonts w:cstheme="minorHAnsi"/>
          <w:sz w:val="24"/>
          <w:szCs w:val="24"/>
        </w:rPr>
        <w:t>.  We aim for Stoke-on-Trent and Staffordshire</w:t>
      </w:r>
      <w:r w:rsidR="00134BB8">
        <w:rPr>
          <w:rFonts w:cstheme="minorHAnsi"/>
          <w:sz w:val="24"/>
          <w:szCs w:val="24"/>
        </w:rPr>
        <w:t xml:space="preserve"> to be the highest quality</w:t>
      </w:r>
      <w:r w:rsidRPr="00761570">
        <w:rPr>
          <w:rFonts w:cstheme="minorHAnsi"/>
          <w:sz w:val="24"/>
          <w:szCs w:val="24"/>
        </w:rPr>
        <w:t xml:space="preserve"> </w:t>
      </w:r>
      <w:r w:rsidR="00134BB8">
        <w:rPr>
          <w:rFonts w:cstheme="minorHAnsi"/>
          <w:sz w:val="24"/>
          <w:szCs w:val="24"/>
        </w:rPr>
        <w:t>environment for our businesses and those who live</w:t>
      </w:r>
      <w:r w:rsidRPr="00761570">
        <w:rPr>
          <w:rFonts w:cstheme="minorHAnsi"/>
          <w:sz w:val="24"/>
          <w:szCs w:val="24"/>
        </w:rPr>
        <w:t>, work, study</w:t>
      </w:r>
      <w:r w:rsidR="00234A0C">
        <w:rPr>
          <w:rFonts w:cstheme="minorHAnsi"/>
          <w:sz w:val="24"/>
          <w:szCs w:val="24"/>
        </w:rPr>
        <w:t xml:space="preserve"> </w:t>
      </w:r>
      <w:r w:rsidRPr="00761570">
        <w:rPr>
          <w:rFonts w:cstheme="minorHAnsi"/>
          <w:sz w:val="24"/>
          <w:szCs w:val="24"/>
        </w:rPr>
        <w:t xml:space="preserve">and </w:t>
      </w:r>
      <w:r w:rsidR="00137317">
        <w:rPr>
          <w:rFonts w:cstheme="minorHAnsi"/>
          <w:sz w:val="24"/>
          <w:szCs w:val="24"/>
        </w:rPr>
        <w:t>visit</w:t>
      </w:r>
      <w:r w:rsidR="001065B1">
        <w:rPr>
          <w:rFonts w:cstheme="minorHAnsi"/>
          <w:sz w:val="24"/>
          <w:szCs w:val="24"/>
        </w:rPr>
        <w:t xml:space="preserve"> here</w:t>
      </w:r>
      <w:r w:rsidR="00F47323">
        <w:rPr>
          <w:rFonts w:cstheme="minorHAnsi"/>
          <w:sz w:val="24"/>
          <w:szCs w:val="24"/>
        </w:rPr>
        <w:t>, addressing the challenges of climate change and opportunities for zero carbon transition.</w:t>
      </w:r>
    </w:p>
    <w:p w14:paraId="3363286B" w14:textId="77777777" w:rsidR="00F47323" w:rsidRDefault="00F47323" w:rsidP="00CB335F">
      <w:pPr>
        <w:pStyle w:val="ListParagraph"/>
        <w:ind w:left="993"/>
        <w:rPr>
          <w:rFonts w:cstheme="minorHAnsi"/>
          <w:sz w:val="24"/>
          <w:szCs w:val="24"/>
        </w:rPr>
      </w:pPr>
    </w:p>
    <w:p w14:paraId="6EB8CFB6" w14:textId="4A3A2325" w:rsidR="00CB335F" w:rsidRPr="00761570" w:rsidRDefault="00663F1D" w:rsidP="00CB335F">
      <w:pPr>
        <w:pStyle w:val="ListParagraph"/>
        <w:ind w:left="993"/>
        <w:rPr>
          <w:rFonts w:cstheme="minorHAnsi"/>
          <w:sz w:val="24"/>
          <w:szCs w:val="24"/>
        </w:rPr>
      </w:pPr>
      <w:r w:rsidRPr="00761570">
        <w:rPr>
          <w:rFonts w:cstheme="minorHAnsi"/>
          <w:sz w:val="24"/>
          <w:szCs w:val="24"/>
        </w:rPr>
        <w:t xml:space="preserve">This sub-group </w:t>
      </w:r>
      <w:r w:rsidR="001D1B48">
        <w:rPr>
          <w:rFonts w:cstheme="minorHAnsi"/>
          <w:sz w:val="24"/>
          <w:szCs w:val="24"/>
        </w:rPr>
        <w:t>will</w:t>
      </w:r>
      <w:r w:rsidRPr="00761570">
        <w:rPr>
          <w:rFonts w:cstheme="minorHAnsi"/>
          <w:sz w:val="24"/>
          <w:szCs w:val="24"/>
        </w:rPr>
        <w:t xml:space="preserve"> bring together partners with local knowledge </w:t>
      </w:r>
      <w:r w:rsidR="00953722" w:rsidRPr="00761570">
        <w:rPr>
          <w:rFonts w:cstheme="minorHAnsi"/>
          <w:sz w:val="24"/>
          <w:szCs w:val="24"/>
        </w:rPr>
        <w:t>and expertise in</w:t>
      </w:r>
      <w:r w:rsidRPr="00761570">
        <w:rPr>
          <w:rFonts w:cstheme="minorHAnsi"/>
          <w:sz w:val="24"/>
          <w:szCs w:val="24"/>
        </w:rPr>
        <w:t xml:space="preserve"> what works best for their areas</w:t>
      </w:r>
      <w:r w:rsidR="001D1B48">
        <w:rPr>
          <w:rFonts w:cstheme="minorHAnsi"/>
          <w:sz w:val="24"/>
          <w:szCs w:val="24"/>
        </w:rPr>
        <w:t xml:space="preserve">, ensuring that interventions meet local requirements. </w:t>
      </w:r>
      <w:r w:rsidRPr="00761570">
        <w:rPr>
          <w:rFonts w:cstheme="minorHAnsi"/>
          <w:sz w:val="24"/>
          <w:szCs w:val="24"/>
        </w:rPr>
        <w:t>The remit of the sub-group will include transport, housing, enabling disadvantaged communities, natural capital, culture, leisure and tourism.</w:t>
      </w:r>
      <w:r w:rsidR="00234A0C">
        <w:rPr>
          <w:rFonts w:cstheme="minorHAnsi"/>
          <w:sz w:val="24"/>
          <w:szCs w:val="24"/>
        </w:rPr>
        <w:t xml:space="preserve">  </w:t>
      </w:r>
      <w:r w:rsidR="003B653B">
        <w:rPr>
          <w:rFonts w:cstheme="minorHAnsi"/>
          <w:sz w:val="24"/>
          <w:szCs w:val="24"/>
        </w:rPr>
        <w:t>It will also work to ensure a joined-up approach to geo</w:t>
      </w:r>
      <w:r w:rsidR="00234A0C">
        <w:rPr>
          <w:rFonts w:cstheme="minorHAnsi"/>
          <w:sz w:val="24"/>
          <w:szCs w:val="24"/>
        </w:rPr>
        <w:t>graphically</w:t>
      </w:r>
      <w:r w:rsidR="001065B1">
        <w:rPr>
          <w:rFonts w:cstheme="minorHAnsi"/>
          <w:sz w:val="24"/>
          <w:szCs w:val="24"/>
        </w:rPr>
        <w:t xml:space="preserve"> </w:t>
      </w:r>
      <w:r w:rsidR="00234A0C">
        <w:rPr>
          <w:rFonts w:cstheme="minorHAnsi"/>
          <w:sz w:val="24"/>
          <w:szCs w:val="24"/>
        </w:rPr>
        <w:t xml:space="preserve">specific </w:t>
      </w:r>
      <w:r w:rsidR="001065B1">
        <w:rPr>
          <w:rFonts w:cstheme="minorHAnsi"/>
          <w:sz w:val="24"/>
          <w:szCs w:val="24"/>
        </w:rPr>
        <w:t>interventions that complement other government place-based initiatives (such as town deals)</w:t>
      </w:r>
      <w:r w:rsidR="003B653B">
        <w:rPr>
          <w:rFonts w:cstheme="minorHAnsi"/>
          <w:sz w:val="24"/>
          <w:szCs w:val="24"/>
        </w:rPr>
        <w:t xml:space="preserve"> and where regionwide programmes of investment are most effective, but need a clear local focus (for example on incubator space or enterprise support).</w:t>
      </w:r>
    </w:p>
    <w:p w14:paraId="3A418EBE" w14:textId="000DEE09" w:rsidR="00926BBB" w:rsidRPr="00761570" w:rsidRDefault="00926BBB" w:rsidP="00CB335F">
      <w:pPr>
        <w:pStyle w:val="ListParagraph"/>
        <w:ind w:left="993"/>
        <w:rPr>
          <w:rFonts w:cstheme="minorHAnsi"/>
          <w:sz w:val="24"/>
          <w:szCs w:val="24"/>
        </w:rPr>
      </w:pPr>
    </w:p>
    <w:p w14:paraId="726B4765" w14:textId="0E1F8E2D" w:rsidR="00CB335F" w:rsidRPr="00761570" w:rsidRDefault="006D23DF" w:rsidP="00CB335F">
      <w:pPr>
        <w:pStyle w:val="ListParagraph"/>
        <w:numPr>
          <w:ilvl w:val="1"/>
          <w:numId w:val="2"/>
        </w:numPr>
        <w:ind w:left="993" w:hanging="567"/>
        <w:rPr>
          <w:rFonts w:cstheme="minorHAnsi"/>
          <w:b/>
          <w:bCs/>
          <w:sz w:val="24"/>
          <w:szCs w:val="24"/>
        </w:rPr>
      </w:pPr>
      <w:r w:rsidRPr="00761570">
        <w:rPr>
          <w:rFonts w:cstheme="minorHAnsi"/>
          <w:b/>
          <w:bCs/>
          <w:sz w:val="24"/>
          <w:szCs w:val="24"/>
        </w:rPr>
        <w:t>Future Workforce</w:t>
      </w:r>
    </w:p>
    <w:p w14:paraId="6B9E08A5" w14:textId="09E1C0D9" w:rsidR="006D23DF" w:rsidRPr="00761570" w:rsidRDefault="005850FC" w:rsidP="006D23DF">
      <w:pPr>
        <w:pStyle w:val="ListParagraph"/>
        <w:ind w:left="993"/>
        <w:rPr>
          <w:rFonts w:cstheme="minorHAnsi"/>
          <w:sz w:val="24"/>
          <w:szCs w:val="24"/>
        </w:rPr>
      </w:pPr>
      <w:bookmarkStart w:id="0" w:name="_Hlk31286767"/>
      <w:r w:rsidRPr="00761570">
        <w:rPr>
          <w:rFonts w:cstheme="minorHAnsi"/>
          <w:sz w:val="24"/>
          <w:szCs w:val="24"/>
        </w:rPr>
        <w:t>Our ambition is for Stoke-on-Trent and Staffordshire</w:t>
      </w:r>
      <w:bookmarkEnd w:id="0"/>
      <w:r w:rsidRPr="00761570">
        <w:rPr>
          <w:rFonts w:cstheme="minorHAnsi"/>
          <w:sz w:val="24"/>
          <w:szCs w:val="24"/>
        </w:rPr>
        <w:t xml:space="preserve"> to be a place where people can thrive and benefit from </w:t>
      </w:r>
      <w:r w:rsidR="001065B1">
        <w:rPr>
          <w:rFonts w:cstheme="minorHAnsi"/>
          <w:sz w:val="24"/>
          <w:szCs w:val="24"/>
        </w:rPr>
        <w:t xml:space="preserve">economic </w:t>
      </w:r>
      <w:r w:rsidRPr="00761570">
        <w:rPr>
          <w:rFonts w:cstheme="minorHAnsi"/>
          <w:sz w:val="24"/>
          <w:szCs w:val="24"/>
        </w:rPr>
        <w:t xml:space="preserve">growth.  Our businesses need access to skills and talent, so we aim to widen our potential labour market </w:t>
      </w:r>
      <w:proofErr w:type="gramStart"/>
      <w:r w:rsidRPr="00761570">
        <w:rPr>
          <w:rFonts w:cstheme="minorHAnsi"/>
          <w:sz w:val="24"/>
          <w:szCs w:val="24"/>
        </w:rPr>
        <w:t>through:</w:t>
      </w:r>
      <w:proofErr w:type="gramEnd"/>
      <w:r w:rsidRPr="00761570">
        <w:rPr>
          <w:rFonts w:cstheme="minorHAnsi"/>
          <w:sz w:val="24"/>
          <w:szCs w:val="24"/>
        </w:rPr>
        <w:t xml:space="preserve"> retaining more of the many skilled people who come here to study; attracting new people into the area to work; retraining and upskilling</w:t>
      </w:r>
      <w:r w:rsidR="001065B1">
        <w:rPr>
          <w:rFonts w:cstheme="minorHAnsi"/>
          <w:sz w:val="24"/>
          <w:szCs w:val="24"/>
        </w:rPr>
        <w:t xml:space="preserve"> our</w:t>
      </w:r>
      <w:r w:rsidRPr="00761570">
        <w:rPr>
          <w:rFonts w:cstheme="minorHAnsi"/>
          <w:sz w:val="24"/>
          <w:szCs w:val="24"/>
        </w:rPr>
        <w:t xml:space="preserve"> experienced workers. </w:t>
      </w:r>
      <w:r w:rsidR="003B653B" w:rsidRPr="003B653B">
        <w:rPr>
          <w:rFonts w:cstheme="minorHAnsi"/>
          <w:sz w:val="24"/>
          <w:szCs w:val="24"/>
        </w:rPr>
        <w:t>Th</w:t>
      </w:r>
      <w:r w:rsidR="003B653B">
        <w:rPr>
          <w:rFonts w:cstheme="minorHAnsi"/>
          <w:sz w:val="24"/>
          <w:szCs w:val="24"/>
        </w:rPr>
        <w:t>is</w:t>
      </w:r>
      <w:r w:rsidR="003B653B" w:rsidRPr="003B653B">
        <w:rPr>
          <w:rFonts w:cstheme="minorHAnsi"/>
          <w:sz w:val="24"/>
          <w:szCs w:val="24"/>
        </w:rPr>
        <w:t xml:space="preserve"> sub-group will build on the work of the Skills Advisory Panel and sector groups to ensure strategic alignment with the LIS in creating a workforce for the future.</w:t>
      </w:r>
      <w:r w:rsidR="003B653B">
        <w:rPr>
          <w:rFonts w:cstheme="minorHAnsi"/>
          <w:sz w:val="24"/>
          <w:szCs w:val="24"/>
        </w:rPr>
        <w:t xml:space="preserve">  </w:t>
      </w:r>
      <w:r w:rsidRPr="00761570">
        <w:rPr>
          <w:rFonts w:cstheme="minorHAnsi"/>
          <w:sz w:val="24"/>
          <w:szCs w:val="24"/>
        </w:rPr>
        <w:t xml:space="preserve">We will work with businesses and providers to develop pathways into work and progression in work, ensuring that our skills system is future-fit.  </w:t>
      </w:r>
    </w:p>
    <w:p w14:paraId="0B17EB2D" w14:textId="2FA5CA15" w:rsidR="00926BBB" w:rsidRPr="00761570" w:rsidRDefault="00926BBB" w:rsidP="006D23DF">
      <w:pPr>
        <w:pStyle w:val="ListParagraph"/>
        <w:ind w:left="993"/>
        <w:rPr>
          <w:rFonts w:cstheme="minorHAnsi"/>
          <w:sz w:val="24"/>
          <w:szCs w:val="24"/>
        </w:rPr>
      </w:pPr>
    </w:p>
    <w:p w14:paraId="23C4058C" w14:textId="4D3AAD32" w:rsidR="00CB335F" w:rsidRPr="00761570" w:rsidRDefault="005850FC" w:rsidP="005850FC">
      <w:pPr>
        <w:pStyle w:val="ListParagraph"/>
        <w:numPr>
          <w:ilvl w:val="1"/>
          <w:numId w:val="2"/>
        </w:numPr>
        <w:ind w:left="993" w:hanging="567"/>
        <w:rPr>
          <w:rFonts w:cstheme="minorHAnsi"/>
          <w:b/>
          <w:bCs/>
          <w:sz w:val="24"/>
          <w:szCs w:val="24"/>
        </w:rPr>
      </w:pPr>
      <w:r w:rsidRPr="00761570">
        <w:rPr>
          <w:rFonts w:cstheme="minorHAnsi"/>
          <w:b/>
          <w:bCs/>
          <w:sz w:val="24"/>
          <w:szCs w:val="24"/>
        </w:rPr>
        <w:t>Innovation</w:t>
      </w:r>
    </w:p>
    <w:p w14:paraId="3E6437ED" w14:textId="77777777" w:rsidR="0083242A" w:rsidRDefault="00050C09" w:rsidP="005850FC">
      <w:pPr>
        <w:pStyle w:val="ListParagraph"/>
        <w:ind w:left="993"/>
        <w:rPr>
          <w:rFonts w:cstheme="minorHAnsi"/>
          <w:sz w:val="24"/>
          <w:szCs w:val="24"/>
        </w:rPr>
      </w:pPr>
      <w:r w:rsidRPr="00761570">
        <w:rPr>
          <w:rFonts w:cstheme="minorHAnsi"/>
          <w:sz w:val="24"/>
          <w:szCs w:val="24"/>
        </w:rPr>
        <w:t xml:space="preserve">Stoke-on-Trent and Staffordshire </w:t>
      </w:r>
      <w:proofErr w:type="gramStart"/>
      <w:r w:rsidRPr="00761570">
        <w:rPr>
          <w:rFonts w:cstheme="minorHAnsi"/>
          <w:sz w:val="24"/>
          <w:szCs w:val="24"/>
        </w:rPr>
        <w:t>has</w:t>
      </w:r>
      <w:proofErr w:type="gramEnd"/>
      <w:r w:rsidRPr="00761570">
        <w:rPr>
          <w:rFonts w:cstheme="minorHAnsi"/>
          <w:sz w:val="24"/>
          <w:szCs w:val="24"/>
        </w:rPr>
        <w:t xml:space="preserve"> recognised strengths in manufacturing, logistics and energy, making the area a great location for the UK to test and implement transformative technologies and approaches. We aim to: grow our expertise in business innovation and excellence; increase demand and capacity for innovation across our whole business base;</w:t>
      </w:r>
      <w:r w:rsidR="001065B1">
        <w:rPr>
          <w:rFonts w:cstheme="minorHAnsi"/>
          <w:sz w:val="24"/>
          <w:szCs w:val="24"/>
        </w:rPr>
        <w:t xml:space="preserve"> and</w:t>
      </w:r>
      <w:r w:rsidRPr="00761570">
        <w:rPr>
          <w:rFonts w:cstheme="minorHAnsi"/>
          <w:sz w:val="24"/>
          <w:szCs w:val="24"/>
        </w:rPr>
        <w:t xml:space="preserve"> help firms of all sectors to scale and grow through innovation</w:t>
      </w:r>
      <w:r w:rsidR="0083242A">
        <w:rPr>
          <w:rFonts w:cstheme="minorHAnsi"/>
          <w:sz w:val="24"/>
          <w:szCs w:val="24"/>
        </w:rPr>
        <w:t>.</w:t>
      </w:r>
    </w:p>
    <w:p w14:paraId="2BC0E206" w14:textId="77777777" w:rsidR="0083242A" w:rsidRDefault="0083242A" w:rsidP="005850FC">
      <w:pPr>
        <w:pStyle w:val="ListParagraph"/>
        <w:ind w:left="993"/>
        <w:rPr>
          <w:rFonts w:cstheme="minorHAnsi"/>
          <w:sz w:val="24"/>
          <w:szCs w:val="24"/>
        </w:rPr>
      </w:pPr>
    </w:p>
    <w:p w14:paraId="3932682B" w14:textId="07118F2C" w:rsidR="00BD4803" w:rsidRPr="00761570" w:rsidRDefault="0083242A" w:rsidP="005850FC">
      <w:pPr>
        <w:pStyle w:val="ListParagraph"/>
        <w:ind w:left="993"/>
        <w:rPr>
          <w:rFonts w:cstheme="minorHAnsi"/>
          <w:sz w:val="24"/>
          <w:szCs w:val="24"/>
        </w:rPr>
      </w:pPr>
      <w:r>
        <w:rPr>
          <w:rFonts w:cstheme="minorHAnsi"/>
          <w:sz w:val="24"/>
          <w:szCs w:val="24"/>
        </w:rPr>
        <w:t>Taking a strategic approach, we will identify the right commercial opportunities, establish a clear pipeline and build business demand for innovation</w:t>
      </w:r>
      <w:r w:rsidR="00050C09" w:rsidRPr="00761570">
        <w:rPr>
          <w:rFonts w:cstheme="minorHAnsi"/>
          <w:sz w:val="24"/>
          <w:szCs w:val="24"/>
        </w:rPr>
        <w:t xml:space="preserve">. Alongside private sector research and development, our universities </w:t>
      </w:r>
      <w:r w:rsidR="00BD4803" w:rsidRPr="00761570">
        <w:rPr>
          <w:rFonts w:cstheme="minorHAnsi"/>
          <w:sz w:val="24"/>
          <w:szCs w:val="24"/>
        </w:rPr>
        <w:t xml:space="preserve">have </w:t>
      </w:r>
      <w:r w:rsidR="00050C09" w:rsidRPr="00761570">
        <w:rPr>
          <w:rFonts w:cstheme="minorHAnsi"/>
          <w:sz w:val="24"/>
          <w:szCs w:val="24"/>
        </w:rPr>
        <w:t xml:space="preserve">excellent and growing links with local businesses </w:t>
      </w:r>
      <w:r w:rsidR="00BD4803" w:rsidRPr="00761570">
        <w:rPr>
          <w:rFonts w:cstheme="minorHAnsi"/>
          <w:sz w:val="24"/>
          <w:szCs w:val="24"/>
        </w:rPr>
        <w:t>and</w:t>
      </w:r>
      <w:r w:rsidR="00050C09" w:rsidRPr="00761570">
        <w:rPr>
          <w:rFonts w:cstheme="minorHAnsi"/>
          <w:sz w:val="24"/>
          <w:szCs w:val="24"/>
        </w:rPr>
        <w:t xml:space="preserve"> neighbouring centres of excellence</w:t>
      </w:r>
      <w:r w:rsidR="00BD4803" w:rsidRPr="00761570">
        <w:rPr>
          <w:rFonts w:cstheme="minorHAnsi"/>
          <w:sz w:val="24"/>
          <w:szCs w:val="24"/>
        </w:rPr>
        <w:t>.  The sub-group will engage with these partnerships to maximise our investment</w:t>
      </w:r>
      <w:r w:rsidR="001065B1">
        <w:rPr>
          <w:rFonts w:cstheme="minorHAnsi"/>
          <w:sz w:val="24"/>
          <w:szCs w:val="24"/>
        </w:rPr>
        <w:t xml:space="preserve"> options</w:t>
      </w:r>
      <w:r w:rsidR="00BD4803" w:rsidRPr="00761570">
        <w:rPr>
          <w:rFonts w:cstheme="minorHAnsi"/>
          <w:sz w:val="24"/>
          <w:szCs w:val="24"/>
        </w:rPr>
        <w:t xml:space="preserve"> in innovation.  Priority project</w:t>
      </w:r>
      <w:r w:rsidR="001065B1">
        <w:rPr>
          <w:rFonts w:cstheme="minorHAnsi"/>
          <w:sz w:val="24"/>
          <w:szCs w:val="24"/>
        </w:rPr>
        <w:t xml:space="preserve"> development areas</w:t>
      </w:r>
      <w:r w:rsidR="00BD4803" w:rsidRPr="00761570">
        <w:rPr>
          <w:rFonts w:cstheme="minorHAnsi"/>
          <w:sz w:val="24"/>
          <w:szCs w:val="24"/>
        </w:rPr>
        <w:t xml:space="preserve"> that have already been identified include AI/digital transformation, energy and clean growth</w:t>
      </w:r>
      <w:r w:rsidR="001065B1">
        <w:rPr>
          <w:rFonts w:cstheme="minorHAnsi"/>
          <w:sz w:val="24"/>
          <w:szCs w:val="24"/>
        </w:rPr>
        <w:t>, including our unique opportunities explored in our City Deal.</w:t>
      </w:r>
    </w:p>
    <w:p w14:paraId="5AFCB6B6" w14:textId="2BFA3FD5" w:rsidR="00926BBB" w:rsidRPr="00761570" w:rsidRDefault="00926BBB" w:rsidP="005850FC">
      <w:pPr>
        <w:pStyle w:val="ListParagraph"/>
        <w:ind w:left="993"/>
        <w:rPr>
          <w:rFonts w:cstheme="minorHAnsi"/>
          <w:sz w:val="24"/>
          <w:szCs w:val="24"/>
        </w:rPr>
      </w:pPr>
    </w:p>
    <w:p w14:paraId="46665BB5" w14:textId="4A87C711" w:rsidR="00CB335F" w:rsidRPr="00761570" w:rsidRDefault="00394C42" w:rsidP="00394C42">
      <w:pPr>
        <w:pStyle w:val="ListParagraph"/>
        <w:numPr>
          <w:ilvl w:val="1"/>
          <w:numId w:val="2"/>
        </w:numPr>
        <w:ind w:left="993" w:hanging="567"/>
        <w:rPr>
          <w:rFonts w:cstheme="minorHAnsi"/>
          <w:b/>
          <w:bCs/>
          <w:sz w:val="24"/>
          <w:szCs w:val="24"/>
        </w:rPr>
      </w:pPr>
      <w:r w:rsidRPr="00761570">
        <w:rPr>
          <w:rFonts w:cstheme="minorHAnsi"/>
          <w:b/>
          <w:bCs/>
          <w:sz w:val="24"/>
          <w:szCs w:val="24"/>
        </w:rPr>
        <w:t>Growing Business</w:t>
      </w:r>
    </w:p>
    <w:p w14:paraId="4F639682" w14:textId="5604F50A" w:rsidR="00CB335F" w:rsidRDefault="00394C42" w:rsidP="00394C42">
      <w:pPr>
        <w:pStyle w:val="ListParagraph"/>
        <w:ind w:left="993"/>
        <w:rPr>
          <w:rFonts w:cstheme="minorHAnsi"/>
          <w:sz w:val="24"/>
          <w:szCs w:val="24"/>
        </w:rPr>
      </w:pPr>
      <w:r w:rsidRPr="00761570">
        <w:rPr>
          <w:rFonts w:cstheme="minorHAnsi"/>
          <w:sz w:val="24"/>
          <w:szCs w:val="24"/>
        </w:rPr>
        <w:t xml:space="preserve">Our ambition is for Stoke-on-Trent and Staffordshire </w:t>
      </w:r>
      <w:r w:rsidR="008423B1" w:rsidRPr="00761570">
        <w:rPr>
          <w:rFonts w:cstheme="minorHAnsi"/>
          <w:sz w:val="24"/>
          <w:szCs w:val="24"/>
        </w:rPr>
        <w:t>to be the place of choice for people wanting to start, grow or locate their business.  We aim to increase the numbers of new and scale-up businesses, raising productivity across all our sectors and promoting sustainable use of energy and resources.  The remit of the sub-group will include</w:t>
      </w:r>
      <w:r w:rsidR="009A577E">
        <w:rPr>
          <w:rFonts w:cstheme="minorHAnsi"/>
          <w:sz w:val="24"/>
          <w:szCs w:val="24"/>
        </w:rPr>
        <w:t xml:space="preserve"> high-growth</w:t>
      </w:r>
      <w:r w:rsidR="008423B1" w:rsidRPr="00761570">
        <w:rPr>
          <w:rFonts w:cstheme="minorHAnsi"/>
          <w:sz w:val="24"/>
          <w:szCs w:val="24"/>
        </w:rPr>
        <w:t xml:space="preserve"> business support and inward investment.  </w:t>
      </w:r>
      <w:r w:rsidR="00157992">
        <w:rPr>
          <w:rFonts w:cstheme="minorHAnsi"/>
          <w:sz w:val="24"/>
          <w:szCs w:val="24"/>
        </w:rPr>
        <w:t xml:space="preserve">There is an opportunity to build on </w:t>
      </w:r>
      <w:r w:rsidR="008423B1" w:rsidRPr="00761570">
        <w:rPr>
          <w:rFonts w:cstheme="minorHAnsi"/>
          <w:sz w:val="24"/>
          <w:szCs w:val="24"/>
        </w:rPr>
        <w:t>successful services that are already in place</w:t>
      </w:r>
      <w:r w:rsidR="009A577E">
        <w:rPr>
          <w:rFonts w:cstheme="minorHAnsi"/>
          <w:sz w:val="24"/>
          <w:szCs w:val="24"/>
        </w:rPr>
        <w:t>, ensuring that support, including zero carbon transition, is targeted to drive business change and stimulate demand for advice and new approaches.</w:t>
      </w:r>
    </w:p>
    <w:p w14:paraId="18F4B2FD" w14:textId="77777777" w:rsidR="00B06A23" w:rsidRDefault="00B06A23" w:rsidP="00394C42">
      <w:pPr>
        <w:pStyle w:val="ListParagraph"/>
        <w:ind w:left="993"/>
        <w:rPr>
          <w:rFonts w:cstheme="minorHAnsi"/>
          <w:sz w:val="24"/>
          <w:szCs w:val="24"/>
        </w:rPr>
      </w:pPr>
    </w:p>
    <w:p w14:paraId="1B67B036" w14:textId="56B39BD8" w:rsidR="00B06A23" w:rsidRDefault="00B06A23" w:rsidP="00B06A23">
      <w:pPr>
        <w:pStyle w:val="ListParagraph"/>
        <w:numPr>
          <w:ilvl w:val="0"/>
          <w:numId w:val="2"/>
        </w:numPr>
        <w:ind w:left="426" w:hanging="426"/>
        <w:rPr>
          <w:rFonts w:cstheme="minorHAnsi"/>
          <w:b/>
          <w:bCs/>
          <w:sz w:val="24"/>
          <w:szCs w:val="24"/>
        </w:rPr>
      </w:pPr>
      <w:r>
        <w:rPr>
          <w:rFonts w:cstheme="minorHAnsi"/>
          <w:b/>
          <w:bCs/>
          <w:sz w:val="24"/>
          <w:szCs w:val="24"/>
        </w:rPr>
        <w:t>Timeline for 2020-21</w:t>
      </w:r>
    </w:p>
    <w:p w14:paraId="45FE1911" w14:textId="0274845C" w:rsidR="00973ACD" w:rsidRDefault="00973ACD" w:rsidP="00B06A23">
      <w:pPr>
        <w:pStyle w:val="ListParagraph"/>
        <w:ind w:left="426"/>
      </w:pPr>
      <w:r>
        <w:fldChar w:fldCharType="begin"/>
      </w:r>
      <w:r>
        <w:instrText xml:space="preserve"> LINK </w:instrText>
      </w:r>
      <w:r w:rsidR="001932CB">
        <w:instrText xml:space="preserve">Excel.Sheet.12 "\\\\dsd-data\\dsd_data\\HoPD\\General\\Stoke on Trent and Staffordshire Local Enterprise Partnership\\Sam's Squirrels\\LIS\\Advisory Sub-groups\\Timeline - Advisory Sub-groups 2020-21.xlsx" Sheet1!R1C1:R13C3 </w:instrText>
      </w:r>
      <w:r>
        <w:instrText xml:space="preserve">\a \f 4 \h  \* MERGEFORMAT </w:instrText>
      </w:r>
      <w:r>
        <w:fldChar w:fldCharType="separate"/>
      </w:r>
    </w:p>
    <w:tbl>
      <w:tblPr>
        <w:tblW w:w="9840" w:type="dxa"/>
        <w:tblLook w:val="04A0" w:firstRow="1" w:lastRow="0" w:firstColumn="1" w:lastColumn="0" w:noHBand="0" w:noVBand="1"/>
      </w:tblPr>
      <w:tblGrid>
        <w:gridCol w:w="851"/>
        <w:gridCol w:w="4536"/>
        <w:gridCol w:w="4453"/>
      </w:tblGrid>
      <w:tr w:rsidR="00973ACD" w:rsidRPr="00973ACD" w14:paraId="4BD954F4" w14:textId="77777777" w:rsidTr="00973ACD">
        <w:trPr>
          <w:trHeight w:val="300"/>
        </w:trPr>
        <w:tc>
          <w:tcPr>
            <w:tcW w:w="851" w:type="dxa"/>
            <w:tcBorders>
              <w:top w:val="nil"/>
              <w:left w:val="nil"/>
              <w:bottom w:val="nil"/>
              <w:right w:val="nil"/>
            </w:tcBorders>
            <w:shd w:val="clear" w:color="auto" w:fill="auto"/>
            <w:noWrap/>
            <w:hideMark/>
          </w:tcPr>
          <w:p w14:paraId="209723ED" w14:textId="3EF7DDA0" w:rsidR="00973ACD" w:rsidRPr="00973ACD" w:rsidRDefault="00973ACD" w:rsidP="00973ACD">
            <w:pPr>
              <w:spacing w:after="0" w:line="240" w:lineRule="auto"/>
              <w:rPr>
                <w:rFonts w:ascii="Times New Roman" w:eastAsia="Times New Roman" w:hAnsi="Times New Roman" w:cs="Times New Roman"/>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14:paraId="6149FC82" w14:textId="77777777" w:rsidR="00973ACD" w:rsidRPr="00973ACD" w:rsidRDefault="00973ACD" w:rsidP="00973ACD">
            <w:pPr>
              <w:spacing w:after="0" w:line="240" w:lineRule="auto"/>
              <w:rPr>
                <w:rFonts w:ascii="Calibri" w:eastAsia="Times New Roman" w:hAnsi="Calibri" w:cs="Calibri"/>
                <w:b/>
                <w:bCs/>
                <w:color w:val="000000"/>
                <w:lang w:eastAsia="en-GB"/>
              </w:rPr>
            </w:pPr>
            <w:r w:rsidRPr="00973ACD">
              <w:rPr>
                <w:rFonts w:ascii="Calibri" w:eastAsia="Times New Roman" w:hAnsi="Calibri" w:cs="Calibri"/>
                <w:b/>
                <w:bCs/>
                <w:color w:val="000000"/>
                <w:lang w:eastAsia="en-GB"/>
              </w:rPr>
              <w:t>Initiation of Advisory Sub-groups and Work Plan</w:t>
            </w:r>
          </w:p>
        </w:tc>
        <w:tc>
          <w:tcPr>
            <w:tcW w:w="4453" w:type="dxa"/>
            <w:tcBorders>
              <w:top w:val="single" w:sz="4" w:space="0" w:color="auto"/>
              <w:left w:val="nil"/>
              <w:bottom w:val="single" w:sz="4" w:space="0" w:color="auto"/>
              <w:right w:val="single" w:sz="4" w:space="0" w:color="auto"/>
            </w:tcBorders>
            <w:shd w:val="clear" w:color="auto" w:fill="auto"/>
            <w:hideMark/>
          </w:tcPr>
          <w:p w14:paraId="6E68F704" w14:textId="77777777" w:rsidR="00973ACD" w:rsidRPr="00973ACD" w:rsidRDefault="00973ACD" w:rsidP="00973ACD">
            <w:pPr>
              <w:spacing w:after="0" w:line="240" w:lineRule="auto"/>
              <w:rPr>
                <w:rFonts w:ascii="Calibri" w:eastAsia="Times New Roman" w:hAnsi="Calibri" w:cs="Calibri"/>
                <w:b/>
                <w:bCs/>
                <w:color w:val="000000"/>
                <w:lang w:eastAsia="en-GB"/>
              </w:rPr>
            </w:pPr>
            <w:r w:rsidRPr="00973ACD">
              <w:rPr>
                <w:rFonts w:ascii="Calibri" w:eastAsia="Times New Roman" w:hAnsi="Calibri" w:cs="Calibri"/>
                <w:b/>
                <w:bCs/>
                <w:color w:val="000000"/>
                <w:lang w:eastAsia="en-GB"/>
              </w:rPr>
              <w:t>Monitoring and Evaluation</w:t>
            </w:r>
          </w:p>
        </w:tc>
      </w:tr>
      <w:tr w:rsidR="00973ACD" w:rsidRPr="00973ACD" w14:paraId="44A77146" w14:textId="77777777" w:rsidTr="00973ACD">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B9D0242"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Apr 20</w:t>
            </w:r>
          </w:p>
        </w:tc>
        <w:tc>
          <w:tcPr>
            <w:tcW w:w="4536" w:type="dxa"/>
            <w:tcBorders>
              <w:top w:val="nil"/>
              <w:left w:val="nil"/>
              <w:bottom w:val="single" w:sz="4" w:space="0" w:color="auto"/>
              <w:right w:val="single" w:sz="4" w:space="0" w:color="auto"/>
            </w:tcBorders>
            <w:shd w:val="clear" w:color="auto" w:fill="auto"/>
            <w:hideMark/>
          </w:tcPr>
          <w:p w14:paraId="016C9438"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xml:space="preserve">16th - Two of the four sub-groups (1&amp;2 - to be named) to present their plans to Executive Board </w:t>
            </w:r>
          </w:p>
        </w:tc>
        <w:tc>
          <w:tcPr>
            <w:tcW w:w="4453" w:type="dxa"/>
            <w:tcBorders>
              <w:top w:val="nil"/>
              <w:left w:val="nil"/>
              <w:bottom w:val="single" w:sz="4" w:space="0" w:color="auto"/>
              <w:right w:val="single" w:sz="4" w:space="0" w:color="auto"/>
            </w:tcBorders>
            <w:shd w:val="clear" w:color="auto" w:fill="auto"/>
            <w:hideMark/>
          </w:tcPr>
          <w:p w14:paraId="3D7ECDBC"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r>
      <w:tr w:rsidR="00973ACD" w:rsidRPr="00973ACD" w14:paraId="7D7A7B07"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66B176C6"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May</w:t>
            </w:r>
          </w:p>
        </w:tc>
        <w:tc>
          <w:tcPr>
            <w:tcW w:w="4536" w:type="dxa"/>
            <w:tcBorders>
              <w:top w:val="nil"/>
              <w:left w:val="nil"/>
              <w:bottom w:val="single" w:sz="4" w:space="0" w:color="auto"/>
              <w:right w:val="single" w:sz="4" w:space="0" w:color="auto"/>
            </w:tcBorders>
            <w:shd w:val="clear" w:color="auto" w:fill="auto"/>
            <w:hideMark/>
          </w:tcPr>
          <w:p w14:paraId="41267CCC"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14th - The remaining two sub-groups (3&amp;4 - to be named) to present their plans to Executive Board</w:t>
            </w:r>
            <w:r w:rsidRPr="00973ACD">
              <w:rPr>
                <w:rFonts w:ascii="Calibri" w:eastAsia="Times New Roman" w:hAnsi="Calibri" w:cs="Calibri"/>
                <w:color w:val="000000"/>
                <w:lang w:eastAsia="en-GB"/>
              </w:rPr>
              <w:br/>
              <w:t>Executive Board to sign off all plans</w:t>
            </w:r>
          </w:p>
        </w:tc>
        <w:tc>
          <w:tcPr>
            <w:tcW w:w="4453" w:type="dxa"/>
            <w:tcBorders>
              <w:top w:val="nil"/>
              <w:left w:val="nil"/>
              <w:bottom w:val="single" w:sz="4" w:space="0" w:color="auto"/>
              <w:right w:val="single" w:sz="4" w:space="0" w:color="auto"/>
            </w:tcBorders>
            <w:shd w:val="clear" w:color="auto" w:fill="auto"/>
            <w:hideMark/>
          </w:tcPr>
          <w:p w14:paraId="7C8E630A"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r>
      <w:tr w:rsidR="00973ACD" w:rsidRPr="00973ACD" w14:paraId="11A1442B"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5ECEBA3F"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Jun</w:t>
            </w:r>
          </w:p>
        </w:tc>
        <w:tc>
          <w:tcPr>
            <w:tcW w:w="4536" w:type="dxa"/>
            <w:tcBorders>
              <w:top w:val="nil"/>
              <w:left w:val="nil"/>
              <w:bottom w:val="single" w:sz="4" w:space="0" w:color="auto"/>
              <w:right w:val="single" w:sz="4" w:space="0" w:color="auto"/>
            </w:tcBorders>
            <w:shd w:val="clear" w:color="auto" w:fill="auto"/>
            <w:hideMark/>
          </w:tcPr>
          <w:p w14:paraId="3BCBE2B8"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xml:space="preserve">Conference - Sub-group chairs' presentations and facilitation of breakout sessions </w:t>
            </w:r>
          </w:p>
        </w:tc>
        <w:tc>
          <w:tcPr>
            <w:tcW w:w="4453" w:type="dxa"/>
            <w:tcBorders>
              <w:top w:val="nil"/>
              <w:left w:val="nil"/>
              <w:bottom w:val="single" w:sz="4" w:space="0" w:color="auto"/>
              <w:right w:val="single" w:sz="4" w:space="0" w:color="auto"/>
            </w:tcBorders>
            <w:shd w:val="clear" w:color="auto" w:fill="auto"/>
            <w:hideMark/>
          </w:tcPr>
          <w:p w14:paraId="17C592E6"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Monthly governance call (LEP Chair/CEO/Sub-group Chair)</w:t>
            </w:r>
          </w:p>
        </w:tc>
      </w:tr>
      <w:tr w:rsidR="00973ACD" w:rsidRPr="00973ACD" w14:paraId="0133A2B7"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72C0EB74"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Jul</w:t>
            </w:r>
          </w:p>
        </w:tc>
        <w:tc>
          <w:tcPr>
            <w:tcW w:w="4536" w:type="dxa"/>
            <w:tcBorders>
              <w:top w:val="nil"/>
              <w:left w:val="nil"/>
              <w:bottom w:val="single" w:sz="4" w:space="0" w:color="auto"/>
              <w:right w:val="single" w:sz="4" w:space="0" w:color="auto"/>
            </w:tcBorders>
            <w:shd w:val="clear" w:color="auto" w:fill="auto"/>
            <w:noWrap/>
            <w:hideMark/>
          </w:tcPr>
          <w:p w14:paraId="6E15A611"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4F90CDCA"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xml:space="preserve">Monthly governance </w:t>
            </w:r>
            <w:proofErr w:type="gramStart"/>
            <w:r w:rsidRPr="00973ACD">
              <w:rPr>
                <w:rFonts w:ascii="Calibri" w:eastAsia="Times New Roman" w:hAnsi="Calibri" w:cs="Calibri"/>
                <w:color w:val="000000"/>
                <w:lang w:eastAsia="en-GB"/>
              </w:rPr>
              <w:t>call</w:t>
            </w:r>
            <w:proofErr w:type="gramEnd"/>
            <w:r w:rsidRPr="00973ACD">
              <w:rPr>
                <w:rFonts w:ascii="Calibri" w:eastAsia="Times New Roman" w:hAnsi="Calibri" w:cs="Calibri"/>
                <w:color w:val="000000"/>
                <w:lang w:eastAsia="en-GB"/>
              </w:rPr>
              <w:br/>
              <w:t>16th - Sub-group Chairs' (1&amp;2) bimonthly report to Executive Board</w:t>
            </w:r>
          </w:p>
        </w:tc>
      </w:tr>
      <w:tr w:rsidR="00973ACD" w:rsidRPr="00973ACD" w14:paraId="7B018800" w14:textId="77777777" w:rsidTr="00973ACD">
        <w:trPr>
          <w:trHeight w:val="600"/>
        </w:trPr>
        <w:tc>
          <w:tcPr>
            <w:tcW w:w="851" w:type="dxa"/>
            <w:tcBorders>
              <w:top w:val="nil"/>
              <w:left w:val="single" w:sz="4" w:space="0" w:color="auto"/>
              <w:bottom w:val="single" w:sz="4" w:space="0" w:color="auto"/>
              <w:right w:val="single" w:sz="4" w:space="0" w:color="auto"/>
            </w:tcBorders>
            <w:shd w:val="clear" w:color="auto" w:fill="auto"/>
            <w:noWrap/>
            <w:hideMark/>
          </w:tcPr>
          <w:p w14:paraId="34F60246"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Aug</w:t>
            </w:r>
          </w:p>
        </w:tc>
        <w:tc>
          <w:tcPr>
            <w:tcW w:w="4536" w:type="dxa"/>
            <w:tcBorders>
              <w:top w:val="nil"/>
              <w:left w:val="nil"/>
              <w:bottom w:val="single" w:sz="4" w:space="0" w:color="auto"/>
              <w:right w:val="single" w:sz="4" w:space="0" w:color="auto"/>
            </w:tcBorders>
            <w:shd w:val="clear" w:color="auto" w:fill="auto"/>
            <w:noWrap/>
            <w:hideMark/>
          </w:tcPr>
          <w:p w14:paraId="5CC20F52"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1BD2A49B"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Monthly governance call</w:t>
            </w:r>
          </w:p>
        </w:tc>
      </w:tr>
      <w:tr w:rsidR="00973ACD" w:rsidRPr="00973ACD" w14:paraId="31D36050"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04CB62F6"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Sept</w:t>
            </w:r>
          </w:p>
        </w:tc>
        <w:tc>
          <w:tcPr>
            <w:tcW w:w="4536" w:type="dxa"/>
            <w:tcBorders>
              <w:top w:val="nil"/>
              <w:left w:val="nil"/>
              <w:bottom w:val="single" w:sz="4" w:space="0" w:color="auto"/>
              <w:right w:val="single" w:sz="4" w:space="0" w:color="auto"/>
            </w:tcBorders>
            <w:shd w:val="clear" w:color="auto" w:fill="auto"/>
            <w:noWrap/>
            <w:hideMark/>
          </w:tcPr>
          <w:p w14:paraId="09A02DB2"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6105AD39"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xml:space="preserve">Monthly governance </w:t>
            </w:r>
            <w:proofErr w:type="gramStart"/>
            <w:r w:rsidRPr="00973ACD">
              <w:rPr>
                <w:rFonts w:ascii="Calibri" w:eastAsia="Times New Roman" w:hAnsi="Calibri" w:cs="Calibri"/>
                <w:color w:val="000000"/>
                <w:lang w:eastAsia="en-GB"/>
              </w:rPr>
              <w:t>call</w:t>
            </w:r>
            <w:proofErr w:type="gramEnd"/>
            <w:r w:rsidRPr="00973ACD">
              <w:rPr>
                <w:rFonts w:ascii="Calibri" w:eastAsia="Times New Roman" w:hAnsi="Calibri" w:cs="Calibri"/>
                <w:color w:val="000000"/>
                <w:lang w:eastAsia="en-GB"/>
              </w:rPr>
              <w:br/>
              <w:t>17th -Sub-group Chairs' (1,2,3&amp;4) bimonthly report to Executive Board</w:t>
            </w:r>
          </w:p>
        </w:tc>
      </w:tr>
      <w:tr w:rsidR="00973ACD" w:rsidRPr="00973ACD" w14:paraId="66933D35"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1522B987"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Oct</w:t>
            </w:r>
          </w:p>
        </w:tc>
        <w:tc>
          <w:tcPr>
            <w:tcW w:w="4536" w:type="dxa"/>
            <w:tcBorders>
              <w:top w:val="nil"/>
              <w:left w:val="nil"/>
              <w:bottom w:val="single" w:sz="4" w:space="0" w:color="auto"/>
              <w:right w:val="single" w:sz="4" w:space="0" w:color="auto"/>
            </w:tcBorders>
            <w:shd w:val="clear" w:color="auto" w:fill="auto"/>
            <w:noWrap/>
            <w:hideMark/>
          </w:tcPr>
          <w:p w14:paraId="70342910"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1C182D6C"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xml:space="preserve">Monthly governance </w:t>
            </w:r>
            <w:proofErr w:type="gramStart"/>
            <w:r w:rsidRPr="00973ACD">
              <w:rPr>
                <w:rFonts w:ascii="Calibri" w:eastAsia="Times New Roman" w:hAnsi="Calibri" w:cs="Calibri"/>
                <w:color w:val="000000"/>
                <w:lang w:eastAsia="en-GB"/>
              </w:rPr>
              <w:t>call</w:t>
            </w:r>
            <w:proofErr w:type="gramEnd"/>
            <w:r w:rsidRPr="00973ACD">
              <w:rPr>
                <w:rFonts w:ascii="Calibri" w:eastAsia="Times New Roman" w:hAnsi="Calibri" w:cs="Calibri"/>
                <w:color w:val="000000"/>
                <w:lang w:eastAsia="en-GB"/>
              </w:rPr>
              <w:br/>
              <w:t>15th - Sub-group Chairs' (3&amp;4) bimonthly report to Executive Board</w:t>
            </w:r>
          </w:p>
        </w:tc>
      </w:tr>
      <w:tr w:rsidR="00973ACD" w:rsidRPr="00973ACD" w14:paraId="01DF1BAB"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39A00434"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Nov</w:t>
            </w:r>
          </w:p>
        </w:tc>
        <w:tc>
          <w:tcPr>
            <w:tcW w:w="4536" w:type="dxa"/>
            <w:tcBorders>
              <w:top w:val="nil"/>
              <w:left w:val="nil"/>
              <w:bottom w:val="single" w:sz="4" w:space="0" w:color="auto"/>
              <w:right w:val="single" w:sz="4" w:space="0" w:color="auto"/>
            </w:tcBorders>
            <w:shd w:val="clear" w:color="auto" w:fill="auto"/>
            <w:noWrap/>
            <w:hideMark/>
          </w:tcPr>
          <w:p w14:paraId="4ACE1296"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5EABDA35"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xml:space="preserve">Monthly governance </w:t>
            </w:r>
            <w:proofErr w:type="gramStart"/>
            <w:r w:rsidRPr="00973ACD">
              <w:rPr>
                <w:rFonts w:ascii="Calibri" w:eastAsia="Times New Roman" w:hAnsi="Calibri" w:cs="Calibri"/>
                <w:color w:val="000000"/>
                <w:lang w:eastAsia="en-GB"/>
              </w:rPr>
              <w:t>call</w:t>
            </w:r>
            <w:proofErr w:type="gramEnd"/>
            <w:r w:rsidRPr="00973ACD">
              <w:rPr>
                <w:rFonts w:ascii="Calibri" w:eastAsia="Times New Roman" w:hAnsi="Calibri" w:cs="Calibri"/>
                <w:color w:val="000000"/>
                <w:lang w:eastAsia="en-GB"/>
              </w:rPr>
              <w:br/>
              <w:t>19th - Sub-group Chairs' (1&amp;2) bimonthly report to Executive Board</w:t>
            </w:r>
          </w:p>
        </w:tc>
      </w:tr>
      <w:tr w:rsidR="00973ACD" w:rsidRPr="00973ACD" w14:paraId="61FF4E36"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67351EA0"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Dec</w:t>
            </w:r>
          </w:p>
        </w:tc>
        <w:tc>
          <w:tcPr>
            <w:tcW w:w="4536" w:type="dxa"/>
            <w:tcBorders>
              <w:top w:val="nil"/>
              <w:left w:val="nil"/>
              <w:bottom w:val="single" w:sz="4" w:space="0" w:color="auto"/>
              <w:right w:val="single" w:sz="4" w:space="0" w:color="auto"/>
            </w:tcBorders>
            <w:shd w:val="clear" w:color="auto" w:fill="auto"/>
            <w:noWrap/>
            <w:hideMark/>
          </w:tcPr>
          <w:p w14:paraId="7BE4C01B"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11AAD6CE"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xml:space="preserve">Monthly governance </w:t>
            </w:r>
            <w:proofErr w:type="gramStart"/>
            <w:r w:rsidRPr="00973ACD">
              <w:rPr>
                <w:rFonts w:ascii="Calibri" w:eastAsia="Times New Roman" w:hAnsi="Calibri" w:cs="Calibri"/>
                <w:color w:val="000000"/>
                <w:lang w:eastAsia="en-GB"/>
              </w:rPr>
              <w:t>call</w:t>
            </w:r>
            <w:proofErr w:type="gramEnd"/>
            <w:r w:rsidRPr="00973ACD">
              <w:rPr>
                <w:rFonts w:ascii="Calibri" w:eastAsia="Times New Roman" w:hAnsi="Calibri" w:cs="Calibri"/>
                <w:color w:val="000000"/>
                <w:lang w:eastAsia="en-GB"/>
              </w:rPr>
              <w:br/>
              <w:t>17th - Sub-group Chairs' (3&amp;4) bimonthly report to Executive Board</w:t>
            </w:r>
          </w:p>
        </w:tc>
      </w:tr>
      <w:tr w:rsidR="00973ACD" w:rsidRPr="00973ACD" w14:paraId="537D81AD"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1A68625C"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Jan 21</w:t>
            </w:r>
          </w:p>
        </w:tc>
        <w:tc>
          <w:tcPr>
            <w:tcW w:w="4536" w:type="dxa"/>
            <w:tcBorders>
              <w:top w:val="nil"/>
              <w:left w:val="nil"/>
              <w:bottom w:val="single" w:sz="4" w:space="0" w:color="auto"/>
              <w:right w:val="single" w:sz="4" w:space="0" w:color="auto"/>
            </w:tcBorders>
            <w:shd w:val="clear" w:color="auto" w:fill="auto"/>
            <w:noWrap/>
            <w:hideMark/>
          </w:tcPr>
          <w:p w14:paraId="319216C0"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4C7F877C" w14:textId="10BDB70A"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Monthly governance call</w:t>
            </w:r>
            <w:r w:rsidRPr="00973ACD">
              <w:rPr>
                <w:rFonts w:ascii="Calibri" w:eastAsia="Times New Roman" w:hAnsi="Calibri" w:cs="Calibri"/>
                <w:color w:val="000000"/>
                <w:lang w:eastAsia="en-GB"/>
              </w:rPr>
              <w:br/>
            </w:r>
          </w:p>
        </w:tc>
      </w:tr>
      <w:tr w:rsidR="00973ACD" w:rsidRPr="00973ACD" w14:paraId="6D06A465" w14:textId="77777777" w:rsidTr="00973ACD">
        <w:trPr>
          <w:trHeight w:val="900"/>
        </w:trPr>
        <w:tc>
          <w:tcPr>
            <w:tcW w:w="851" w:type="dxa"/>
            <w:tcBorders>
              <w:top w:val="nil"/>
              <w:left w:val="single" w:sz="4" w:space="0" w:color="auto"/>
              <w:bottom w:val="single" w:sz="4" w:space="0" w:color="auto"/>
              <w:right w:val="single" w:sz="4" w:space="0" w:color="auto"/>
            </w:tcBorders>
            <w:shd w:val="clear" w:color="auto" w:fill="auto"/>
            <w:noWrap/>
            <w:hideMark/>
          </w:tcPr>
          <w:p w14:paraId="10E4BDB1"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Feb</w:t>
            </w:r>
          </w:p>
        </w:tc>
        <w:tc>
          <w:tcPr>
            <w:tcW w:w="4536" w:type="dxa"/>
            <w:tcBorders>
              <w:top w:val="nil"/>
              <w:left w:val="nil"/>
              <w:bottom w:val="single" w:sz="4" w:space="0" w:color="auto"/>
              <w:right w:val="single" w:sz="4" w:space="0" w:color="auto"/>
            </w:tcBorders>
            <w:shd w:val="clear" w:color="auto" w:fill="auto"/>
            <w:noWrap/>
            <w:hideMark/>
          </w:tcPr>
          <w:p w14:paraId="324DDBBC"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6FF38A1E" w14:textId="0672F1E6"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xml:space="preserve">Monthly governance </w:t>
            </w:r>
            <w:proofErr w:type="gramStart"/>
            <w:r w:rsidRPr="00973ACD">
              <w:rPr>
                <w:rFonts w:ascii="Calibri" w:eastAsia="Times New Roman" w:hAnsi="Calibri" w:cs="Calibri"/>
                <w:color w:val="000000"/>
                <w:lang w:eastAsia="en-GB"/>
              </w:rPr>
              <w:t>call</w:t>
            </w:r>
            <w:proofErr w:type="gramEnd"/>
            <w:r w:rsidRPr="00973ACD">
              <w:rPr>
                <w:rFonts w:ascii="Calibri" w:eastAsia="Times New Roman" w:hAnsi="Calibri" w:cs="Calibri"/>
                <w:color w:val="000000"/>
                <w:lang w:eastAsia="en-GB"/>
              </w:rPr>
              <w:br/>
              <w:t>Sub-group Chairs' (</w:t>
            </w:r>
            <w:r w:rsidR="007228B7">
              <w:rPr>
                <w:rFonts w:ascii="Calibri" w:eastAsia="Times New Roman" w:hAnsi="Calibri" w:cs="Calibri"/>
                <w:color w:val="000000"/>
                <w:lang w:eastAsia="en-GB"/>
              </w:rPr>
              <w:t>1</w:t>
            </w:r>
            <w:r w:rsidR="008C678F">
              <w:rPr>
                <w:rFonts w:ascii="Calibri" w:eastAsia="Times New Roman" w:hAnsi="Calibri" w:cs="Calibri"/>
                <w:color w:val="000000"/>
                <w:lang w:eastAsia="en-GB"/>
              </w:rPr>
              <w:t>,</w:t>
            </w:r>
            <w:r w:rsidR="007228B7">
              <w:rPr>
                <w:rFonts w:ascii="Calibri" w:eastAsia="Times New Roman" w:hAnsi="Calibri" w:cs="Calibri"/>
                <w:color w:val="000000"/>
                <w:lang w:eastAsia="en-GB"/>
              </w:rPr>
              <w:t>2</w:t>
            </w:r>
            <w:r w:rsidR="008C678F">
              <w:rPr>
                <w:rFonts w:ascii="Calibri" w:eastAsia="Times New Roman" w:hAnsi="Calibri" w:cs="Calibri"/>
                <w:color w:val="000000"/>
                <w:lang w:eastAsia="en-GB"/>
              </w:rPr>
              <w:t>,3&amp;4</w:t>
            </w:r>
            <w:r w:rsidRPr="00973ACD">
              <w:rPr>
                <w:rFonts w:ascii="Calibri" w:eastAsia="Times New Roman" w:hAnsi="Calibri" w:cs="Calibri"/>
                <w:color w:val="000000"/>
                <w:lang w:eastAsia="en-GB"/>
              </w:rPr>
              <w:t>) bimonthly report to Executive Board</w:t>
            </w:r>
          </w:p>
        </w:tc>
      </w:tr>
      <w:tr w:rsidR="00973ACD" w:rsidRPr="00973ACD" w14:paraId="03070968" w14:textId="77777777" w:rsidTr="00F51830">
        <w:trPr>
          <w:trHeight w:val="898"/>
        </w:trPr>
        <w:tc>
          <w:tcPr>
            <w:tcW w:w="851" w:type="dxa"/>
            <w:tcBorders>
              <w:top w:val="nil"/>
              <w:left w:val="single" w:sz="4" w:space="0" w:color="auto"/>
              <w:bottom w:val="single" w:sz="4" w:space="0" w:color="auto"/>
              <w:right w:val="single" w:sz="4" w:space="0" w:color="auto"/>
            </w:tcBorders>
            <w:shd w:val="clear" w:color="auto" w:fill="auto"/>
            <w:noWrap/>
            <w:hideMark/>
          </w:tcPr>
          <w:p w14:paraId="32DDAE81"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Mar</w:t>
            </w:r>
          </w:p>
        </w:tc>
        <w:tc>
          <w:tcPr>
            <w:tcW w:w="4536" w:type="dxa"/>
            <w:tcBorders>
              <w:top w:val="nil"/>
              <w:left w:val="nil"/>
              <w:bottom w:val="single" w:sz="4" w:space="0" w:color="auto"/>
              <w:right w:val="single" w:sz="4" w:space="0" w:color="auto"/>
            </w:tcBorders>
            <w:shd w:val="clear" w:color="auto" w:fill="auto"/>
            <w:noWrap/>
            <w:hideMark/>
          </w:tcPr>
          <w:p w14:paraId="7D7C4F6B" w14:textId="77777777" w:rsidR="00973ACD" w:rsidRPr="00973ACD" w:rsidRDefault="00973ACD" w:rsidP="00973ACD">
            <w:pPr>
              <w:spacing w:after="0" w:line="240" w:lineRule="auto"/>
              <w:rPr>
                <w:rFonts w:ascii="Calibri" w:eastAsia="Times New Roman" w:hAnsi="Calibri" w:cs="Calibri"/>
                <w:color w:val="000000"/>
                <w:lang w:eastAsia="en-GB"/>
              </w:rPr>
            </w:pPr>
            <w:r w:rsidRPr="00973ACD">
              <w:rPr>
                <w:rFonts w:ascii="Calibri" w:eastAsia="Times New Roman" w:hAnsi="Calibri" w:cs="Calibri"/>
                <w:color w:val="000000"/>
                <w:lang w:eastAsia="en-GB"/>
              </w:rPr>
              <w:t> </w:t>
            </w:r>
          </w:p>
        </w:tc>
        <w:tc>
          <w:tcPr>
            <w:tcW w:w="4453" w:type="dxa"/>
            <w:tcBorders>
              <w:top w:val="nil"/>
              <w:left w:val="nil"/>
              <w:bottom w:val="single" w:sz="4" w:space="0" w:color="auto"/>
              <w:right w:val="single" w:sz="4" w:space="0" w:color="auto"/>
            </w:tcBorders>
            <w:shd w:val="clear" w:color="auto" w:fill="auto"/>
            <w:hideMark/>
          </w:tcPr>
          <w:p w14:paraId="7FCE9BFD" w14:textId="77777777" w:rsidR="007228B7" w:rsidRDefault="007228B7" w:rsidP="007228B7">
            <w:pPr>
              <w:spacing w:after="0"/>
              <w:rPr>
                <w:rFonts w:ascii="Calibri" w:eastAsia="Times New Roman" w:hAnsi="Calibri" w:cs="Calibri"/>
                <w:color w:val="000000"/>
                <w:lang w:eastAsia="en-GB"/>
              </w:rPr>
            </w:pPr>
            <w:r w:rsidRPr="007228B7">
              <w:rPr>
                <w:rFonts w:ascii="Calibri" w:eastAsia="Times New Roman" w:hAnsi="Calibri" w:cs="Calibri"/>
                <w:color w:val="000000"/>
                <w:lang w:eastAsia="en-GB"/>
              </w:rPr>
              <w:t>Monthly governance call</w:t>
            </w:r>
          </w:p>
          <w:p w14:paraId="24FFC3CB" w14:textId="1F5B285E" w:rsidR="00973ACD" w:rsidRPr="00973ACD" w:rsidRDefault="00973ACD" w:rsidP="007228B7">
            <w:pPr>
              <w:rPr>
                <w:rFonts w:ascii="Calibri" w:eastAsia="Times New Roman" w:hAnsi="Calibri" w:cs="Calibri"/>
                <w:color w:val="000000"/>
                <w:lang w:eastAsia="en-GB"/>
              </w:rPr>
            </w:pPr>
            <w:r w:rsidRPr="00973ACD">
              <w:rPr>
                <w:rFonts w:ascii="Calibri" w:eastAsia="Times New Roman" w:hAnsi="Calibri" w:cs="Calibri"/>
                <w:color w:val="000000"/>
                <w:lang w:eastAsia="en-GB"/>
              </w:rPr>
              <w:t>Evaluation of sub-groups - reviewing purpose and function, adapting to changing landscape</w:t>
            </w:r>
            <w:bookmarkStart w:id="1" w:name="_GoBack"/>
            <w:bookmarkEnd w:id="1"/>
          </w:p>
        </w:tc>
      </w:tr>
    </w:tbl>
    <w:p w14:paraId="436E9000" w14:textId="4946594F" w:rsidR="00B06A23" w:rsidRPr="00B06A23" w:rsidRDefault="00973ACD" w:rsidP="00B06A23">
      <w:pPr>
        <w:pStyle w:val="ListParagraph"/>
        <w:ind w:left="426"/>
        <w:rPr>
          <w:rFonts w:cstheme="minorHAnsi"/>
          <w:b/>
          <w:bCs/>
          <w:sz w:val="24"/>
          <w:szCs w:val="24"/>
        </w:rPr>
      </w:pPr>
      <w:r>
        <w:rPr>
          <w:rFonts w:cstheme="minorHAnsi"/>
          <w:b/>
          <w:bCs/>
          <w:sz w:val="24"/>
          <w:szCs w:val="24"/>
        </w:rPr>
        <w:fldChar w:fldCharType="end"/>
      </w:r>
    </w:p>
    <w:p w14:paraId="401D380C" w14:textId="3BFBF103" w:rsidR="00926BBB" w:rsidRPr="00761570" w:rsidRDefault="00926BBB" w:rsidP="00394C42">
      <w:pPr>
        <w:pStyle w:val="ListParagraph"/>
        <w:ind w:left="993"/>
        <w:rPr>
          <w:rFonts w:cstheme="minorHAnsi"/>
          <w:sz w:val="24"/>
          <w:szCs w:val="24"/>
        </w:rPr>
      </w:pPr>
    </w:p>
    <w:p w14:paraId="015C78D9" w14:textId="2E4D7713" w:rsidR="004E72AF" w:rsidRPr="00761570" w:rsidRDefault="004E72AF" w:rsidP="004E72AF">
      <w:pPr>
        <w:pStyle w:val="ListParagraph"/>
        <w:numPr>
          <w:ilvl w:val="0"/>
          <w:numId w:val="2"/>
        </w:numPr>
        <w:ind w:left="426" w:hanging="426"/>
        <w:rPr>
          <w:rFonts w:cstheme="minorHAnsi"/>
          <w:b/>
          <w:bCs/>
          <w:sz w:val="24"/>
          <w:szCs w:val="24"/>
        </w:rPr>
      </w:pPr>
      <w:r w:rsidRPr="00761570">
        <w:rPr>
          <w:rFonts w:cstheme="minorHAnsi"/>
          <w:b/>
          <w:bCs/>
          <w:sz w:val="24"/>
          <w:szCs w:val="24"/>
        </w:rPr>
        <w:t>Recommendations</w:t>
      </w:r>
    </w:p>
    <w:p w14:paraId="6CDDD636" w14:textId="156FCC4E" w:rsidR="004E72AF" w:rsidRPr="00761570" w:rsidRDefault="004E72AF" w:rsidP="004E72AF">
      <w:pPr>
        <w:pStyle w:val="ListParagraph"/>
        <w:ind w:left="426"/>
        <w:rPr>
          <w:rFonts w:cstheme="minorHAnsi"/>
          <w:b/>
          <w:bCs/>
          <w:sz w:val="24"/>
          <w:szCs w:val="24"/>
        </w:rPr>
      </w:pPr>
    </w:p>
    <w:p w14:paraId="54E054C3" w14:textId="022EA216" w:rsidR="004E72AF" w:rsidRPr="00761570" w:rsidRDefault="004E72AF" w:rsidP="004E72AF">
      <w:pPr>
        <w:pStyle w:val="ListParagraph"/>
        <w:ind w:left="426"/>
        <w:rPr>
          <w:rFonts w:cstheme="minorHAnsi"/>
          <w:sz w:val="24"/>
          <w:szCs w:val="24"/>
        </w:rPr>
      </w:pPr>
      <w:r w:rsidRPr="00761570">
        <w:rPr>
          <w:rFonts w:cstheme="minorHAnsi"/>
          <w:sz w:val="24"/>
          <w:szCs w:val="24"/>
        </w:rPr>
        <w:t>It is recommended that:</w:t>
      </w:r>
    </w:p>
    <w:p w14:paraId="2763B5D3" w14:textId="21714CC8" w:rsidR="004E72AF" w:rsidRPr="00761570" w:rsidRDefault="004E72AF" w:rsidP="00205ACD">
      <w:pPr>
        <w:pStyle w:val="ListParagraph"/>
        <w:numPr>
          <w:ilvl w:val="1"/>
          <w:numId w:val="2"/>
        </w:numPr>
        <w:ind w:left="993" w:hanging="567"/>
        <w:rPr>
          <w:rFonts w:cstheme="minorHAnsi"/>
          <w:sz w:val="24"/>
          <w:szCs w:val="24"/>
        </w:rPr>
      </w:pPr>
      <w:r w:rsidRPr="00761570">
        <w:rPr>
          <w:rFonts w:cstheme="minorHAnsi"/>
          <w:sz w:val="24"/>
          <w:szCs w:val="24"/>
        </w:rPr>
        <w:t>The LEP Board endorses the proposals for the LIS Implementation Plan Advisory Sub-groups</w:t>
      </w:r>
      <w:r w:rsidR="00B06A23">
        <w:rPr>
          <w:rFonts w:cstheme="minorHAnsi"/>
          <w:sz w:val="24"/>
          <w:szCs w:val="24"/>
        </w:rPr>
        <w:t xml:space="preserve"> and the Specifications</w:t>
      </w:r>
      <w:r w:rsidRPr="00761570">
        <w:rPr>
          <w:rFonts w:cstheme="minorHAnsi"/>
          <w:sz w:val="24"/>
          <w:szCs w:val="24"/>
        </w:rPr>
        <w:t xml:space="preserve"> outlined in this report.</w:t>
      </w:r>
    </w:p>
    <w:p w14:paraId="6AF2AC24" w14:textId="5FF8155B" w:rsidR="004E72AF" w:rsidRPr="00761570" w:rsidRDefault="004E72AF" w:rsidP="00205ACD">
      <w:pPr>
        <w:pStyle w:val="ListParagraph"/>
        <w:numPr>
          <w:ilvl w:val="1"/>
          <w:numId w:val="2"/>
        </w:numPr>
        <w:ind w:left="993" w:hanging="567"/>
        <w:rPr>
          <w:rFonts w:cstheme="minorHAnsi"/>
          <w:sz w:val="24"/>
          <w:szCs w:val="24"/>
        </w:rPr>
      </w:pPr>
      <w:r w:rsidRPr="00761570">
        <w:rPr>
          <w:rFonts w:cstheme="minorHAnsi"/>
          <w:sz w:val="24"/>
          <w:szCs w:val="24"/>
        </w:rPr>
        <w:t xml:space="preserve">A chair, vice-chair and lead officer </w:t>
      </w:r>
      <w:r w:rsidR="00B06A23">
        <w:rPr>
          <w:rFonts w:cstheme="minorHAnsi"/>
          <w:sz w:val="24"/>
          <w:szCs w:val="24"/>
        </w:rPr>
        <w:t>for each Advisory Sub-group be agreed upon</w:t>
      </w:r>
      <w:r w:rsidRPr="00761570">
        <w:rPr>
          <w:rFonts w:cstheme="minorHAnsi"/>
          <w:sz w:val="24"/>
          <w:szCs w:val="24"/>
        </w:rPr>
        <w:t>.</w:t>
      </w:r>
    </w:p>
    <w:p w14:paraId="224EF14B" w14:textId="2EBC0D93" w:rsidR="00B06A23" w:rsidRDefault="004E72AF" w:rsidP="00205ACD">
      <w:pPr>
        <w:pStyle w:val="ListParagraph"/>
        <w:numPr>
          <w:ilvl w:val="1"/>
          <w:numId w:val="2"/>
        </w:numPr>
        <w:ind w:left="993" w:hanging="567"/>
        <w:rPr>
          <w:rFonts w:cstheme="minorHAnsi"/>
          <w:sz w:val="24"/>
          <w:szCs w:val="24"/>
        </w:rPr>
      </w:pPr>
      <w:r w:rsidRPr="00761570">
        <w:rPr>
          <w:rFonts w:cstheme="minorHAnsi"/>
          <w:sz w:val="24"/>
          <w:szCs w:val="24"/>
        </w:rPr>
        <w:t>The first meetings of the sub-groups be convened in March 2020</w:t>
      </w:r>
      <w:r w:rsidR="00756708">
        <w:rPr>
          <w:rFonts w:cstheme="minorHAnsi"/>
          <w:sz w:val="24"/>
          <w:szCs w:val="24"/>
        </w:rPr>
        <w:t>, with meetings at least bimonthly thereafter.</w:t>
      </w:r>
    </w:p>
    <w:p w14:paraId="68ECA5E7" w14:textId="7F618EA0" w:rsidR="00CB335F" w:rsidRDefault="00B06A23" w:rsidP="00205ACD">
      <w:pPr>
        <w:pStyle w:val="ListParagraph"/>
        <w:numPr>
          <w:ilvl w:val="1"/>
          <w:numId w:val="2"/>
        </w:numPr>
        <w:ind w:left="993" w:hanging="567"/>
        <w:rPr>
          <w:rFonts w:cstheme="minorHAnsi"/>
          <w:sz w:val="24"/>
          <w:szCs w:val="24"/>
        </w:rPr>
      </w:pPr>
      <w:r>
        <w:rPr>
          <w:rFonts w:cstheme="minorHAnsi"/>
          <w:sz w:val="24"/>
          <w:szCs w:val="24"/>
        </w:rPr>
        <w:t>The proposals for the timeline be adopted.</w:t>
      </w:r>
    </w:p>
    <w:p w14:paraId="5CA9823D" w14:textId="550C26B9" w:rsidR="00756708" w:rsidRDefault="00756708" w:rsidP="00756708">
      <w:pPr>
        <w:rPr>
          <w:rFonts w:cstheme="minorHAnsi"/>
          <w:sz w:val="24"/>
          <w:szCs w:val="24"/>
        </w:rPr>
      </w:pPr>
    </w:p>
    <w:p w14:paraId="4E3661A5" w14:textId="174CDA00" w:rsidR="00756708" w:rsidRDefault="00756708" w:rsidP="00756708">
      <w:pPr>
        <w:rPr>
          <w:rFonts w:cstheme="minorHAnsi"/>
          <w:sz w:val="24"/>
          <w:szCs w:val="24"/>
        </w:rPr>
      </w:pPr>
    </w:p>
    <w:p w14:paraId="7A53EA6B" w14:textId="1B6237D1" w:rsidR="00756708" w:rsidRDefault="00756708" w:rsidP="00756708">
      <w:pPr>
        <w:spacing w:line="240" w:lineRule="auto"/>
        <w:rPr>
          <w:rFonts w:cstheme="minorHAnsi"/>
          <w:sz w:val="24"/>
          <w:szCs w:val="24"/>
        </w:rPr>
      </w:pPr>
      <w:r w:rsidRPr="00756708">
        <w:rPr>
          <w:rFonts w:cstheme="minorHAnsi"/>
          <w:b/>
          <w:bCs/>
          <w:sz w:val="24"/>
          <w:szCs w:val="24"/>
        </w:rPr>
        <w:t>Lead Board Director:</w:t>
      </w:r>
      <w:r>
        <w:rPr>
          <w:rFonts w:cstheme="minorHAnsi"/>
          <w:sz w:val="24"/>
          <w:szCs w:val="24"/>
        </w:rPr>
        <w:t xml:space="preserve"> </w:t>
      </w:r>
      <w:r>
        <w:rPr>
          <w:rFonts w:cstheme="minorHAnsi"/>
          <w:sz w:val="24"/>
          <w:szCs w:val="24"/>
        </w:rPr>
        <w:tab/>
        <w:t>Alun Rogers, Chair – SSLEP</w:t>
      </w:r>
    </w:p>
    <w:p w14:paraId="573244D8" w14:textId="674D4BCF" w:rsidR="00756708" w:rsidRDefault="00756708" w:rsidP="00756708">
      <w:pPr>
        <w:spacing w:after="0" w:line="240" w:lineRule="auto"/>
        <w:rPr>
          <w:rFonts w:cstheme="minorHAnsi"/>
          <w:sz w:val="24"/>
          <w:szCs w:val="24"/>
        </w:rPr>
      </w:pPr>
      <w:r w:rsidRPr="00756708">
        <w:rPr>
          <w:rFonts w:cstheme="minorHAnsi"/>
          <w:b/>
          <w:bCs/>
          <w:sz w:val="24"/>
          <w:szCs w:val="24"/>
        </w:rPr>
        <w:t>Report Author:</w:t>
      </w:r>
      <w:r>
        <w:rPr>
          <w:rFonts w:cstheme="minorHAnsi"/>
          <w:sz w:val="24"/>
          <w:szCs w:val="24"/>
        </w:rPr>
        <w:t xml:space="preserve"> </w:t>
      </w:r>
      <w:r>
        <w:rPr>
          <w:rFonts w:cstheme="minorHAnsi"/>
          <w:sz w:val="24"/>
          <w:szCs w:val="24"/>
        </w:rPr>
        <w:tab/>
        <w:t>Sam Hicks, Strategy &amp; Research/LIS Lead Officer</w:t>
      </w:r>
    </w:p>
    <w:p w14:paraId="2B7D102F" w14:textId="7C3CF3FE" w:rsidR="00756708" w:rsidRDefault="00756708" w:rsidP="00756708">
      <w:pPr>
        <w:spacing w:after="0" w:line="240" w:lineRule="auto"/>
        <w:ind w:left="2160"/>
        <w:rPr>
          <w:rFonts w:cstheme="minorHAnsi"/>
          <w:sz w:val="24"/>
          <w:szCs w:val="24"/>
        </w:rPr>
      </w:pPr>
      <w:r>
        <w:rPr>
          <w:rFonts w:cstheme="minorHAnsi"/>
          <w:sz w:val="24"/>
          <w:szCs w:val="24"/>
        </w:rPr>
        <w:t>samantha.hicks@staffordshire.gov.uk</w:t>
      </w:r>
    </w:p>
    <w:p w14:paraId="6A553B80" w14:textId="77777777" w:rsidR="00756708" w:rsidRPr="00756708" w:rsidRDefault="00756708" w:rsidP="00756708">
      <w:pPr>
        <w:spacing w:after="0" w:line="240" w:lineRule="auto"/>
        <w:rPr>
          <w:rFonts w:cstheme="minorHAnsi"/>
          <w:sz w:val="24"/>
          <w:szCs w:val="24"/>
        </w:rPr>
      </w:pPr>
    </w:p>
    <w:p w14:paraId="71A1C6BC" w14:textId="4CA985E4" w:rsidR="009C6B02" w:rsidRPr="00761570" w:rsidRDefault="009C6B02" w:rsidP="00205ACD">
      <w:pPr>
        <w:ind w:left="993" w:hanging="567"/>
        <w:rPr>
          <w:rFonts w:cstheme="minorHAnsi"/>
          <w:sz w:val="24"/>
          <w:szCs w:val="24"/>
        </w:rPr>
      </w:pPr>
    </w:p>
    <w:sectPr w:rsidR="009C6B02" w:rsidRPr="00761570" w:rsidSect="00547BC5">
      <w:headerReference w:type="default" r:id="rId15"/>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8650" w14:textId="77777777" w:rsidR="009A577E" w:rsidRDefault="009A577E" w:rsidP="00761570">
      <w:pPr>
        <w:spacing w:after="0" w:line="240" w:lineRule="auto"/>
      </w:pPr>
      <w:r>
        <w:separator/>
      </w:r>
    </w:p>
  </w:endnote>
  <w:endnote w:type="continuationSeparator" w:id="0">
    <w:p w14:paraId="3E02AAF4" w14:textId="77777777" w:rsidR="009A577E" w:rsidRDefault="009A577E" w:rsidP="0076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3E441" w14:textId="77777777" w:rsidR="009A577E" w:rsidRDefault="009A577E" w:rsidP="00761570">
      <w:pPr>
        <w:spacing w:after="0" w:line="240" w:lineRule="auto"/>
      </w:pPr>
      <w:r>
        <w:separator/>
      </w:r>
    </w:p>
  </w:footnote>
  <w:footnote w:type="continuationSeparator" w:id="0">
    <w:p w14:paraId="5EA6E322" w14:textId="77777777" w:rsidR="009A577E" w:rsidRDefault="009A577E" w:rsidP="00761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7957" w14:textId="58208121" w:rsidR="009A577E" w:rsidRPr="00761570" w:rsidRDefault="009A577E" w:rsidP="00761570">
    <w:pPr>
      <w:pStyle w:val="Header"/>
      <w:jc w:val="right"/>
      <w:rPr>
        <w:u w:val="single"/>
      </w:rPr>
    </w:pPr>
    <w:r>
      <w:tab/>
    </w:r>
    <w:r>
      <w:tab/>
    </w:r>
    <w:r w:rsidRPr="00761570">
      <w:rPr>
        <w:u w:val="single"/>
      </w:rPr>
      <w:t>Item 6iii</w:t>
    </w:r>
  </w:p>
  <w:p w14:paraId="2CF06698" w14:textId="77777777" w:rsidR="009A577E" w:rsidRDefault="009A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6933"/>
    <w:multiLevelType w:val="hybridMultilevel"/>
    <w:tmpl w:val="9F28418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1D7D002F"/>
    <w:multiLevelType w:val="hybridMultilevel"/>
    <w:tmpl w:val="B4B4082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2BC854CC"/>
    <w:multiLevelType w:val="multilevel"/>
    <w:tmpl w:val="38A47DB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ECA52EA"/>
    <w:multiLevelType w:val="hybridMultilevel"/>
    <w:tmpl w:val="151EA0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50F50BE4"/>
    <w:multiLevelType w:val="hybridMultilevel"/>
    <w:tmpl w:val="F2869B4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53524672"/>
    <w:multiLevelType w:val="hybridMultilevel"/>
    <w:tmpl w:val="55B68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923C4"/>
    <w:multiLevelType w:val="multilevel"/>
    <w:tmpl w:val="B4B65632"/>
    <w:lvl w:ilvl="0">
      <w:start w:val="3"/>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E3"/>
    <w:rsid w:val="00050C09"/>
    <w:rsid w:val="001065B1"/>
    <w:rsid w:val="00134BB8"/>
    <w:rsid w:val="00137317"/>
    <w:rsid w:val="00152AB7"/>
    <w:rsid w:val="00157992"/>
    <w:rsid w:val="001762DA"/>
    <w:rsid w:val="001932CB"/>
    <w:rsid w:val="001A710A"/>
    <w:rsid w:val="001D1B48"/>
    <w:rsid w:val="00205ACD"/>
    <w:rsid w:val="00205F11"/>
    <w:rsid w:val="00207859"/>
    <w:rsid w:val="00234A0C"/>
    <w:rsid w:val="00292F40"/>
    <w:rsid w:val="003663FB"/>
    <w:rsid w:val="0037374E"/>
    <w:rsid w:val="00394C42"/>
    <w:rsid w:val="003A61B8"/>
    <w:rsid w:val="003B4185"/>
    <w:rsid w:val="003B4DE3"/>
    <w:rsid w:val="003B653B"/>
    <w:rsid w:val="003C56C3"/>
    <w:rsid w:val="004615A9"/>
    <w:rsid w:val="004C4F52"/>
    <w:rsid w:val="004C7DB0"/>
    <w:rsid w:val="004D7BEB"/>
    <w:rsid w:val="004E72AF"/>
    <w:rsid w:val="00547BC5"/>
    <w:rsid w:val="00572DC7"/>
    <w:rsid w:val="00573965"/>
    <w:rsid w:val="005850FC"/>
    <w:rsid w:val="005965B3"/>
    <w:rsid w:val="00610FD3"/>
    <w:rsid w:val="00663F1D"/>
    <w:rsid w:val="006936DF"/>
    <w:rsid w:val="006D23DF"/>
    <w:rsid w:val="007228B7"/>
    <w:rsid w:val="00731CEE"/>
    <w:rsid w:val="00756708"/>
    <w:rsid w:val="00760252"/>
    <w:rsid w:val="00761570"/>
    <w:rsid w:val="007F3DC7"/>
    <w:rsid w:val="0083242A"/>
    <w:rsid w:val="00834D45"/>
    <w:rsid w:val="008423B1"/>
    <w:rsid w:val="008C678F"/>
    <w:rsid w:val="008E392F"/>
    <w:rsid w:val="0092501D"/>
    <w:rsid w:val="00926BBB"/>
    <w:rsid w:val="00953722"/>
    <w:rsid w:val="009662B0"/>
    <w:rsid w:val="00973ACD"/>
    <w:rsid w:val="00994AFF"/>
    <w:rsid w:val="009A577E"/>
    <w:rsid w:val="009C6B02"/>
    <w:rsid w:val="00A51985"/>
    <w:rsid w:val="00AD2DCD"/>
    <w:rsid w:val="00AD3E1B"/>
    <w:rsid w:val="00B06A23"/>
    <w:rsid w:val="00BB1FA6"/>
    <w:rsid w:val="00BD4803"/>
    <w:rsid w:val="00CB0600"/>
    <w:rsid w:val="00CB335F"/>
    <w:rsid w:val="00CD127A"/>
    <w:rsid w:val="00CF44FD"/>
    <w:rsid w:val="00D72564"/>
    <w:rsid w:val="00E30AEF"/>
    <w:rsid w:val="00F25D16"/>
    <w:rsid w:val="00F47323"/>
    <w:rsid w:val="00F51830"/>
    <w:rsid w:val="00FD4E8E"/>
    <w:rsid w:val="00FF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69F8"/>
  <w15:chartTrackingRefBased/>
  <w15:docId w15:val="{1DF0A02E-D407-43CC-A5F0-38E79C7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DE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DA"/>
    <w:pPr>
      <w:ind w:left="720"/>
      <w:contextualSpacing/>
    </w:pPr>
  </w:style>
  <w:style w:type="paragraph" w:styleId="Header">
    <w:name w:val="header"/>
    <w:basedOn w:val="Normal"/>
    <w:link w:val="HeaderChar"/>
    <w:uiPriority w:val="99"/>
    <w:unhideWhenUsed/>
    <w:rsid w:val="00761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570"/>
  </w:style>
  <w:style w:type="paragraph" w:styleId="Footer">
    <w:name w:val="footer"/>
    <w:basedOn w:val="Normal"/>
    <w:link w:val="FooterChar"/>
    <w:uiPriority w:val="99"/>
    <w:unhideWhenUsed/>
    <w:rsid w:val="00761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570"/>
  </w:style>
  <w:style w:type="paragraph" w:styleId="BalloonText">
    <w:name w:val="Balloon Text"/>
    <w:basedOn w:val="Normal"/>
    <w:link w:val="BalloonTextChar"/>
    <w:uiPriority w:val="99"/>
    <w:semiHidden/>
    <w:unhideWhenUsed/>
    <w:rsid w:val="00205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Samantha (E,I&amp;S)</dc:creator>
  <cp:keywords/>
  <dc:description/>
  <cp:lastModifiedBy>Hicks, Samantha (E,I&amp;S)</cp:lastModifiedBy>
  <cp:revision>6</cp:revision>
  <cp:lastPrinted>2020-02-20T15:45:00Z</cp:lastPrinted>
  <dcterms:created xsi:type="dcterms:W3CDTF">2020-02-20T10:51:00Z</dcterms:created>
  <dcterms:modified xsi:type="dcterms:W3CDTF">2020-02-20T16:08:00Z</dcterms:modified>
</cp:coreProperties>
</file>