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0A2" w:rsidRDefault="008700A2" w:rsidP="008700A2">
      <w:pPr>
        <w:jc w:val="center"/>
        <w:rPr>
          <w:rFonts w:cstheme="minorHAnsi"/>
          <w:b/>
          <w:sz w:val="28"/>
          <w:szCs w:val="28"/>
        </w:rPr>
      </w:pPr>
      <w:bookmarkStart w:id="0" w:name="_GoBack"/>
      <w:bookmarkEnd w:id="0"/>
    </w:p>
    <w:p w:rsidR="008700A2" w:rsidRPr="00CE7F6E" w:rsidRDefault="008700A2" w:rsidP="008700A2">
      <w:pPr>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rsidR="008700A2" w:rsidRDefault="008700A2" w:rsidP="008700A2">
      <w:pPr>
        <w:jc w:val="center"/>
        <w:rPr>
          <w:rFonts w:cstheme="minorHAnsi"/>
          <w:b/>
          <w:sz w:val="28"/>
          <w:szCs w:val="28"/>
        </w:rPr>
      </w:pPr>
      <w:r w:rsidRPr="00CE7F6E">
        <w:rPr>
          <w:rFonts w:cstheme="minorHAnsi"/>
          <w:b/>
          <w:sz w:val="28"/>
          <w:szCs w:val="28"/>
        </w:rPr>
        <w:t>LOCAL ENTERPRISE PARTNERSHIP</w:t>
      </w:r>
    </w:p>
    <w:p w:rsidR="008700A2" w:rsidRPr="00CE7F6E" w:rsidRDefault="008700A2" w:rsidP="008700A2">
      <w:pPr>
        <w:jc w:val="center"/>
        <w:rPr>
          <w:rFonts w:cstheme="minorHAnsi"/>
          <w:b/>
          <w:sz w:val="28"/>
          <w:szCs w:val="28"/>
        </w:rPr>
      </w:pPr>
      <w:r>
        <w:rPr>
          <w:rFonts w:cstheme="minorHAnsi"/>
          <w:b/>
          <w:sz w:val="28"/>
          <w:szCs w:val="28"/>
        </w:rPr>
        <w:t xml:space="preserve">COMPANY </w:t>
      </w:r>
      <w:r w:rsidRPr="00CE7F6E">
        <w:rPr>
          <w:rFonts w:cstheme="minorHAnsi"/>
          <w:b/>
          <w:sz w:val="28"/>
          <w:szCs w:val="28"/>
        </w:rPr>
        <w:t>EXECUTIVE BOARD MEETING</w:t>
      </w:r>
    </w:p>
    <w:p w:rsidR="008700A2" w:rsidRPr="00CE7F6E" w:rsidRDefault="008700A2" w:rsidP="008700A2">
      <w:pPr>
        <w:jc w:val="center"/>
        <w:rPr>
          <w:rFonts w:cstheme="minorHAnsi"/>
          <w:b/>
          <w:sz w:val="28"/>
          <w:szCs w:val="28"/>
        </w:rPr>
      </w:pPr>
      <w:r>
        <w:rPr>
          <w:rFonts w:cstheme="minorHAnsi"/>
          <w:b/>
          <w:sz w:val="28"/>
          <w:szCs w:val="28"/>
        </w:rPr>
        <w:t>19</w:t>
      </w:r>
      <w:r w:rsidRPr="00CE7F6E">
        <w:rPr>
          <w:rFonts w:cstheme="minorHAnsi"/>
          <w:b/>
          <w:sz w:val="28"/>
          <w:szCs w:val="28"/>
        </w:rPr>
        <w:t xml:space="preserve"> </w:t>
      </w:r>
      <w:r>
        <w:rPr>
          <w:rFonts w:cstheme="minorHAnsi"/>
          <w:b/>
          <w:sz w:val="28"/>
          <w:szCs w:val="28"/>
        </w:rPr>
        <w:t>December</w:t>
      </w:r>
      <w:r w:rsidRPr="00CE7F6E">
        <w:rPr>
          <w:rFonts w:cstheme="minorHAnsi"/>
          <w:b/>
          <w:sz w:val="28"/>
          <w:szCs w:val="28"/>
        </w:rPr>
        <w:t xml:space="preserve"> 2019</w:t>
      </w:r>
    </w:p>
    <w:p w:rsidR="000D2049" w:rsidRDefault="000D2049"/>
    <w:p w:rsidR="00FE6C8E" w:rsidRPr="00D041FF" w:rsidRDefault="008700A2">
      <w:pPr>
        <w:rPr>
          <w:rFonts w:ascii="Arial" w:hAnsi="Arial" w:cs="Arial"/>
          <w:b/>
          <w:sz w:val="24"/>
        </w:rPr>
      </w:pPr>
      <w:r>
        <w:rPr>
          <w:rFonts w:ascii="Arial" w:hAnsi="Arial" w:cs="Arial"/>
          <w:b/>
          <w:sz w:val="24"/>
        </w:rPr>
        <w:t xml:space="preserve">Item 11: </w:t>
      </w:r>
      <w:r w:rsidR="000D2049" w:rsidRPr="00D041FF">
        <w:rPr>
          <w:rFonts w:ascii="Arial" w:hAnsi="Arial" w:cs="Arial"/>
          <w:b/>
          <w:sz w:val="24"/>
        </w:rPr>
        <w:t>Update report on the Stoke-on-Trent and Staffordshire LEP’s ESIF Programme</w:t>
      </w:r>
    </w:p>
    <w:p w:rsidR="000D2049" w:rsidRPr="00D041FF" w:rsidRDefault="000D2049">
      <w:pPr>
        <w:rPr>
          <w:rFonts w:ascii="Arial" w:hAnsi="Arial" w:cs="Arial"/>
        </w:rPr>
      </w:pPr>
    </w:p>
    <w:p w:rsidR="00C44393" w:rsidRPr="0028138B" w:rsidRDefault="000D2049">
      <w:pPr>
        <w:rPr>
          <w:rFonts w:ascii="Arial" w:hAnsi="Arial" w:cs="Arial"/>
          <w:b/>
        </w:rPr>
      </w:pPr>
      <w:r w:rsidRPr="0028138B">
        <w:rPr>
          <w:rFonts w:ascii="Arial" w:hAnsi="Arial" w:cs="Arial"/>
          <w:b/>
        </w:rPr>
        <w:t>Background</w:t>
      </w:r>
      <w:r w:rsidR="00C44393" w:rsidRPr="0028138B">
        <w:rPr>
          <w:rFonts w:ascii="Arial" w:hAnsi="Arial" w:cs="Arial"/>
          <w:b/>
        </w:rPr>
        <w:t xml:space="preserve"> </w:t>
      </w:r>
    </w:p>
    <w:p w:rsidR="00D041FF" w:rsidRPr="0028138B" w:rsidRDefault="00D041FF">
      <w:pPr>
        <w:rPr>
          <w:rFonts w:ascii="Arial" w:hAnsi="Arial" w:cs="Arial"/>
          <w:b/>
        </w:rPr>
      </w:pPr>
    </w:p>
    <w:p w:rsidR="000D2049" w:rsidRPr="0028138B" w:rsidRDefault="00C44393">
      <w:pPr>
        <w:rPr>
          <w:rFonts w:ascii="Arial" w:hAnsi="Arial" w:cs="Arial"/>
        </w:rPr>
      </w:pPr>
      <w:r w:rsidRPr="0028138B">
        <w:rPr>
          <w:rFonts w:ascii="Arial" w:hAnsi="Arial" w:cs="Arial"/>
        </w:rPr>
        <w:t xml:space="preserve">The European Structural Investment Funds (ESIF) Programme </w:t>
      </w:r>
      <w:r w:rsidR="00D041FF" w:rsidRPr="0028138B">
        <w:rPr>
          <w:rFonts w:ascii="Arial" w:hAnsi="Arial" w:cs="Arial"/>
        </w:rPr>
        <w:t>launched in March 2015 and since this time</w:t>
      </w:r>
      <w:r w:rsidRPr="0028138B">
        <w:rPr>
          <w:rFonts w:ascii="Arial" w:hAnsi="Arial" w:cs="Arial"/>
        </w:rPr>
        <w:t xml:space="preserve"> has, on behalf of the LEP</w:t>
      </w:r>
      <w:r w:rsidR="00D041FF" w:rsidRPr="0028138B">
        <w:rPr>
          <w:rFonts w:ascii="Arial" w:hAnsi="Arial" w:cs="Arial"/>
        </w:rPr>
        <w:t>,</w:t>
      </w:r>
      <w:r w:rsidRPr="0028138B">
        <w:rPr>
          <w:rFonts w:ascii="Arial" w:hAnsi="Arial" w:cs="Arial"/>
        </w:rPr>
        <w:t xml:space="preserve"> delivered</w:t>
      </w:r>
      <w:r w:rsidR="00B70139">
        <w:rPr>
          <w:rFonts w:ascii="Arial" w:hAnsi="Arial" w:cs="Arial"/>
        </w:rPr>
        <w:t xml:space="preserve"> a wide range on activity</w:t>
      </w:r>
      <w:r w:rsidRPr="0028138B">
        <w:rPr>
          <w:rFonts w:ascii="Arial" w:hAnsi="Arial" w:cs="Arial"/>
        </w:rPr>
        <w:t xml:space="preserve"> across the LEP’s geography.</w:t>
      </w:r>
    </w:p>
    <w:p w:rsidR="00C44393" w:rsidRPr="0028138B" w:rsidRDefault="00C44393">
      <w:pPr>
        <w:rPr>
          <w:rFonts w:ascii="Arial" w:hAnsi="Arial" w:cs="Arial"/>
        </w:rPr>
      </w:pPr>
    </w:p>
    <w:p w:rsidR="00C44393" w:rsidRPr="0028138B" w:rsidRDefault="00C44393">
      <w:pPr>
        <w:rPr>
          <w:rFonts w:ascii="Arial" w:hAnsi="Arial" w:cs="Arial"/>
        </w:rPr>
      </w:pPr>
      <w:r w:rsidRPr="0028138B">
        <w:rPr>
          <w:rFonts w:ascii="Arial" w:hAnsi="Arial" w:cs="Arial"/>
        </w:rPr>
        <w:t>Directors will recall that the ESIF Programme is made up of three funding stream</w:t>
      </w:r>
      <w:r w:rsidR="006C44A7">
        <w:rPr>
          <w:rFonts w:ascii="Arial" w:hAnsi="Arial" w:cs="Arial"/>
        </w:rPr>
        <w:t>’s</w:t>
      </w:r>
      <w:r w:rsidRPr="0028138B">
        <w:rPr>
          <w:rFonts w:ascii="Arial" w:hAnsi="Arial" w:cs="Arial"/>
        </w:rPr>
        <w:t>, these along</w:t>
      </w:r>
      <w:r w:rsidR="00D041FF" w:rsidRPr="0028138B">
        <w:rPr>
          <w:rFonts w:ascii="Arial" w:hAnsi="Arial" w:cs="Arial"/>
        </w:rPr>
        <w:t xml:space="preserve"> with</w:t>
      </w:r>
      <w:r w:rsidRPr="0028138B">
        <w:rPr>
          <w:rFonts w:ascii="Arial" w:hAnsi="Arial" w:cs="Arial"/>
        </w:rPr>
        <w:t xml:space="preserve"> the LEP’s allocation are highlighted in the table below</w:t>
      </w:r>
      <w:r w:rsidR="00D041FF" w:rsidRPr="0028138B">
        <w:rPr>
          <w:rFonts w:ascii="Arial" w:hAnsi="Arial" w:cs="Arial"/>
        </w:rPr>
        <w:t>.  As a Transition Area Stoke-on-Trent and Staffordshire have a higher intervention rate of up to 60% across these three programmes.  The following section takes each of the three funding streams in turn and provides an update as to its allocation and delivery.</w:t>
      </w:r>
    </w:p>
    <w:p w:rsidR="00C44393" w:rsidRPr="0028138B" w:rsidRDefault="00C44393">
      <w:pPr>
        <w:rPr>
          <w:rFonts w:ascii="Arial" w:hAnsi="Arial" w:cs="Arial"/>
        </w:rPr>
      </w:pPr>
    </w:p>
    <w:tbl>
      <w:tblPr>
        <w:tblStyle w:val="TableGrid"/>
        <w:tblW w:w="0" w:type="auto"/>
        <w:jc w:val="center"/>
        <w:tblLook w:val="04A0" w:firstRow="1" w:lastRow="0" w:firstColumn="1" w:lastColumn="0" w:noHBand="0" w:noVBand="1"/>
      </w:tblPr>
      <w:tblGrid>
        <w:gridCol w:w="2802"/>
        <w:gridCol w:w="3260"/>
        <w:gridCol w:w="1435"/>
      </w:tblGrid>
      <w:tr w:rsidR="00D041FF" w:rsidRPr="0028138B" w:rsidTr="00D041FF">
        <w:trPr>
          <w:jc w:val="center"/>
        </w:trPr>
        <w:tc>
          <w:tcPr>
            <w:tcW w:w="2802" w:type="dxa"/>
            <w:shd w:val="clear" w:color="auto" w:fill="D9D9D9" w:themeFill="background1" w:themeFillShade="D9"/>
          </w:tcPr>
          <w:p w:rsidR="00D041FF" w:rsidRPr="003B6B01" w:rsidRDefault="00D041FF" w:rsidP="00D041FF">
            <w:pPr>
              <w:jc w:val="center"/>
              <w:rPr>
                <w:rFonts w:ascii="Arial" w:hAnsi="Arial" w:cs="Arial"/>
                <w:b/>
              </w:rPr>
            </w:pPr>
            <w:r w:rsidRPr="003B6B01">
              <w:rPr>
                <w:rFonts w:ascii="Arial" w:hAnsi="Arial" w:cs="Arial"/>
                <w:b/>
              </w:rPr>
              <w:t>ESIF Programme</w:t>
            </w:r>
          </w:p>
        </w:tc>
        <w:tc>
          <w:tcPr>
            <w:tcW w:w="3260" w:type="dxa"/>
            <w:shd w:val="clear" w:color="auto" w:fill="D9D9D9" w:themeFill="background1" w:themeFillShade="D9"/>
          </w:tcPr>
          <w:p w:rsidR="00D041FF" w:rsidRPr="003B6B01" w:rsidRDefault="00D041FF" w:rsidP="00D041FF">
            <w:pPr>
              <w:jc w:val="center"/>
              <w:rPr>
                <w:rFonts w:ascii="Arial" w:hAnsi="Arial" w:cs="Arial"/>
                <w:b/>
              </w:rPr>
            </w:pPr>
            <w:r w:rsidRPr="003B6B01">
              <w:rPr>
                <w:rFonts w:ascii="Arial" w:hAnsi="Arial" w:cs="Arial"/>
                <w:b/>
              </w:rPr>
              <w:t>Themes for Investment</w:t>
            </w:r>
          </w:p>
        </w:tc>
        <w:tc>
          <w:tcPr>
            <w:tcW w:w="1435" w:type="dxa"/>
            <w:shd w:val="clear" w:color="auto" w:fill="D9D9D9" w:themeFill="background1" w:themeFillShade="D9"/>
          </w:tcPr>
          <w:p w:rsidR="00D041FF" w:rsidRPr="003B6B01" w:rsidRDefault="00D041FF" w:rsidP="00D041FF">
            <w:pPr>
              <w:jc w:val="center"/>
              <w:rPr>
                <w:rFonts w:ascii="Arial" w:hAnsi="Arial" w:cs="Arial"/>
                <w:b/>
              </w:rPr>
            </w:pPr>
            <w:r w:rsidRPr="003B6B01">
              <w:rPr>
                <w:rFonts w:ascii="Arial" w:hAnsi="Arial" w:cs="Arial"/>
                <w:b/>
              </w:rPr>
              <w:t>LEP Allocation</w:t>
            </w:r>
          </w:p>
        </w:tc>
      </w:tr>
      <w:tr w:rsidR="00D041FF" w:rsidRPr="0028138B" w:rsidTr="00B75C02">
        <w:trPr>
          <w:jc w:val="center"/>
        </w:trPr>
        <w:tc>
          <w:tcPr>
            <w:tcW w:w="2802" w:type="dxa"/>
            <w:vAlign w:val="center"/>
          </w:tcPr>
          <w:p w:rsidR="00D041FF" w:rsidRPr="0028138B" w:rsidRDefault="00D041FF" w:rsidP="00B75C02">
            <w:pPr>
              <w:rPr>
                <w:rFonts w:ascii="Arial" w:hAnsi="Arial" w:cs="Arial"/>
              </w:rPr>
            </w:pPr>
            <w:r w:rsidRPr="0028138B">
              <w:rPr>
                <w:rFonts w:ascii="Arial" w:hAnsi="Arial" w:cs="Arial"/>
              </w:rPr>
              <w:t>European Regional Development Fund (ERDF)</w:t>
            </w:r>
          </w:p>
        </w:tc>
        <w:tc>
          <w:tcPr>
            <w:tcW w:w="3260" w:type="dxa"/>
          </w:tcPr>
          <w:p w:rsidR="00D041FF" w:rsidRPr="0028138B" w:rsidRDefault="00D041FF">
            <w:pPr>
              <w:rPr>
                <w:rFonts w:ascii="Arial" w:hAnsi="Arial" w:cs="Arial"/>
              </w:rPr>
            </w:pPr>
            <w:r w:rsidRPr="0028138B">
              <w:rPr>
                <w:rFonts w:ascii="Arial" w:hAnsi="Arial" w:cs="Arial"/>
              </w:rPr>
              <w:t>Innovation, ICT, Business Support, Low Carbon, Flooding and Biodiversity</w:t>
            </w:r>
          </w:p>
        </w:tc>
        <w:tc>
          <w:tcPr>
            <w:tcW w:w="1435" w:type="dxa"/>
            <w:vAlign w:val="center"/>
          </w:tcPr>
          <w:p w:rsidR="00D041FF" w:rsidRPr="0028138B" w:rsidRDefault="00800386" w:rsidP="00800386">
            <w:pPr>
              <w:jc w:val="center"/>
              <w:rPr>
                <w:rFonts w:ascii="Arial" w:hAnsi="Arial" w:cs="Arial"/>
              </w:rPr>
            </w:pPr>
            <w:r w:rsidRPr="0028138B">
              <w:rPr>
                <w:rFonts w:ascii="Arial" w:hAnsi="Arial" w:cs="Arial"/>
              </w:rPr>
              <w:t>£90.85M</w:t>
            </w:r>
          </w:p>
        </w:tc>
      </w:tr>
      <w:tr w:rsidR="00D041FF" w:rsidRPr="0028138B" w:rsidTr="00B75C02">
        <w:trPr>
          <w:trHeight w:val="637"/>
          <w:jc w:val="center"/>
        </w:trPr>
        <w:tc>
          <w:tcPr>
            <w:tcW w:w="2802" w:type="dxa"/>
            <w:vAlign w:val="center"/>
          </w:tcPr>
          <w:p w:rsidR="00D041FF" w:rsidRPr="0028138B" w:rsidRDefault="00D041FF" w:rsidP="00B75C02">
            <w:pPr>
              <w:rPr>
                <w:rFonts w:ascii="Arial" w:hAnsi="Arial" w:cs="Arial"/>
              </w:rPr>
            </w:pPr>
            <w:r w:rsidRPr="0028138B">
              <w:rPr>
                <w:rFonts w:ascii="Arial" w:hAnsi="Arial" w:cs="Arial"/>
              </w:rPr>
              <w:t>European Social Fund (ESF</w:t>
            </w:r>
            <w:r w:rsidR="0028138B">
              <w:rPr>
                <w:rFonts w:ascii="Arial" w:hAnsi="Arial" w:cs="Arial"/>
              </w:rPr>
              <w:t>)</w:t>
            </w:r>
          </w:p>
        </w:tc>
        <w:tc>
          <w:tcPr>
            <w:tcW w:w="3260" w:type="dxa"/>
          </w:tcPr>
          <w:p w:rsidR="00D041FF" w:rsidRPr="0028138B" w:rsidRDefault="006C44A7">
            <w:pPr>
              <w:rPr>
                <w:rFonts w:ascii="Arial" w:hAnsi="Arial" w:cs="Arial"/>
              </w:rPr>
            </w:pPr>
            <w:r>
              <w:rPr>
                <w:rFonts w:ascii="Arial" w:hAnsi="Arial" w:cs="Arial"/>
              </w:rPr>
              <w:t>Access to Employment, Sustainable Integration of Young People, Active Inclusion, Skills for Growth, Improving the Market Relevance of Education</w:t>
            </w:r>
          </w:p>
        </w:tc>
        <w:tc>
          <w:tcPr>
            <w:tcW w:w="1435" w:type="dxa"/>
            <w:vAlign w:val="center"/>
          </w:tcPr>
          <w:p w:rsidR="00D041FF" w:rsidRPr="0028138B" w:rsidRDefault="006C44A7" w:rsidP="00800386">
            <w:pPr>
              <w:jc w:val="center"/>
              <w:rPr>
                <w:rFonts w:ascii="Arial" w:hAnsi="Arial" w:cs="Arial"/>
              </w:rPr>
            </w:pPr>
            <w:r>
              <w:rPr>
                <w:rFonts w:ascii="Arial" w:hAnsi="Arial" w:cs="Arial"/>
              </w:rPr>
              <w:t>£65.5M</w:t>
            </w:r>
          </w:p>
        </w:tc>
      </w:tr>
      <w:tr w:rsidR="00D041FF" w:rsidRPr="0028138B" w:rsidTr="00B75C02">
        <w:trPr>
          <w:jc w:val="center"/>
        </w:trPr>
        <w:tc>
          <w:tcPr>
            <w:tcW w:w="2802" w:type="dxa"/>
            <w:vAlign w:val="center"/>
          </w:tcPr>
          <w:p w:rsidR="00D041FF" w:rsidRPr="0028138B" w:rsidRDefault="00D041FF" w:rsidP="00B75C02">
            <w:pPr>
              <w:rPr>
                <w:rFonts w:ascii="Arial" w:hAnsi="Arial" w:cs="Arial"/>
              </w:rPr>
            </w:pPr>
            <w:r w:rsidRPr="0028138B">
              <w:rPr>
                <w:rFonts w:ascii="Arial" w:hAnsi="Arial" w:cs="Arial"/>
              </w:rPr>
              <w:t>European Agriculture Fund for Rural Development (EAFRD)</w:t>
            </w:r>
          </w:p>
        </w:tc>
        <w:tc>
          <w:tcPr>
            <w:tcW w:w="3260" w:type="dxa"/>
          </w:tcPr>
          <w:p w:rsidR="00D041FF" w:rsidRPr="0028138B" w:rsidRDefault="00D041FF">
            <w:pPr>
              <w:rPr>
                <w:rFonts w:ascii="Arial" w:hAnsi="Arial" w:cs="Arial"/>
              </w:rPr>
            </w:pPr>
            <w:r w:rsidRPr="0028138B">
              <w:rPr>
                <w:rFonts w:ascii="Arial" w:hAnsi="Arial" w:cs="Arial"/>
              </w:rPr>
              <w:t>Rural Enterprise, Tourism, Food Sector</w:t>
            </w:r>
          </w:p>
        </w:tc>
        <w:tc>
          <w:tcPr>
            <w:tcW w:w="1435" w:type="dxa"/>
            <w:vAlign w:val="center"/>
          </w:tcPr>
          <w:p w:rsidR="00D041FF" w:rsidRPr="0028138B" w:rsidRDefault="00B75C02" w:rsidP="00800386">
            <w:pPr>
              <w:jc w:val="center"/>
              <w:rPr>
                <w:rFonts w:ascii="Arial" w:hAnsi="Arial" w:cs="Arial"/>
              </w:rPr>
            </w:pPr>
            <w:r>
              <w:rPr>
                <w:rFonts w:ascii="Arial" w:hAnsi="Arial" w:cs="Arial"/>
              </w:rPr>
              <w:t>£3.12M</w:t>
            </w:r>
          </w:p>
        </w:tc>
      </w:tr>
    </w:tbl>
    <w:p w:rsidR="00C44393" w:rsidRPr="0028138B" w:rsidRDefault="00C44393">
      <w:pPr>
        <w:rPr>
          <w:rFonts w:ascii="Arial" w:hAnsi="Arial" w:cs="Arial"/>
        </w:rPr>
      </w:pPr>
    </w:p>
    <w:p w:rsidR="00C44393" w:rsidRPr="0028138B" w:rsidRDefault="00D041FF">
      <w:pPr>
        <w:rPr>
          <w:rFonts w:ascii="Arial" w:hAnsi="Arial" w:cs="Arial"/>
          <w:b/>
        </w:rPr>
      </w:pPr>
      <w:bookmarkStart w:id="1" w:name="_Hlk26452192"/>
      <w:r w:rsidRPr="0028138B">
        <w:rPr>
          <w:rFonts w:ascii="Arial" w:hAnsi="Arial" w:cs="Arial"/>
          <w:b/>
        </w:rPr>
        <w:t>European Regional Development Fund</w:t>
      </w:r>
      <w:r w:rsidR="00B75C02">
        <w:rPr>
          <w:rFonts w:ascii="Arial" w:hAnsi="Arial" w:cs="Arial"/>
          <w:b/>
        </w:rPr>
        <w:t xml:space="preserve"> (ERDF)</w:t>
      </w:r>
    </w:p>
    <w:p w:rsidR="00C44393" w:rsidRPr="0028138B" w:rsidRDefault="00C44393">
      <w:pPr>
        <w:rPr>
          <w:rFonts w:ascii="Arial" w:hAnsi="Arial" w:cs="Arial"/>
        </w:rPr>
      </w:pPr>
    </w:p>
    <w:p w:rsidR="00B131C6" w:rsidRPr="0028138B" w:rsidRDefault="00D041FF">
      <w:pPr>
        <w:rPr>
          <w:rFonts w:ascii="Arial" w:hAnsi="Arial" w:cs="Arial"/>
        </w:rPr>
      </w:pPr>
      <w:r w:rsidRPr="0028138B">
        <w:rPr>
          <w:rFonts w:ascii="Arial" w:hAnsi="Arial" w:cs="Arial"/>
        </w:rPr>
        <w:t>ERDF forms the largest e</w:t>
      </w:r>
      <w:r w:rsidR="00B70139">
        <w:rPr>
          <w:rFonts w:ascii="Arial" w:hAnsi="Arial" w:cs="Arial"/>
        </w:rPr>
        <w:t>lement of the programme with £90M</w:t>
      </w:r>
      <w:r w:rsidRPr="0028138B">
        <w:rPr>
          <w:rFonts w:ascii="Arial" w:hAnsi="Arial" w:cs="Arial"/>
        </w:rPr>
        <w:t xml:space="preserve"> of</w:t>
      </w:r>
      <w:r w:rsidR="00B70139">
        <w:rPr>
          <w:rFonts w:ascii="Arial" w:hAnsi="Arial" w:cs="Arial"/>
        </w:rPr>
        <w:t xml:space="preserve"> EU</w:t>
      </w:r>
      <w:r w:rsidRPr="0028138B">
        <w:rPr>
          <w:rFonts w:ascii="Arial" w:hAnsi="Arial" w:cs="Arial"/>
        </w:rPr>
        <w:t xml:space="preserve"> funds available</w:t>
      </w:r>
      <w:r w:rsidR="00B70139">
        <w:rPr>
          <w:rFonts w:ascii="Arial" w:hAnsi="Arial" w:cs="Arial"/>
        </w:rPr>
        <w:t xml:space="preserve"> over the life of the programme</w:t>
      </w:r>
      <w:r w:rsidRPr="0028138B">
        <w:rPr>
          <w:rFonts w:ascii="Arial" w:hAnsi="Arial" w:cs="Arial"/>
        </w:rPr>
        <w:t>.  As with all three funding stream</w:t>
      </w:r>
      <w:r w:rsidR="00974D83">
        <w:rPr>
          <w:rFonts w:ascii="Arial" w:hAnsi="Arial" w:cs="Arial"/>
        </w:rPr>
        <w:t>s</w:t>
      </w:r>
      <w:r w:rsidRPr="0028138B">
        <w:rPr>
          <w:rFonts w:ascii="Arial" w:hAnsi="Arial" w:cs="Arial"/>
        </w:rPr>
        <w:t xml:space="preserve"> they are manage</w:t>
      </w:r>
      <w:r w:rsidR="00974D83">
        <w:rPr>
          <w:rFonts w:ascii="Arial" w:hAnsi="Arial" w:cs="Arial"/>
        </w:rPr>
        <w:t>d</w:t>
      </w:r>
      <w:r w:rsidRPr="0028138B">
        <w:rPr>
          <w:rFonts w:ascii="Arial" w:hAnsi="Arial" w:cs="Arial"/>
        </w:rPr>
        <w:t xml:space="preserve"> through a National Programme which gu</w:t>
      </w:r>
      <w:r w:rsidR="00B70139">
        <w:rPr>
          <w:rFonts w:ascii="Arial" w:hAnsi="Arial" w:cs="Arial"/>
        </w:rPr>
        <w:t>ides on eligibility,</w:t>
      </w:r>
      <w:r w:rsidRPr="0028138B">
        <w:rPr>
          <w:rFonts w:ascii="Arial" w:hAnsi="Arial" w:cs="Arial"/>
        </w:rPr>
        <w:t xml:space="preserve"> </w:t>
      </w:r>
      <w:r w:rsidR="00B70139">
        <w:rPr>
          <w:rFonts w:ascii="Arial" w:hAnsi="Arial" w:cs="Arial"/>
        </w:rPr>
        <w:t xml:space="preserve">and project </w:t>
      </w:r>
      <w:r w:rsidRPr="0028138B">
        <w:rPr>
          <w:rFonts w:ascii="Arial" w:hAnsi="Arial" w:cs="Arial"/>
        </w:rPr>
        <w:t xml:space="preserve">management to ensure the successful delivery of the programme.  Under ERDF there are a number of </w:t>
      </w:r>
      <w:r w:rsidR="00B131C6" w:rsidRPr="0028138B">
        <w:rPr>
          <w:rFonts w:ascii="Arial" w:hAnsi="Arial" w:cs="Arial"/>
        </w:rPr>
        <w:t>“Themes” which the funding can support.  At the outset of the ERDF programme the total LEP allocation was split</w:t>
      </w:r>
      <w:r w:rsidR="00B70139">
        <w:rPr>
          <w:rFonts w:ascii="Arial" w:hAnsi="Arial" w:cs="Arial"/>
        </w:rPr>
        <w:t xml:space="preserve"> and fixed</w:t>
      </w:r>
      <w:r w:rsidR="00B131C6" w:rsidRPr="0028138B">
        <w:rPr>
          <w:rFonts w:ascii="Arial" w:hAnsi="Arial" w:cs="Arial"/>
        </w:rPr>
        <w:t xml:space="preserve"> into these themes, these are as follows</w:t>
      </w:r>
      <w:r w:rsidR="00A379F0" w:rsidRPr="0028138B">
        <w:rPr>
          <w:rFonts w:ascii="Arial" w:hAnsi="Arial" w:cs="Arial"/>
        </w:rPr>
        <w:t>,</w:t>
      </w:r>
    </w:p>
    <w:p w:rsidR="00B131C6" w:rsidRPr="0028138B" w:rsidRDefault="00B131C6" w:rsidP="00B131C6">
      <w:pPr>
        <w:rPr>
          <w:rFonts w:ascii="Arial" w:hAnsi="Arial" w:cs="Arial"/>
        </w:rPr>
      </w:pPr>
    </w:p>
    <w:tbl>
      <w:tblPr>
        <w:tblStyle w:val="TableGrid"/>
        <w:tblW w:w="0" w:type="auto"/>
        <w:tblInd w:w="2093" w:type="dxa"/>
        <w:tblLook w:val="04A0" w:firstRow="1" w:lastRow="0" w:firstColumn="1" w:lastColumn="0" w:noHBand="0" w:noVBand="1"/>
      </w:tblPr>
      <w:tblGrid>
        <w:gridCol w:w="2977"/>
        <w:gridCol w:w="1417"/>
        <w:gridCol w:w="1418"/>
      </w:tblGrid>
      <w:tr w:rsidR="00A379F0" w:rsidRPr="0028138B" w:rsidTr="00BC7B30">
        <w:tc>
          <w:tcPr>
            <w:tcW w:w="2977" w:type="dxa"/>
            <w:shd w:val="clear" w:color="auto" w:fill="D9D9D9" w:themeFill="background1" w:themeFillShade="D9"/>
          </w:tcPr>
          <w:p w:rsidR="00A379F0" w:rsidRPr="0028138B" w:rsidRDefault="00A379F0" w:rsidP="00A379F0">
            <w:pPr>
              <w:jc w:val="center"/>
              <w:rPr>
                <w:rFonts w:ascii="Arial" w:hAnsi="Arial" w:cs="Arial"/>
              </w:rPr>
            </w:pPr>
            <w:r w:rsidRPr="0028138B">
              <w:rPr>
                <w:rFonts w:ascii="Arial" w:hAnsi="Arial" w:cs="Arial"/>
              </w:rPr>
              <w:t>ERDF Theme</w:t>
            </w:r>
          </w:p>
        </w:tc>
        <w:tc>
          <w:tcPr>
            <w:tcW w:w="1417" w:type="dxa"/>
            <w:shd w:val="clear" w:color="auto" w:fill="D9D9D9" w:themeFill="background1" w:themeFillShade="D9"/>
          </w:tcPr>
          <w:p w:rsidR="00A379F0" w:rsidRPr="0028138B" w:rsidRDefault="00A379F0" w:rsidP="00A379F0">
            <w:pPr>
              <w:jc w:val="center"/>
              <w:rPr>
                <w:rFonts w:ascii="Arial" w:hAnsi="Arial" w:cs="Arial"/>
              </w:rPr>
            </w:pPr>
            <w:r w:rsidRPr="0028138B">
              <w:rPr>
                <w:rFonts w:ascii="Arial" w:hAnsi="Arial" w:cs="Arial"/>
              </w:rPr>
              <w:t>Notional Allocation</w:t>
            </w:r>
          </w:p>
        </w:tc>
        <w:tc>
          <w:tcPr>
            <w:tcW w:w="1418" w:type="dxa"/>
            <w:shd w:val="clear" w:color="auto" w:fill="D9D9D9" w:themeFill="background1" w:themeFillShade="D9"/>
          </w:tcPr>
          <w:p w:rsidR="00A379F0" w:rsidRPr="0028138B" w:rsidRDefault="00A379F0" w:rsidP="00A379F0">
            <w:pPr>
              <w:jc w:val="center"/>
              <w:rPr>
                <w:rFonts w:ascii="Arial" w:hAnsi="Arial" w:cs="Arial"/>
              </w:rPr>
            </w:pPr>
            <w:r w:rsidRPr="0028138B">
              <w:rPr>
                <w:rFonts w:ascii="Arial" w:hAnsi="Arial" w:cs="Arial"/>
              </w:rPr>
              <w:t>Allocated to Projects</w:t>
            </w:r>
          </w:p>
        </w:tc>
      </w:tr>
      <w:tr w:rsidR="00A379F0" w:rsidRPr="0028138B" w:rsidTr="00BC7B30">
        <w:tc>
          <w:tcPr>
            <w:tcW w:w="2977" w:type="dxa"/>
          </w:tcPr>
          <w:p w:rsidR="00A379F0" w:rsidRPr="0028138B" w:rsidRDefault="00A379F0" w:rsidP="00B131C6">
            <w:pPr>
              <w:rPr>
                <w:rFonts w:ascii="Arial" w:hAnsi="Arial" w:cs="Arial"/>
              </w:rPr>
            </w:pPr>
            <w:r w:rsidRPr="0028138B">
              <w:rPr>
                <w:rFonts w:ascii="Arial" w:hAnsi="Arial" w:cs="Arial"/>
              </w:rPr>
              <w:t>Innovation</w:t>
            </w:r>
          </w:p>
        </w:tc>
        <w:tc>
          <w:tcPr>
            <w:tcW w:w="1417" w:type="dxa"/>
            <w:vAlign w:val="center"/>
          </w:tcPr>
          <w:p w:rsidR="00A379F0" w:rsidRPr="0028138B" w:rsidRDefault="00A379F0" w:rsidP="00800386">
            <w:pPr>
              <w:jc w:val="center"/>
              <w:rPr>
                <w:rFonts w:ascii="Arial" w:hAnsi="Arial" w:cs="Arial"/>
              </w:rPr>
            </w:pPr>
            <w:r w:rsidRPr="0028138B">
              <w:rPr>
                <w:rFonts w:ascii="Arial" w:hAnsi="Arial" w:cs="Arial"/>
              </w:rPr>
              <w:t>£25.17M</w:t>
            </w:r>
          </w:p>
        </w:tc>
        <w:tc>
          <w:tcPr>
            <w:tcW w:w="1418" w:type="dxa"/>
            <w:vAlign w:val="center"/>
          </w:tcPr>
          <w:p w:rsidR="00A379F0" w:rsidRPr="0028138B" w:rsidRDefault="00A379F0" w:rsidP="00800386">
            <w:pPr>
              <w:jc w:val="center"/>
              <w:rPr>
                <w:rFonts w:ascii="Arial" w:hAnsi="Arial" w:cs="Arial"/>
              </w:rPr>
            </w:pPr>
            <w:r w:rsidRPr="0028138B">
              <w:rPr>
                <w:rFonts w:ascii="Arial" w:hAnsi="Arial" w:cs="Arial"/>
              </w:rPr>
              <w:t>£24.84</w:t>
            </w:r>
          </w:p>
        </w:tc>
      </w:tr>
      <w:tr w:rsidR="00A379F0" w:rsidRPr="0028138B" w:rsidTr="00BC7B30">
        <w:tc>
          <w:tcPr>
            <w:tcW w:w="2977" w:type="dxa"/>
          </w:tcPr>
          <w:p w:rsidR="00A379F0" w:rsidRPr="0028138B" w:rsidRDefault="00A379F0" w:rsidP="00B131C6">
            <w:pPr>
              <w:rPr>
                <w:rFonts w:ascii="Arial" w:hAnsi="Arial" w:cs="Arial"/>
              </w:rPr>
            </w:pPr>
            <w:r w:rsidRPr="0028138B">
              <w:rPr>
                <w:rFonts w:ascii="Arial" w:hAnsi="Arial" w:cs="Arial"/>
              </w:rPr>
              <w:t>Broadband and ICT</w:t>
            </w:r>
          </w:p>
        </w:tc>
        <w:tc>
          <w:tcPr>
            <w:tcW w:w="1417" w:type="dxa"/>
            <w:vAlign w:val="center"/>
          </w:tcPr>
          <w:p w:rsidR="00A379F0" w:rsidRPr="0028138B" w:rsidRDefault="00A379F0" w:rsidP="00800386">
            <w:pPr>
              <w:jc w:val="center"/>
              <w:rPr>
                <w:rFonts w:ascii="Arial" w:hAnsi="Arial" w:cs="Arial"/>
              </w:rPr>
            </w:pPr>
            <w:r w:rsidRPr="0028138B">
              <w:rPr>
                <w:rFonts w:ascii="Arial" w:hAnsi="Arial" w:cs="Arial"/>
              </w:rPr>
              <w:t>£0.53M</w:t>
            </w:r>
          </w:p>
        </w:tc>
        <w:tc>
          <w:tcPr>
            <w:tcW w:w="1418" w:type="dxa"/>
            <w:vAlign w:val="center"/>
          </w:tcPr>
          <w:p w:rsidR="00A379F0" w:rsidRPr="0028138B" w:rsidRDefault="00A379F0" w:rsidP="00800386">
            <w:pPr>
              <w:jc w:val="center"/>
              <w:rPr>
                <w:rFonts w:ascii="Arial" w:hAnsi="Arial" w:cs="Arial"/>
              </w:rPr>
            </w:pPr>
            <w:r w:rsidRPr="0028138B">
              <w:rPr>
                <w:rFonts w:ascii="Arial" w:hAnsi="Arial" w:cs="Arial"/>
              </w:rPr>
              <w:t>£.50M</w:t>
            </w:r>
          </w:p>
        </w:tc>
      </w:tr>
      <w:tr w:rsidR="00A379F0" w:rsidRPr="0028138B" w:rsidTr="00BC7B30">
        <w:tc>
          <w:tcPr>
            <w:tcW w:w="2977" w:type="dxa"/>
          </w:tcPr>
          <w:p w:rsidR="00A379F0" w:rsidRPr="0028138B" w:rsidRDefault="00A379F0" w:rsidP="00B131C6">
            <w:pPr>
              <w:rPr>
                <w:rFonts w:ascii="Arial" w:hAnsi="Arial" w:cs="Arial"/>
              </w:rPr>
            </w:pPr>
            <w:r w:rsidRPr="0028138B">
              <w:rPr>
                <w:rFonts w:ascii="Arial" w:hAnsi="Arial" w:cs="Arial"/>
              </w:rPr>
              <w:t>Business Support</w:t>
            </w:r>
          </w:p>
        </w:tc>
        <w:tc>
          <w:tcPr>
            <w:tcW w:w="1417" w:type="dxa"/>
            <w:vAlign w:val="center"/>
          </w:tcPr>
          <w:p w:rsidR="00A379F0" w:rsidRPr="0028138B" w:rsidRDefault="00A379F0" w:rsidP="00800386">
            <w:pPr>
              <w:jc w:val="center"/>
              <w:rPr>
                <w:rFonts w:ascii="Arial" w:hAnsi="Arial" w:cs="Arial"/>
              </w:rPr>
            </w:pPr>
            <w:r w:rsidRPr="0028138B">
              <w:rPr>
                <w:rFonts w:ascii="Arial" w:hAnsi="Arial" w:cs="Arial"/>
              </w:rPr>
              <w:t>£46.14M</w:t>
            </w:r>
          </w:p>
        </w:tc>
        <w:tc>
          <w:tcPr>
            <w:tcW w:w="1418" w:type="dxa"/>
            <w:vAlign w:val="center"/>
          </w:tcPr>
          <w:p w:rsidR="00A379F0" w:rsidRPr="0028138B" w:rsidRDefault="00A379F0" w:rsidP="00800386">
            <w:pPr>
              <w:jc w:val="center"/>
              <w:rPr>
                <w:rFonts w:ascii="Arial" w:hAnsi="Arial" w:cs="Arial"/>
              </w:rPr>
            </w:pPr>
            <w:r w:rsidRPr="0028138B">
              <w:rPr>
                <w:rFonts w:ascii="Arial" w:hAnsi="Arial" w:cs="Arial"/>
              </w:rPr>
              <w:t>£39.97M</w:t>
            </w:r>
          </w:p>
        </w:tc>
      </w:tr>
      <w:tr w:rsidR="00A379F0" w:rsidRPr="0028138B" w:rsidTr="00BC7B30">
        <w:tc>
          <w:tcPr>
            <w:tcW w:w="2977" w:type="dxa"/>
          </w:tcPr>
          <w:p w:rsidR="00A379F0" w:rsidRPr="0028138B" w:rsidRDefault="00A379F0" w:rsidP="00B131C6">
            <w:pPr>
              <w:rPr>
                <w:rFonts w:ascii="Arial" w:hAnsi="Arial" w:cs="Arial"/>
              </w:rPr>
            </w:pPr>
            <w:r w:rsidRPr="0028138B">
              <w:rPr>
                <w:rFonts w:ascii="Arial" w:hAnsi="Arial" w:cs="Arial"/>
              </w:rPr>
              <w:t>Low Carbon</w:t>
            </w:r>
          </w:p>
        </w:tc>
        <w:tc>
          <w:tcPr>
            <w:tcW w:w="1417" w:type="dxa"/>
            <w:vAlign w:val="center"/>
          </w:tcPr>
          <w:p w:rsidR="00A379F0" w:rsidRPr="0028138B" w:rsidRDefault="00A379F0" w:rsidP="00800386">
            <w:pPr>
              <w:jc w:val="center"/>
              <w:rPr>
                <w:rFonts w:ascii="Arial" w:hAnsi="Arial" w:cs="Arial"/>
              </w:rPr>
            </w:pPr>
            <w:r w:rsidRPr="0028138B">
              <w:rPr>
                <w:rFonts w:ascii="Arial" w:hAnsi="Arial" w:cs="Arial"/>
              </w:rPr>
              <w:t>£15.01M</w:t>
            </w:r>
          </w:p>
        </w:tc>
        <w:tc>
          <w:tcPr>
            <w:tcW w:w="1418" w:type="dxa"/>
            <w:vAlign w:val="center"/>
          </w:tcPr>
          <w:p w:rsidR="00A379F0" w:rsidRPr="0028138B" w:rsidRDefault="00A379F0" w:rsidP="00800386">
            <w:pPr>
              <w:jc w:val="center"/>
              <w:rPr>
                <w:rFonts w:ascii="Arial" w:hAnsi="Arial" w:cs="Arial"/>
              </w:rPr>
            </w:pPr>
            <w:r w:rsidRPr="0028138B">
              <w:rPr>
                <w:rFonts w:ascii="Arial" w:hAnsi="Arial" w:cs="Arial"/>
              </w:rPr>
              <w:t>£14.50</w:t>
            </w:r>
          </w:p>
        </w:tc>
      </w:tr>
      <w:tr w:rsidR="00A379F0" w:rsidRPr="0028138B" w:rsidTr="00BC7B30">
        <w:tc>
          <w:tcPr>
            <w:tcW w:w="2977" w:type="dxa"/>
          </w:tcPr>
          <w:p w:rsidR="00A379F0" w:rsidRPr="0028138B" w:rsidRDefault="00A379F0" w:rsidP="00B131C6">
            <w:pPr>
              <w:rPr>
                <w:rFonts w:ascii="Arial" w:hAnsi="Arial" w:cs="Arial"/>
              </w:rPr>
            </w:pPr>
            <w:r w:rsidRPr="0028138B">
              <w:rPr>
                <w:rFonts w:ascii="Arial" w:hAnsi="Arial" w:cs="Arial"/>
              </w:rPr>
              <w:t>Flood Mitigation</w:t>
            </w:r>
          </w:p>
        </w:tc>
        <w:tc>
          <w:tcPr>
            <w:tcW w:w="1417" w:type="dxa"/>
            <w:vAlign w:val="center"/>
          </w:tcPr>
          <w:p w:rsidR="00A379F0" w:rsidRPr="0028138B" w:rsidRDefault="00A379F0" w:rsidP="00800386">
            <w:pPr>
              <w:jc w:val="center"/>
              <w:rPr>
                <w:rFonts w:ascii="Arial" w:hAnsi="Arial" w:cs="Arial"/>
              </w:rPr>
            </w:pPr>
            <w:r w:rsidRPr="0028138B">
              <w:rPr>
                <w:rFonts w:ascii="Arial" w:hAnsi="Arial" w:cs="Arial"/>
              </w:rPr>
              <w:t>£0.94M</w:t>
            </w:r>
          </w:p>
        </w:tc>
        <w:tc>
          <w:tcPr>
            <w:tcW w:w="1418" w:type="dxa"/>
            <w:vAlign w:val="center"/>
          </w:tcPr>
          <w:p w:rsidR="00A379F0" w:rsidRPr="0028138B" w:rsidRDefault="00A379F0" w:rsidP="00800386">
            <w:pPr>
              <w:jc w:val="center"/>
              <w:rPr>
                <w:rFonts w:ascii="Arial" w:hAnsi="Arial" w:cs="Arial"/>
              </w:rPr>
            </w:pPr>
            <w:r w:rsidRPr="0028138B">
              <w:rPr>
                <w:rFonts w:ascii="Arial" w:hAnsi="Arial" w:cs="Arial"/>
              </w:rPr>
              <w:t>£0.94</w:t>
            </w:r>
          </w:p>
        </w:tc>
      </w:tr>
      <w:tr w:rsidR="00A379F0" w:rsidRPr="0028138B" w:rsidTr="00BC7B30">
        <w:tc>
          <w:tcPr>
            <w:tcW w:w="2977" w:type="dxa"/>
          </w:tcPr>
          <w:p w:rsidR="00A379F0" w:rsidRPr="0028138B" w:rsidRDefault="00A379F0" w:rsidP="00B131C6">
            <w:pPr>
              <w:rPr>
                <w:rFonts w:ascii="Arial" w:hAnsi="Arial" w:cs="Arial"/>
              </w:rPr>
            </w:pPr>
            <w:r w:rsidRPr="0028138B">
              <w:rPr>
                <w:rFonts w:ascii="Arial" w:hAnsi="Arial" w:cs="Arial"/>
              </w:rPr>
              <w:t>Biodiversity</w:t>
            </w:r>
          </w:p>
        </w:tc>
        <w:tc>
          <w:tcPr>
            <w:tcW w:w="1417" w:type="dxa"/>
            <w:vAlign w:val="center"/>
          </w:tcPr>
          <w:p w:rsidR="00A379F0" w:rsidRPr="0028138B" w:rsidRDefault="00A379F0" w:rsidP="00800386">
            <w:pPr>
              <w:jc w:val="center"/>
              <w:rPr>
                <w:rFonts w:ascii="Arial" w:hAnsi="Arial" w:cs="Arial"/>
              </w:rPr>
            </w:pPr>
            <w:r w:rsidRPr="0028138B">
              <w:rPr>
                <w:rFonts w:ascii="Arial" w:hAnsi="Arial" w:cs="Arial"/>
              </w:rPr>
              <w:t>£3.06M</w:t>
            </w:r>
          </w:p>
        </w:tc>
        <w:tc>
          <w:tcPr>
            <w:tcW w:w="1418" w:type="dxa"/>
            <w:vAlign w:val="center"/>
          </w:tcPr>
          <w:p w:rsidR="00A379F0" w:rsidRPr="0028138B" w:rsidRDefault="00A379F0" w:rsidP="00800386">
            <w:pPr>
              <w:jc w:val="center"/>
              <w:rPr>
                <w:rFonts w:ascii="Arial" w:hAnsi="Arial" w:cs="Arial"/>
              </w:rPr>
            </w:pPr>
            <w:r w:rsidRPr="0028138B">
              <w:rPr>
                <w:rFonts w:ascii="Arial" w:hAnsi="Arial" w:cs="Arial"/>
              </w:rPr>
              <w:t>£2.75M</w:t>
            </w:r>
          </w:p>
        </w:tc>
      </w:tr>
      <w:tr w:rsidR="00A379F0" w:rsidRPr="0028138B" w:rsidTr="00BC7B30">
        <w:tc>
          <w:tcPr>
            <w:tcW w:w="2977" w:type="dxa"/>
          </w:tcPr>
          <w:p w:rsidR="00A379F0" w:rsidRPr="0028138B" w:rsidRDefault="00A379F0" w:rsidP="00B131C6">
            <w:pPr>
              <w:rPr>
                <w:rFonts w:ascii="Arial" w:hAnsi="Arial" w:cs="Arial"/>
              </w:rPr>
            </w:pPr>
            <w:r w:rsidRPr="0028138B">
              <w:rPr>
                <w:rFonts w:ascii="Arial" w:hAnsi="Arial" w:cs="Arial"/>
              </w:rPr>
              <w:t>Total</w:t>
            </w:r>
          </w:p>
        </w:tc>
        <w:tc>
          <w:tcPr>
            <w:tcW w:w="1417" w:type="dxa"/>
            <w:vAlign w:val="center"/>
          </w:tcPr>
          <w:p w:rsidR="00A379F0" w:rsidRPr="0028138B" w:rsidRDefault="00A379F0" w:rsidP="00800386">
            <w:pPr>
              <w:jc w:val="center"/>
              <w:rPr>
                <w:rFonts w:ascii="Arial" w:hAnsi="Arial" w:cs="Arial"/>
              </w:rPr>
            </w:pPr>
            <w:r w:rsidRPr="0028138B">
              <w:rPr>
                <w:rFonts w:ascii="Arial" w:hAnsi="Arial" w:cs="Arial"/>
              </w:rPr>
              <w:t>£90.84M</w:t>
            </w:r>
          </w:p>
        </w:tc>
        <w:tc>
          <w:tcPr>
            <w:tcW w:w="1418" w:type="dxa"/>
            <w:vAlign w:val="center"/>
          </w:tcPr>
          <w:p w:rsidR="00A379F0" w:rsidRPr="0028138B" w:rsidRDefault="00A379F0" w:rsidP="00800386">
            <w:pPr>
              <w:jc w:val="center"/>
              <w:rPr>
                <w:rFonts w:ascii="Arial" w:hAnsi="Arial" w:cs="Arial"/>
              </w:rPr>
            </w:pPr>
            <w:r w:rsidRPr="0028138B">
              <w:rPr>
                <w:rFonts w:ascii="Arial" w:hAnsi="Arial" w:cs="Arial"/>
              </w:rPr>
              <w:t>£83.50M</w:t>
            </w:r>
          </w:p>
        </w:tc>
      </w:tr>
    </w:tbl>
    <w:p w:rsidR="00B131C6" w:rsidRPr="0028138B" w:rsidRDefault="00B131C6">
      <w:pPr>
        <w:rPr>
          <w:rFonts w:ascii="Arial" w:hAnsi="Arial" w:cs="Arial"/>
        </w:rPr>
      </w:pPr>
    </w:p>
    <w:p w:rsidR="000D2049" w:rsidRPr="0028138B" w:rsidRDefault="00A379F0">
      <w:pPr>
        <w:rPr>
          <w:rFonts w:ascii="Arial" w:hAnsi="Arial" w:cs="Arial"/>
        </w:rPr>
      </w:pPr>
      <w:r w:rsidRPr="0028138B">
        <w:rPr>
          <w:rFonts w:ascii="Arial" w:hAnsi="Arial" w:cs="Arial"/>
        </w:rPr>
        <w:t>The ERDF Programme</w:t>
      </w:r>
      <w:r w:rsidR="003B6B01">
        <w:rPr>
          <w:rFonts w:ascii="Arial" w:hAnsi="Arial" w:cs="Arial"/>
        </w:rPr>
        <w:t>,</w:t>
      </w:r>
      <w:r w:rsidRPr="0028138B">
        <w:rPr>
          <w:rFonts w:ascii="Arial" w:hAnsi="Arial" w:cs="Arial"/>
        </w:rPr>
        <w:t xml:space="preserve"> following a final round of calls for Projects in the Autumn</w:t>
      </w:r>
      <w:r w:rsidR="003B6B01">
        <w:rPr>
          <w:rFonts w:ascii="Arial" w:hAnsi="Arial" w:cs="Arial"/>
        </w:rPr>
        <w:t>,</w:t>
      </w:r>
      <w:r w:rsidRPr="0028138B">
        <w:rPr>
          <w:rFonts w:ascii="Arial" w:hAnsi="Arial" w:cs="Arial"/>
        </w:rPr>
        <w:t xml:space="preserve"> has been able to allocate £83.5M to Stoke-on-Trent and Staffordshire Projects</w:t>
      </w:r>
      <w:r w:rsidR="000848EB" w:rsidRPr="0028138B">
        <w:rPr>
          <w:rFonts w:ascii="Arial" w:hAnsi="Arial" w:cs="Arial"/>
        </w:rPr>
        <w:t xml:space="preserve">, a summary of these are contained in </w:t>
      </w:r>
      <w:r w:rsidR="000848EB" w:rsidRPr="00B75C02">
        <w:rPr>
          <w:rFonts w:ascii="Arial" w:hAnsi="Arial" w:cs="Arial"/>
        </w:rPr>
        <w:t>Annex 1.</w:t>
      </w:r>
      <w:r w:rsidR="000848EB" w:rsidRPr="0028138B">
        <w:rPr>
          <w:rFonts w:ascii="Arial" w:hAnsi="Arial" w:cs="Arial"/>
        </w:rPr>
        <w:t xml:space="preserve">  This equates to 92% of the </w:t>
      </w:r>
      <w:r w:rsidR="003B6B01">
        <w:rPr>
          <w:rFonts w:ascii="Arial" w:hAnsi="Arial" w:cs="Arial"/>
        </w:rPr>
        <w:t xml:space="preserve">LEP’s </w:t>
      </w:r>
      <w:r w:rsidR="000848EB" w:rsidRPr="0028138B">
        <w:rPr>
          <w:rFonts w:ascii="Arial" w:hAnsi="Arial" w:cs="Arial"/>
        </w:rPr>
        <w:t>ERDF programme with a residual amount of £7.34M being returned to a National Reserve Fund.</w:t>
      </w:r>
      <w:r w:rsidR="002C1549" w:rsidRPr="0028138B">
        <w:rPr>
          <w:rFonts w:ascii="Arial" w:hAnsi="Arial" w:cs="Arial"/>
        </w:rPr>
        <w:t xml:space="preserve">  A further breakdown of the ERDF commitment to projects is highlighted in the table below.</w:t>
      </w:r>
    </w:p>
    <w:p w:rsidR="00800386" w:rsidRDefault="00800386">
      <w:pPr>
        <w:rPr>
          <w:sz w:val="28"/>
        </w:rPr>
      </w:pPr>
    </w:p>
    <w:p w:rsidR="00800386" w:rsidRDefault="00800386" w:rsidP="002C1549">
      <w:pPr>
        <w:jc w:val="center"/>
        <w:rPr>
          <w:sz w:val="28"/>
        </w:rPr>
      </w:pPr>
      <w:r>
        <w:rPr>
          <w:noProof/>
          <w:sz w:val="28"/>
          <w:lang w:eastAsia="en-GB"/>
        </w:rPr>
        <w:drawing>
          <wp:inline distT="0" distB="0" distL="0" distR="0" wp14:anchorId="0CBEB669" wp14:editId="0B688109">
            <wp:extent cx="4800600" cy="1494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Allocation.png"/>
                    <pic:cNvPicPr/>
                  </pic:nvPicPr>
                  <pic:blipFill>
                    <a:blip r:embed="rId8">
                      <a:extLst>
                        <a:ext uri="{28A0092B-C50C-407E-A947-70E740481C1C}">
                          <a14:useLocalDpi xmlns:a14="http://schemas.microsoft.com/office/drawing/2010/main" val="0"/>
                        </a:ext>
                      </a:extLst>
                    </a:blip>
                    <a:stretch>
                      <a:fillRect/>
                    </a:stretch>
                  </pic:blipFill>
                  <pic:spPr>
                    <a:xfrm>
                      <a:off x="0" y="0"/>
                      <a:ext cx="4799996" cy="1493876"/>
                    </a:xfrm>
                    <a:prstGeom prst="rect">
                      <a:avLst/>
                    </a:prstGeom>
                  </pic:spPr>
                </pic:pic>
              </a:graphicData>
            </a:graphic>
          </wp:inline>
        </w:drawing>
      </w:r>
    </w:p>
    <w:p w:rsidR="00C5144F" w:rsidRDefault="00C5144F" w:rsidP="002C1549">
      <w:pPr>
        <w:jc w:val="center"/>
        <w:rPr>
          <w:sz w:val="28"/>
        </w:rPr>
      </w:pPr>
    </w:p>
    <w:p w:rsidR="00B75C02" w:rsidRPr="00050D0D" w:rsidRDefault="00B75C02" w:rsidP="00B75C02">
      <w:pPr>
        <w:rPr>
          <w:rFonts w:ascii="Arial" w:hAnsi="Arial" w:cs="Arial"/>
        </w:rPr>
      </w:pPr>
      <w:r w:rsidRPr="00050D0D">
        <w:rPr>
          <w:rFonts w:ascii="Arial" w:hAnsi="Arial" w:cs="Arial"/>
        </w:rPr>
        <w:t>In comparison with other UK LEP’s which cover Transition Areas, like that of Stoke-on-Trent and Staffordshire, the national average for ERDF committed is 70%, whilst here in Staffordshire we have achieved 92% allocation of our</w:t>
      </w:r>
      <w:r>
        <w:rPr>
          <w:rFonts w:ascii="Arial" w:hAnsi="Arial" w:cs="Arial"/>
        </w:rPr>
        <w:t xml:space="preserve"> ERDF award</w:t>
      </w:r>
      <w:r w:rsidRPr="00050D0D">
        <w:rPr>
          <w:rFonts w:ascii="Arial" w:hAnsi="Arial" w:cs="Arial"/>
        </w:rPr>
        <w:t xml:space="preserve">. </w:t>
      </w:r>
    </w:p>
    <w:p w:rsidR="00B75C02" w:rsidRDefault="00B75C02" w:rsidP="00B75C02">
      <w:pPr>
        <w:rPr>
          <w:sz w:val="28"/>
        </w:rPr>
      </w:pPr>
    </w:p>
    <w:p w:rsidR="00BC7B30" w:rsidRDefault="00BC7B30" w:rsidP="00C5144F">
      <w:pPr>
        <w:rPr>
          <w:rFonts w:ascii="Arial" w:hAnsi="Arial" w:cs="Arial"/>
          <w:b/>
          <w:sz w:val="24"/>
        </w:rPr>
      </w:pPr>
      <w:r>
        <w:rPr>
          <w:rFonts w:ascii="Arial" w:hAnsi="Arial" w:cs="Arial"/>
          <w:b/>
          <w:sz w:val="24"/>
        </w:rPr>
        <w:t>National Reserve Fund</w:t>
      </w:r>
    </w:p>
    <w:p w:rsidR="00BC7B30" w:rsidRDefault="00BC7B30" w:rsidP="00C5144F">
      <w:pPr>
        <w:rPr>
          <w:rFonts w:ascii="Arial" w:hAnsi="Arial" w:cs="Arial"/>
          <w:b/>
          <w:sz w:val="24"/>
        </w:rPr>
      </w:pPr>
    </w:p>
    <w:p w:rsidR="0091373C" w:rsidRPr="003255AB" w:rsidRDefault="0091373C" w:rsidP="00C5144F">
      <w:pPr>
        <w:rPr>
          <w:rFonts w:ascii="Arial" w:hAnsi="Arial" w:cs="Arial"/>
        </w:rPr>
      </w:pPr>
      <w:r w:rsidRPr="003255AB">
        <w:rPr>
          <w:rFonts w:ascii="Arial" w:hAnsi="Arial" w:cs="Arial"/>
        </w:rPr>
        <w:t xml:space="preserve">As noted in the above table </w:t>
      </w:r>
      <w:r w:rsidR="00054F3A" w:rsidRPr="003255AB">
        <w:rPr>
          <w:rFonts w:ascii="Arial" w:hAnsi="Arial" w:cs="Arial"/>
        </w:rPr>
        <w:t>SSLEP were unable to allocate 100% of the ERDF Programme funds.  The residual £7.34M has now been returned to Treasury, however further national calls for projects are anticipated around April/May 2020.  It is therefore important that the technical assistance team, who oversee the programme delivery at the local level</w:t>
      </w:r>
      <w:r w:rsidR="00974D83">
        <w:rPr>
          <w:rFonts w:ascii="Arial" w:hAnsi="Arial" w:cs="Arial"/>
        </w:rPr>
        <w:t>,</w:t>
      </w:r>
      <w:r w:rsidR="00054F3A" w:rsidRPr="003255AB">
        <w:rPr>
          <w:rFonts w:ascii="Arial" w:hAnsi="Arial" w:cs="Arial"/>
        </w:rPr>
        <w:t xml:space="preserve"> continue to promote this opportunity</w:t>
      </w:r>
      <w:r w:rsidR="00974D83">
        <w:rPr>
          <w:rFonts w:ascii="Arial" w:hAnsi="Arial" w:cs="Arial"/>
        </w:rPr>
        <w:t>,</w:t>
      </w:r>
      <w:r w:rsidR="00054F3A" w:rsidRPr="003255AB">
        <w:rPr>
          <w:rFonts w:ascii="Arial" w:hAnsi="Arial" w:cs="Arial"/>
        </w:rPr>
        <w:t xml:space="preserve"> and then work with any prospective applican</w:t>
      </w:r>
      <w:r w:rsidR="00974D83">
        <w:rPr>
          <w:rFonts w:ascii="Arial" w:hAnsi="Arial" w:cs="Arial"/>
        </w:rPr>
        <w:t>ts once projects are identified.</w:t>
      </w:r>
    </w:p>
    <w:p w:rsidR="00BC7B30" w:rsidRDefault="00BC7B30" w:rsidP="00C5144F">
      <w:pPr>
        <w:rPr>
          <w:rFonts w:ascii="Arial" w:hAnsi="Arial" w:cs="Arial"/>
          <w:b/>
          <w:sz w:val="24"/>
        </w:rPr>
      </w:pPr>
    </w:p>
    <w:p w:rsidR="00C5144F" w:rsidRPr="0028138B" w:rsidRDefault="00776174" w:rsidP="00C5144F">
      <w:pPr>
        <w:rPr>
          <w:rFonts w:ascii="Arial" w:hAnsi="Arial" w:cs="Arial"/>
          <w:b/>
          <w:sz w:val="24"/>
        </w:rPr>
      </w:pPr>
      <w:r w:rsidRPr="0028138B">
        <w:rPr>
          <w:rFonts w:ascii="Arial" w:hAnsi="Arial" w:cs="Arial"/>
          <w:b/>
          <w:sz w:val="24"/>
        </w:rPr>
        <w:t>Output Delivery</w:t>
      </w:r>
    </w:p>
    <w:p w:rsidR="0028138B" w:rsidRDefault="0028138B" w:rsidP="00C5144F">
      <w:pPr>
        <w:rPr>
          <w:sz w:val="28"/>
        </w:rPr>
      </w:pPr>
    </w:p>
    <w:p w:rsidR="00CD4D38" w:rsidRDefault="0028138B" w:rsidP="00C5144F">
      <w:pPr>
        <w:rPr>
          <w:rFonts w:ascii="Arial" w:hAnsi="Arial" w:cs="Arial"/>
        </w:rPr>
      </w:pPr>
      <w:r w:rsidRPr="0028138B">
        <w:rPr>
          <w:rFonts w:ascii="Arial" w:hAnsi="Arial" w:cs="Arial"/>
        </w:rPr>
        <w:t>Each of the projects</w:t>
      </w:r>
      <w:r w:rsidR="00974D83">
        <w:rPr>
          <w:rFonts w:ascii="Arial" w:hAnsi="Arial" w:cs="Arial"/>
        </w:rPr>
        <w:t xml:space="preserve"> which are successful o</w:t>
      </w:r>
      <w:r w:rsidR="00CD4D38">
        <w:rPr>
          <w:rFonts w:ascii="Arial" w:hAnsi="Arial" w:cs="Arial"/>
        </w:rPr>
        <w:t>f progressing through the two stage appraisal process</w:t>
      </w:r>
      <w:r w:rsidRPr="0028138B">
        <w:rPr>
          <w:rFonts w:ascii="Arial" w:hAnsi="Arial" w:cs="Arial"/>
        </w:rPr>
        <w:t xml:space="preserve"> </w:t>
      </w:r>
      <w:r w:rsidR="00CD4D38" w:rsidRPr="0028138B">
        <w:rPr>
          <w:rFonts w:ascii="Arial" w:hAnsi="Arial" w:cs="Arial"/>
        </w:rPr>
        <w:t>has</w:t>
      </w:r>
      <w:r w:rsidRPr="0028138B">
        <w:rPr>
          <w:rFonts w:ascii="Arial" w:hAnsi="Arial" w:cs="Arial"/>
        </w:rPr>
        <w:t xml:space="preserve"> to contract with the Department of Housing, Communities and Local Government</w:t>
      </w:r>
      <w:r w:rsidR="00CD4D38">
        <w:rPr>
          <w:rFonts w:ascii="Arial" w:hAnsi="Arial" w:cs="Arial"/>
        </w:rPr>
        <w:t>,</w:t>
      </w:r>
      <w:r w:rsidRPr="0028138B">
        <w:rPr>
          <w:rFonts w:ascii="Arial" w:hAnsi="Arial" w:cs="Arial"/>
        </w:rPr>
        <w:t xml:space="preserve"> who manage the overall programme</w:t>
      </w:r>
      <w:r w:rsidR="00CD4D38">
        <w:rPr>
          <w:rFonts w:ascii="Arial" w:hAnsi="Arial" w:cs="Arial"/>
        </w:rPr>
        <w:t>, confirming the outputs that the specific project will deliver.  Each of the Themes has within it a Key Output</w:t>
      </w:r>
      <w:r w:rsidR="00974D83">
        <w:rPr>
          <w:rFonts w:ascii="Arial" w:hAnsi="Arial" w:cs="Arial"/>
        </w:rPr>
        <w:t>,</w:t>
      </w:r>
      <w:r w:rsidR="00CD4D38">
        <w:rPr>
          <w:rFonts w:ascii="Arial" w:hAnsi="Arial" w:cs="Arial"/>
        </w:rPr>
        <w:t xml:space="preserve"> and the SSLEP programme as a whole has output targets to meet.  The table below identifies the programme targets and the estimated total, based upon contracted and pipeline outputs.  As can be seen from the table four themes are likely to vastly exceed their targets, one is likely to fall just short and one is going to seriously underperform.</w:t>
      </w:r>
      <w:bookmarkEnd w:id="1"/>
      <w:r w:rsidR="00B75C02" w:rsidRPr="00B75C02">
        <w:rPr>
          <w:rFonts w:ascii="Arial" w:hAnsi="Arial" w:cs="Arial"/>
        </w:rPr>
        <w:t xml:space="preserve"> </w:t>
      </w:r>
      <w:r w:rsidR="00B75C02">
        <w:rPr>
          <w:rFonts w:ascii="Arial" w:hAnsi="Arial" w:cs="Arial"/>
        </w:rPr>
        <w:t>**(</w:t>
      </w:r>
      <w:r w:rsidR="00B75C02" w:rsidRPr="00050D0D">
        <w:rPr>
          <w:rFonts w:ascii="Arial" w:hAnsi="Arial" w:cs="Arial"/>
          <w:i/>
        </w:rPr>
        <w:t>On the underperforming output the Managing Authority acknowledge that redundant land currently in a flood plain will be brought back into use rather than relieving existing businesses from flood risk</w:t>
      </w:r>
      <w:r w:rsidR="00B75C02">
        <w:rPr>
          <w:rFonts w:ascii="Arial" w:hAnsi="Arial" w:cs="Arial"/>
        </w:rPr>
        <w:t>)</w:t>
      </w:r>
    </w:p>
    <w:p w:rsidR="0028138B" w:rsidRPr="00AF0863" w:rsidRDefault="0028138B" w:rsidP="00C5144F">
      <w:pPr>
        <w:rPr>
          <w:rFonts w:ascii="Arial" w:hAnsi="Arial" w:cs="Arial"/>
          <w:b/>
        </w:rPr>
      </w:pPr>
    </w:p>
    <w:p w:rsidR="0028138B" w:rsidRPr="00AF0863" w:rsidRDefault="0028138B" w:rsidP="00C5144F">
      <w:pPr>
        <w:rPr>
          <w:rFonts w:ascii="Arial" w:hAnsi="Arial" w:cs="Arial"/>
          <w:b/>
        </w:rPr>
      </w:pPr>
    </w:p>
    <w:tbl>
      <w:tblPr>
        <w:tblStyle w:val="TableGrid"/>
        <w:tblW w:w="0" w:type="auto"/>
        <w:tblInd w:w="1242" w:type="dxa"/>
        <w:tblLook w:val="04A0" w:firstRow="1" w:lastRow="0" w:firstColumn="1" w:lastColumn="0" w:noHBand="0" w:noVBand="1"/>
      </w:tblPr>
      <w:tblGrid>
        <w:gridCol w:w="3969"/>
        <w:gridCol w:w="1276"/>
        <w:gridCol w:w="1134"/>
        <w:gridCol w:w="1134"/>
      </w:tblGrid>
      <w:tr w:rsidR="00C37296" w:rsidRPr="00AF0863" w:rsidTr="00C37296">
        <w:tc>
          <w:tcPr>
            <w:tcW w:w="3969" w:type="dxa"/>
            <w:shd w:val="clear" w:color="auto" w:fill="D9D9D9" w:themeFill="background1" w:themeFillShade="D9"/>
          </w:tcPr>
          <w:p w:rsidR="007C586C" w:rsidRPr="00BC7B30" w:rsidRDefault="007C586C" w:rsidP="00C5144F">
            <w:pPr>
              <w:rPr>
                <w:rFonts w:ascii="Arial" w:hAnsi="Arial" w:cs="Arial"/>
                <w:b/>
              </w:rPr>
            </w:pPr>
            <w:r w:rsidRPr="00BC7B30">
              <w:rPr>
                <w:rFonts w:ascii="Arial" w:hAnsi="Arial" w:cs="Arial"/>
                <w:b/>
              </w:rPr>
              <w:t>Theme Key Output</w:t>
            </w:r>
          </w:p>
        </w:tc>
        <w:tc>
          <w:tcPr>
            <w:tcW w:w="1276" w:type="dxa"/>
            <w:shd w:val="clear" w:color="auto" w:fill="D9D9D9" w:themeFill="background1" w:themeFillShade="D9"/>
          </w:tcPr>
          <w:p w:rsidR="007C586C" w:rsidRPr="00BC7B30" w:rsidRDefault="007C586C" w:rsidP="00C62160">
            <w:pPr>
              <w:jc w:val="center"/>
              <w:rPr>
                <w:rFonts w:ascii="Arial" w:hAnsi="Arial" w:cs="Arial"/>
                <w:b/>
              </w:rPr>
            </w:pPr>
            <w:r w:rsidRPr="00BC7B30">
              <w:rPr>
                <w:rFonts w:ascii="Arial" w:hAnsi="Arial" w:cs="Arial"/>
                <w:b/>
              </w:rPr>
              <w:t>Target</w:t>
            </w:r>
          </w:p>
        </w:tc>
        <w:tc>
          <w:tcPr>
            <w:tcW w:w="1134" w:type="dxa"/>
            <w:shd w:val="clear" w:color="auto" w:fill="D9D9D9" w:themeFill="background1" w:themeFillShade="D9"/>
          </w:tcPr>
          <w:p w:rsidR="007C586C" w:rsidRPr="00BC7B30" w:rsidRDefault="007C586C" w:rsidP="00C62160">
            <w:pPr>
              <w:jc w:val="center"/>
              <w:rPr>
                <w:rFonts w:ascii="Arial" w:hAnsi="Arial" w:cs="Arial"/>
                <w:b/>
              </w:rPr>
            </w:pPr>
            <w:r w:rsidRPr="00BC7B30">
              <w:rPr>
                <w:rFonts w:ascii="Arial" w:hAnsi="Arial" w:cs="Arial"/>
                <w:b/>
              </w:rPr>
              <w:t>Total</w:t>
            </w:r>
          </w:p>
        </w:tc>
        <w:tc>
          <w:tcPr>
            <w:tcW w:w="1134" w:type="dxa"/>
            <w:tcBorders>
              <w:bottom w:val="single" w:sz="4" w:space="0" w:color="auto"/>
            </w:tcBorders>
            <w:shd w:val="clear" w:color="auto" w:fill="D9D9D9" w:themeFill="background1" w:themeFillShade="D9"/>
          </w:tcPr>
          <w:p w:rsidR="007C586C" w:rsidRPr="00BC7B30" w:rsidRDefault="00C62160" w:rsidP="00C62160">
            <w:pPr>
              <w:jc w:val="center"/>
              <w:rPr>
                <w:rFonts w:ascii="Arial" w:hAnsi="Arial" w:cs="Arial"/>
                <w:b/>
              </w:rPr>
            </w:pPr>
            <w:r w:rsidRPr="00BC7B30">
              <w:rPr>
                <w:rFonts w:ascii="Arial" w:hAnsi="Arial" w:cs="Arial"/>
                <w:b/>
              </w:rPr>
              <w:t>Variance</w:t>
            </w:r>
          </w:p>
          <w:p w:rsidR="00C62160" w:rsidRPr="00BC7B30" w:rsidRDefault="00C62160" w:rsidP="00C62160">
            <w:pPr>
              <w:jc w:val="center"/>
              <w:rPr>
                <w:rFonts w:ascii="Arial" w:hAnsi="Arial" w:cs="Arial"/>
                <w:b/>
              </w:rPr>
            </w:pPr>
          </w:p>
        </w:tc>
      </w:tr>
      <w:tr w:rsidR="00C37296" w:rsidTr="00C37296">
        <w:tc>
          <w:tcPr>
            <w:tcW w:w="3969" w:type="dxa"/>
          </w:tcPr>
          <w:p w:rsidR="007C586C" w:rsidRPr="00BC7B30" w:rsidRDefault="007C586C" w:rsidP="00C5144F">
            <w:pPr>
              <w:rPr>
                <w:rFonts w:ascii="Arial" w:hAnsi="Arial" w:cs="Arial"/>
              </w:rPr>
            </w:pPr>
            <w:r w:rsidRPr="00BC7B30">
              <w:rPr>
                <w:rFonts w:ascii="Arial" w:hAnsi="Arial" w:cs="Arial"/>
              </w:rPr>
              <w:t>Innovation – enterprises receiving support</w:t>
            </w:r>
          </w:p>
        </w:tc>
        <w:tc>
          <w:tcPr>
            <w:tcW w:w="1276" w:type="dxa"/>
            <w:vAlign w:val="center"/>
          </w:tcPr>
          <w:p w:rsidR="007C586C" w:rsidRPr="00BC7B30" w:rsidRDefault="007C586C" w:rsidP="007C586C">
            <w:pPr>
              <w:jc w:val="center"/>
              <w:rPr>
                <w:rFonts w:ascii="Arial" w:hAnsi="Arial" w:cs="Arial"/>
              </w:rPr>
            </w:pPr>
            <w:r w:rsidRPr="00BC7B30">
              <w:rPr>
                <w:rFonts w:ascii="Arial" w:hAnsi="Arial" w:cs="Arial"/>
              </w:rPr>
              <w:t>712</w:t>
            </w:r>
          </w:p>
        </w:tc>
        <w:tc>
          <w:tcPr>
            <w:tcW w:w="1134" w:type="dxa"/>
            <w:vAlign w:val="center"/>
          </w:tcPr>
          <w:p w:rsidR="007C586C" w:rsidRPr="00BC7B30" w:rsidRDefault="007C586C" w:rsidP="007C586C">
            <w:pPr>
              <w:jc w:val="center"/>
              <w:rPr>
                <w:rFonts w:ascii="Arial" w:hAnsi="Arial" w:cs="Arial"/>
              </w:rPr>
            </w:pPr>
            <w:r w:rsidRPr="00BC7B30">
              <w:rPr>
                <w:rFonts w:ascii="Arial" w:hAnsi="Arial" w:cs="Arial"/>
              </w:rPr>
              <w:t>1316</w:t>
            </w:r>
          </w:p>
        </w:tc>
        <w:tc>
          <w:tcPr>
            <w:tcW w:w="1134" w:type="dxa"/>
            <w:tcBorders>
              <w:bottom w:val="single" w:sz="4" w:space="0" w:color="auto"/>
            </w:tcBorders>
            <w:shd w:val="clear" w:color="auto" w:fill="92D050"/>
            <w:vAlign w:val="center"/>
          </w:tcPr>
          <w:p w:rsidR="007C586C" w:rsidRPr="00BC7B30" w:rsidRDefault="00C62160" w:rsidP="007C586C">
            <w:pPr>
              <w:jc w:val="center"/>
              <w:rPr>
                <w:rFonts w:ascii="Arial" w:hAnsi="Arial" w:cs="Arial"/>
              </w:rPr>
            </w:pPr>
            <w:r w:rsidRPr="00BC7B30">
              <w:rPr>
                <w:rFonts w:ascii="Arial" w:hAnsi="Arial" w:cs="Arial"/>
              </w:rPr>
              <w:t>+604</w:t>
            </w:r>
          </w:p>
        </w:tc>
      </w:tr>
      <w:tr w:rsidR="00C37296" w:rsidTr="00C37296">
        <w:tc>
          <w:tcPr>
            <w:tcW w:w="3969" w:type="dxa"/>
          </w:tcPr>
          <w:p w:rsidR="007C586C" w:rsidRPr="00BC7B30" w:rsidRDefault="007C586C" w:rsidP="00C5144F">
            <w:pPr>
              <w:rPr>
                <w:rFonts w:ascii="Arial" w:hAnsi="Arial" w:cs="Arial"/>
              </w:rPr>
            </w:pPr>
            <w:r w:rsidRPr="00BC7B30">
              <w:rPr>
                <w:rFonts w:ascii="Arial" w:hAnsi="Arial" w:cs="Arial"/>
              </w:rPr>
              <w:t>Broadband &amp; ICT – enterprises receiving support</w:t>
            </w:r>
          </w:p>
        </w:tc>
        <w:tc>
          <w:tcPr>
            <w:tcW w:w="1276" w:type="dxa"/>
            <w:vAlign w:val="center"/>
          </w:tcPr>
          <w:p w:rsidR="007C586C" w:rsidRPr="00BC7B30" w:rsidRDefault="007C586C" w:rsidP="007C586C">
            <w:pPr>
              <w:jc w:val="center"/>
              <w:rPr>
                <w:rFonts w:ascii="Arial" w:hAnsi="Arial" w:cs="Arial"/>
              </w:rPr>
            </w:pPr>
            <w:r w:rsidRPr="00BC7B30">
              <w:rPr>
                <w:rFonts w:ascii="Arial" w:hAnsi="Arial" w:cs="Arial"/>
              </w:rPr>
              <w:t>101</w:t>
            </w:r>
          </w:p>
        </w:tc>
        <w:tc>
          <w:tcPr>
            <w:tcW w:w="1134" w:type="dxa"/>
            <w:vAlign w:val="center"/>
          </w:tcPr>
          <w:p w:rsidR="007C586C" w:rsidRPr="00BC7B30" w:rsidRDefault="007C586C" w:rsidP="007C586C">
            <w:pPr>
              <w:jc w:val="center"/>
              <w:rPr>
                <w:rFonts w:ascii="Arial" w:hAnsi="Arial" w:cs="Arial"/>
              </w:rPr>
            </w:pPr>
            <w:r w:rsidRPr="00BC7B30">
              <w:rPr>
                <w:rFonts w:ascii="Arial" w:hAnsi="Arial" w:cs="Arial"/>
              </w:rPr>
              <w:t>500</w:t>
            </w:r>
          </w:p>
        </w:tc>
        <w:tc>
          <w:tcPr>
            <w:tcW w:w="1134" w:type="dxa"/>
            <w:tcBorders>
              <w:bottom w:val="single" w:sz="4" w:space="0" w:color="auto"/>
            </w:tcBorders>
            <w:shd w:val="clear" w:color="auto" w:fill="92D050"/>
            <w:vAlign w:val="center"/>
          </w:tcPr>
          <w:p w:rsidR="007C586C" w:rsidRPr="00BC7B30" w:rsidRDefault="00C62160" w:rsidP="007C586C">
            <w:pPr>
              <w:jc w:val="center"/>
              <w:rPr>
                <w:rFonts w:ascii="Arial" w:hAnsi="Arial" w:cs="Arial"/>
              </w:rPr>
            </w:pPr>
            <w:r w:rsidRPr="00BC7B30">
              <w:rPr>
                <w:rFonts w:ascii="Arial" w:hAnsi="Arial" w:cs="Arial"/>
              </w:rPr>
              <w:t>+398</w:t>
            </w:r>
          </w:p>
        </w:tc>
      </w:tr>
      <w:tr w:rsidR="00C37296" w:rsidTr="00C37296">
        <w:tc>
          <w:tcPr>
            <w:tcW w:w="3969" w:type="dxa"/>
          </w:tcPr>
          <w:p w:rsidR="007C586C" w:rsidRPr="00BC7B30" w:rsidRDefault="007C586C" w:rsidP="00C5144F">
            <w:pPr>
              <w:rPr>
                <w:rFonts w:ascii="Arial" w:hAnsi="Arial" w:cs="Arial"/>
              </w:rPr>
            </w:pPr>
            <w:r w:rsidRPr="00BC7B30">
              <w:rPr>
                <w:rFonts w:ascii="Arial" w:hAnsi="Arial" w:cs="Arial"/>
              </w:rPr>
              <w:t>Business Support – enterprises receiving support</w:t>
            </w:r>
          </w:p>
        </w:tc>
        <w:tc>
          <w:tcPr>
            <w:tcW w:w="1276" w:type="dxa"/>
            <w:vAlign w:val="center"/>
          </w:tcPr>
          <w:p w:rsidR="007C586C" w:rsidRPr="00BC7B30" w:rsidRDefault="007C586C" w:rsidP="007C586C">
            <w:pPr>
              <w:jc w:val="center"/>
              <w:rPr>
                <w:rFonts w:ascii="Arial" w:hAnsi="Arial" w:cs="Arial"/>
              </w:rPr>
            </w:pPr>
            <w:r w:rsidRPr="00BC7B30">
              <w:rPr>
                <w:rFonts w:ascii="Arial" w:hAnsi="Arial" w:cs="Arial"/>
              </w:rPr>
              <w:t>4065</w:t>
            </w:r>
          </w:p>
        </w:tc>
        <w:tc>
          <w:tcPr>
            <w:tcW w:w="1134" w:type="dxa"/>
            <w:vAlign w:val="center"/>
          </w:tcPr>
          <w:p w:rsidR="007C586C" w:rsidRPr="00BC7B30" w:rsidRDefault="00C62160" w:rsidP="007C586C">
            <w:pPr>
              <w:jc w:val="center"/>
              <w:rPr>
                <w:rFonts w:ascii="Arial" w:hAnsi="Arial" w:cs="Arial"/>
              </w:rPr>
            </w:pPr>
            <w:r w:rsidRPr="00BC7B30">
              <w:rPr>
                <w:rFonts w:ascii="Arial" w:hAnsi="Arial" w:cs="Arial"/>
              </w:rPr>
              <w:t>3831</w:t>
            </w:r>
          </w:p>
        </w:tc>
        <w:tc>
          <w:tcPr>
            <w:tcW w:w="1134" w:type="dxa"/>
            <w:tcBorders>
              <w:bottom w:val="single" w:sz="4" w:space="0" w:color="auto"/>
            </w:tcBorders>
            <w:shd w:val="clear" w:color="auto" w:fill="FFC000"/>
            <w:vAlign w:val="center"/>
          </w:tcPr>
          <w:p w:rsidR="007C586C" w:rsidRPr="00BC7B30" w:rsidRDefault="00C62160" w:rsidP="007C586C">
            <w:pPr>
              <w:jc w:val="center"/>
              <w:rPr>
                <w:rFonts w:ascii="Arial" w:hAnsi="Arial" w:cs="Arial"/>
              </w:rPr>
            </w:pPr>
            <w:r w:rsidRPr="00BC7B30">
              <w:rPr>
                <w:rFonts w:ascii="Arial" w:hAnsi="Arial" w:cs="Arial"/>
              </w:rPr>
              <w:t>-234</w:t>
            </w:r>
          </w:p>
        </w:tc>
      </w:tr>
      <w:tr w:rsidR="00C37296" w:rsidTr="00C37296">
        <w:tc>
          <w:tcPr>
            <w:tcW w:w="3969" w:type="dxa"/>
          </w:tcPr>
          <w:p w:rsidR="007C586C" w:rsidRPr="00BC7B30" w:rsidRDefault="007C586C" w:rsidP="00C5144F">
            <w:pPr>
              <w:rPr>
                <w:rFonts w:ascii="Arial" w:hAnsi="Arial" w:cs="Arial"/>
              </w:rPr>
            </w:pPr>
            <w:r w:rsidRPr="00BC7B30">
              <w:rPr>
                <w:rFonts w:ascii="Arial" w:hAnsi="Arial" w:cs="Arial"/>
              </w:rPr>
              <w:t>Low Carbon – Reduction in tonnes of Co2</w:t>
            </w:r>
          </w:p>
        </w:tc>
        <w:tc>
          <w:tcPr>
            <w:tcW w:w="1276" w:type="dxa"/>
            <w:vAlign w:val="center"/>
          </w:tcPr>
          <w:p w:rsidR="007C586C" w:rsidRPr="00BC7B30" w:rsidRDefault="007C586C" w:rsidP="007C586C">
            <w:pPr>
              <w:jc w:val="center"/>
              <w:rPr>
                <w:rFonts w:ascii="Arial" w:hAnsi="Arial" w:cs="Arial"/>
              </w:rPr>
            </w:pPr>
            <w:r w:rsidRPr="00BC7B30">
              <w:rPr>
                <w:rFonts w:ascii="Arial" w:hAnsi="Arial" w:cs="Arial"/>
              </w:rPr>
              <w:t>6577</w:t>
            </w:r>
          </w:p>
        </w:tc>
        <w:tc>
          <w:tcPr>
            <w:tcW w:w="1134" w:type="dxa"/>
            <w:vAlign w:val="center"/>
          </w:tcPr>
          <w:p w:rsidR="007C586C" w:rsidRPr="00BC7B30" w:rsidRDefault="00C62160" w:rsidP="007C586C">
            <w:pPr>
              <w:jc w:val="center"/>
              <w:rPr>
                <w:rFonts w:ascii="Arial" w:hAnsi="Arial" w:cs="Arial"/>
              </w:rPr>
            </w:pPr>
            <w:r w:rsidRPr="00BC7B30">
              <w:rPr>
                <w:rFonts w:ascii="Arial" w:hAnsi="Arial" w:cs="Arial"/>
              </w:rPr>
              <w:t>44660</w:t>
            </w:r>
          </w:p>
        </w:tc>
        <w:tc>
          <w:tcPr>
            <w:tcW w:w="1134" w:type="dxa"/>
            <w:tcBorders>
              <w:bottom w:val="single" w:sz="4" w:space="0" w:color="auto"/>
            </w:tcBorders>
            <w:shd w:val="clear" w:color="auto" w:fill="92D050"/>
            <w:vAlign w:val="center"/>
          </w:tcPr>
          <w:p w:rsidR="007C586C" w:rsidRPr="00BC7B30" w:rsidRDefault="00C62160" w:rsidP="007C586C">
            <w:pPr>
              <w:jc w:val="center"/>
              <w:rPr>
                <w:rFonts w:ascii="Arial" w:hAnsi="Arial" w:cs="Arial"/>
              </w:rPr>
            </w:pPr>
            <w:r w:rsidRPr="00BC7B30">
              <w:rPr>
                <w:rFonts w:ascii="Arial" w:hAnsi="Arial" w:cs="Arial"/>
              </w:rPr>
              <w:t>+38082</w:t>
            </w:r>
          </w:p>
        </w:tc>
      </w:tr>
      <w:tr w:rsidR="00C37296" w:rsidTr="00C37296">
        <w:tc>
          <w:tcPr>
            <w:tcW w:w="3969" w:type="dxa"/>
          </w:tcPr>
          <w:p w:rsidR="007C586C" w:rsidRPr="00BC7B30" w:rsidRDefault="007C586C" w:rsidP="00C5144F">
            <w:pPr>
              <w:rPr>
                <w:rFonts w:ascii="Arial" w:hAnsi="Arial" w:cs="Arial"/>
              </w:rPr>
            </w:pPr>
            <w:r w:rsidRPr="00BC7B30">
              <w:rPr>
                <w:rFonts w:ascii="Arial" w:hAnsi="Arial" w:cs="Arial"/>
              </w:rPr>
              <w:lastRenderedPageBreak/>
              <w:t>Flood Mitigation – Commercial properties with reduced flood risk</w:t>
            </w:r>
          </w:p>
        </w:tc>
        <w:tc>
          <w:tcPr>
            <w:tcW w:w="1276" w:type="dxa"/>
            <w:vAlign w:val="center"/>
          </w:tcPr>
          <w:p w:rsidR="007C586C" w:rsidRPr="00BC7B30" w:rsidRDefault="007C586C" w:rsidP="007C586C">
            <w:pPr>
              <w:jc w:val="center"/>
              <w:rPr>
                <w:rFonts w:ascii="Arial" w:hAnsi="Arial" w:cs="Arial"/>
              </w:rPr>
            </w:pPr>
            <w:r w:rsidRPr="00BC7B30">
              <w:rPr>
                <w:rFonts w:ascii="Arial" w:hAnsi="Arial" w:cs="Arial"/>
              </w:rPr>
              <w:t>107</w:t>
            </w:r>
          </w:p>
        </w:tc>
        <w:tc>
          <w:tcPr>
            <w:tcW w:w="1134" w:type="dxa"/>
            <w:vAlign w:val="center"/>
          </w:tcPr>
          <w:p w:rsidR="007C586C" w:rsidRPr="00BC7B30" w:rsidRDefault="00C62160" w:rsidP="007C586C">
            <w:pPr>
              <w:jc w:val="center"/>
              <w:rPr>
                <w:rFonts w:ascii="Arial" w:hAnsi="Arial" w:cs="Arial"/>
              </w:rPr>
            </w:pPr>
            <w:r w:rsidRPr="00BC7B30">
              <w:rPr>
                <w:rFonts w:ascii="Arial" w:hAnsi="Arial" w:cs="Arial"/>
              </w:rPr>
              <w:t>6</w:t>
            </w:r>
          </w:p>
        </w:tc>
        <w:tc>
          <w:tcPr>
            <w:tcW w:w="1134" w:type="dxa"/>
            <w:tcBorders>
              <w:bottom w:val="single" w:sz="4" w:space="0" w:color="auto"/>
            </w:tcBorders>
            <w:shd w:val="clear" w:color="auto" w:fill="FF0000"/>
            <w:vAlign w:val="center"/>
          </w:tcPr>
          <w:p w:rsidR="007C586C" w:rsidRPr="00BC7B30" w:rsidRDefault="00C62160" w:rsidP="007C586C">
            <w:pPr>
              <w:jc w:val="center"/>
              <w:rPr>
                <w:rFonts w:ascii="Arial" w:hAnsi="Arial" w:cs="Arial"/>
              </w:rPr>
            </w:pPr>
            <w:r w:rsidRPr="00BC7B30">
              <w:rPr>
                <w:rFonts w:ascii="Arial" w:hAnsi="Arial" w:cs="Arial"/>
                <w:color w:val="FFFFFF" w:themeColor="background1"/>
                <w:highlight w:val="red"/>
              </w:rPr>
              <w:t>-107</w:t>
            </w:r>
            <w:r w:rsidR="00B75C02">
              <w:rPr>
                <w:rFonts w:ascii="Arial" w:hAnsi="Arial" w:cs="Arial"/>
                <w:color w:val="FFFFFF" w:themeColor="background1"/>
              </w:rPr>
              <w:t>**</w:t>
            </w:r>
          </w:p>
        </w:tc>
      </w:tr>
      <w:tr w:rsidR="00C37296" w:rsidTr="00C37296">
        <w:tc>
          <w:tcPr>
            <w:tcW w:w="3969" w:type="dxa"/>
          </w:tcPr>
          <w:p w:rsidR="007C586C" w:rsidRPr="00BC7B30" w:rsidRDefault="007C586C" w:rsidP="00C5144F">
            <w:pPr>
              <w:rPr>
                <w:rFonts w:ascii="Arial" w:hAnsi="Arial" w:cs="Arial"/>
              </w:rPr>
            </w:pPr>
            <w:r w:rsidRPr="00BC7B30">
              <w:rPr>
                <w:rFonts w:ascii="Arial" w:hAnsi="Arial" w:cs="Arial"/>
              </w:rPr>
              <w:t xml:space="preserve">Biodiversity – </w:t>
            </w:r>
            <w:proofErr w:type="spellStart"/>
            <w:r w:rsidRPr="00BC7B30">
              <w:rPr>
                <w:rFonts w:ascii="Arial" w:hAnsi="Arial" w:cs="Arial"/>
              </w:rPr>
              <w:t>Hec</w:t>
            </w:r>
            <w:proofErr w:type="spellEnd"/>
            <w:r w:rsidRPr="00BC7B30">
              <w:rPr>
                <w:rFonts w:ascii="Arial" w:hAnsi="Arial" w:cs="Arial"/>
              </w:rPr>
              <w:t xml:space="preserve"> with improved conservation status</w:t>
            </w:r>
          </w:p>
        </w:tc>
        <w:tc>
          <w:tcPr>
            <w:tcW w:w="1276" w:type="dxa"/>
            <w:vAlign w:val="center"/>
          </w:tcPr>
          <w:p w:rsidR="007C586C" w:rsidRPr="00BC7B30" w:rsidRDefault="007C586C" w:rsidP="007C586C">
            <w:pPr>
              <w:jc w:val="center"/>
              <w:rPr>
                <w:rFonts w:ascii="Arial" w:hAnsi="Arial" w:cs="Arial"/>
              </w:rPr>
            </w:pPr>
            <w:r w:rsidRPr="00BC7B30">
              <w:rPr>
                <w:rFonts w:ascii="Arial" w:hAnsi="Arial" w:cs="Arial"/>
              </w:rPr>
              <w:t>53</w:t>
            </w:r>
          </w:p>
        </w:tc>
        <w:tc>
          <w:tcPr>
            <w:tcW w:w="1134" w:type="dxa"/>
            <w:vAlign w:val="center"/>
          </w:tcPr>
          <w:p w:rsidR="007C586C" w:rsidRPr="00BC7B30" w:rsidRDefault="00C62160" w:rsidP="007C586C">
            <w:pPr>
              <w:jc w:val="center"/>
              <w:rPr>
                <w:rFonts w:ascii="Arial" w:hAnsi="Arial" w:cs="Arial"/>
              </w:rPr>
            </w:pPr>
            <w:r w:rsidRPr="00BC7B30">
              <w:rPr>
                <w:rFonts w:ascii="Arial" w:hAnsi="Arial" w:cs="Arial"/>
              </w:rPr>
              <w:t>135</w:t>
            </w:r>
          </w:p>
        </w:tc>
        <w:tc>
          <w:tcPr>
            <w:tcW w:w="1134" w:type="dxa"/>
            <w:shd w:val="clear" w:color="auto" w:fill="92D050"/>
            <w:vAlign w:val="center"/>
          </w:tcPr>
          <w:p w:rsidR="007C586C" w:rsidRPr="00BC7B30" w:rsidRDefault="00C62160" w:rsidP="007C586C">
            <w:pPr>
              <w:jc w:val="center"/>
              <w:rPr>
                <w:rFonts w:ascii="Arial" w:hAnsi="Arial" w:cs="Arial"/>
              </w:rPr>
            </w:pPr>
            <w:r w:rsidRPr="00BC7B30">
              <w:rPr>
                <w:rFonts w:ascii="Arial" w:hAnsi="Arial" w:cs="Arial"/>
              </w:rPr>
              <w:t>+82</w:t>
            </w:r>
          </w:p>
        </w:tc>
      </w:tr>
    </w:tbl>
    <w:p w:rsidR="00776174" w:rsidRDefault="00776174" w:rsidP="00C5144F">
      <w:pPr>
        <w:rPr>
          <w:sz w:val="28"/>
        </w:rPr>
      </w:pPr>
    </w:p>
    <w:p w:rsidR="004D0028" w:rsidRPr="00BC7B30" w:rsidRDefault="00CD4D38" w:rsidP="00C5144F">
      <w:pPr>
        <w:rPr>
          <w:rFonts w:ascii="Arial" w:hAnsi="Arial" w:cs="Arial"/>
        </w:rPr>
      </w:pPr>
      <w:r w:rsidRPr="00BC7B30">
        <w:rPr>
          <w:rFonts w:ascii="Arial" w:hAnsi="Arial" w:cs="Arial"/>
        </w:rPr>
        <w:t>Although the key output for each theme aims to measure performance, clearly projects have within them a broader range of outputs which are delivered as a result of the specific project being implemented.</w:t>
      </w:r>
      <w:r w:rsidR="004D0028" w:rsidRPr="00BC7B30">
        <w:rPr>
          <w:rFonts w:ascii="Arial" w:hAnsi="Arial" w:cs="Arial"/>
        </w:rPr>
        <w:t xml:space="preserve"> </w:t>
      </w:r>
      <w:r w:rsidR="00974D83">
        <w:rPr>
          <w:rFonts w:ascii="Arial" w:hAnsi="Arial" w:cs="Arial"/>
        </w:rPr>
        <w:t>Members</w:t>
      </w:r>
      <w:r w:rsidR="004D0028" w:rsidRPr="00BC7B30">
        <w:rPr>
          <w:rFonts w:ascii="Arial" w:hAnsi="Arial" w:cs="Arial"/>
        </w:rPr>
        <w:t xml:space="preserve"> may be aware that the output regime for ERDF is stringent in comparison to other programmes, for example, for a business assist to be captured 12 hours of support have to be deliver</w:t>
      </w:r>
      <w:r w:rsidR="00974D83">
        <w:rPr>
          <w:rFonts w:ascii="Arial" w:hAnsi="Arial" w:cs="Arial"/>
        </w:rPr>
        <w:t>ed</w:t>
      </w:r>
      <w:r w:rsidR="004D0028" w:rsidRPr="00BC7B30">
        <w:rPr>
          <w:rFonts w:ascii="Arial" w:hAnsi="Arial" w:cs="Arial"/>
        </w:rPr>
        <w:t xml:space="preserve"> to that business</w:t>
      </w:r>
      <w:r w:rsidR="00974D83">
        <w:rPr>
          <w:rFonts w:ascii="Arial" w:hAnsi="Arial" w:cs="Arial"/>
        </w:rPr>
        <w:t>.</w:t>
      </w:r>
      <w:r w:rsidR="004D0028" w:rsidRPr="00BC7B30">
        <w:rPr>
          <w:rFonts w:ascii="Arial" w:hAnsi="Arial" w:cs="Arial"/>
        </w:rPr>
        <w:t xml:space="preserve"> </w:t>
      </w:r>
      <w:r w:rsidR="00974D83">
        <w:rPr>
          <w:rFonts w:ascii="Arial" w:hAnsi="Arial" w:cs="Arial"/>
        </w:rPr>
        <w:t xml:space="preserve"> T</w:t>
      </w:r>
      <w:r w:rsidR="004D0028" w:rsidRPr="00BC7B30">
        <w:rPr>
          <w:rFonts w:ascii="Arial" w:hAnsi="Arial" w:cs="Arial"/>
        </w:rPr>
        <w:t>his results in a large number of potential outputs not being recorded.</w:t>
      </w:r>
    </w:p>
    <w:p w:rsidR="004D0028" w:rsidRPr="00BC7B30" w:rsidRDefault="004D0028" w:rsidP="00C5144F">
      <w:pPr>
        <w:rPr>
          <w:rFonts w:ascii="Arial" w:hAnsi="Arial" w:cs="Arial"/>
        </w:rPr>
      </w:pPr>
    </w:p>
    <w:p w:rsidR="00CD4D38" w:rsidRPr="00BC7B30" w:rsidRDefault="004D0028" w:rsidP="00C5144F">
      <w:pPr>
        <w:rPr>
          <w:rFonts w:ascii="Arial" w:hAnsi="Arial" w:cs="Arial"/>
        </w:rPr>
      </w:pPr>
      <w:r w:rsidRPr="00BC7B30">
        <w:rPr>
          <w:rFonts w:ascii="Arial" w:hAnsi="Arial" w:cs="Arial"/>
        </w:rPr>
        <w:t xml:space="preserve">A few highlights from the table below, it is predicted that the ERDF programme will have resulted in £14.5m of private sector investment being made, this is companies investing in their own business facilitating growth or innovation.  The programme will enable Stoke-on-Trent and Staffordshire companies </w:t>
      </w:r>
      <w:r w:rsidR="00974D83">
        <w:rPr>
          <w:rFonts w:ascii="Arial" w:hAnsi="Arial" w:cs="Arial"/>
        </w:rPr>
        <w:t xml:space="preserve">to </w:t>
      </w:r>
      <w:r w:rsidRPr="00BC7B30">
        <w:rPr>
          <w:rFonts w:ascii="Arial" w:hAnsi="Arial" w:cs="Arial"/>
        </w:rPr>
        <w:t>bring nearly 200 new products to market alongside close to 600 who will have been able to work with higher education and research establishments both within and outside of our LEP area.</w:t>
      </w:r>
      <w:r w:rsidR="00BC7B30" w:rsidRPr="00BC7B30">
        <w:rPr>
          <w:rFonts w:ascii="Arial" w:hAnsi="Arial" w:cs="Arial"/>
        </w:rPr>
        <w:t xml:space="preserve">  Finally the programme h</w:t>
      </w:r>
      <w:r w:rsidR="003B6B01">
        <w:rPr>
          <w:rFonts w:ascii="Arial" w:hAnsi="Arial" w:cs="Arial"/>
        </w:rPr>
        <w:t>as delivered close to 300 start-</w:t>
      </w:r>
      <w:r w:rsidR="00BC7B30" w:rsidRPr="00BC7B30">
        <w:rPr>
          <w:rFonts w:ascii="Arial" w:hAnsi="Arial" w:cs="Arial"/>
        </w:rPr>
        <w:t>up businesses to date and will deliver close to 1500</w:t>
      </w:r>
      <w:r w:rsidR="003B6B01">
        <w:rPr>
          <w:rFonts w:ascii="Arial" w:hAnsi="Arial" w:cs="Arial"/>
        </w:rPr>
        <w:t xml:space="preserve"> direct</w:t>
      </w:r>
      <w:r w:rsidR="00BC7B30" w:rsidRPr="00BC7B30">
        <w:rPr>
          <w:rFonts w:ascii="Arial" w:hAnsi="Arial" w:cs="Arial"/>
        </w:rPr>
        <w:t xml:space="preserve"> jobs upon its conclusion.</w:t>
      </w:r>
    </w:p>
    <w:p w:rsidR="00C7793A" w:rsidRDefault="00C7793A" w:rsidP="00C5144F">
      <w:pPr>
        <w:rPr>
          <w:sz w:val="24"/>
        </w:rPr>
      </w:pPr>
    </w:p>
    <w:tbl>
      <w:tblPr>
        <w:tblStyle w:val="TableGrid"/>
        <w:tblW w:w="0" w:type="auto"/>
        <w:tblInd w:w="817" w:type="dxa"/>
        <w:tblLook w:val="04A0" w:firstRow="1" w:lastRow="0" w:firstColumn="1" w:lastColumn="0" w:noHBand="0" w:noVBand="1"/>
      </w:tblPr>
      <w:tblGrid>
        <w:gridCol w:w="3969"/>
        <w:gridCol w:w="1559"/>
        <w:gridCol w:w="1559"/>
        <w:gridCol w:w="1384"/>
      </w:tblGrid>
      <w:tr w:rsidR="00C7793A" w:rsidTr="003B6B01">
        <w:tc>
          <w:tcPr>
            <w:tcW w:w="3969" w:type="dxa"/>
            <w:shd w:val="clear" w:color="auto" w:fill="D9D9D9" w:themeFill="background1" w:themeFillShade="D9"/>
          </w:tcPr>
          <w:p w:rsidR="00C7793A" w:rsidRPr="00B75C02" w:rsidRDefault="00C7793A" w:rsidP="00C5144F">
            <w:pPr>
              <w:rPr>
                <w:rFonts w:ascii="Arial" w:hAnsi="Arial" w:cs="Arial"/>
              </w:rPr>
            </w:pPr>
            <w:r w:rsidRPr="00B75C02">
              <w:rPr>
                <w:rFonts w:ascii="Arial" w:hAnsi="Arial" w:cs="Arial"/>
              </w:rPr>
              <w:t>Output</w:t>
            </w:r>
            <w:r w:rsidR="00015125" w:rsidRPr="00B75C02">
              <w:rPr>
                <w:rFonts w:ascii="Arial" w:hAnsi="Arial" w:cs="Arial"/>
              </w:rPr>
              <w:t>s</w:t>
            </w:r>
          </w:p>
        </w:tc>
        <w:tc>
          <w:tcPr>
            <w:tcW w:w="1559" w:type="dxa"/>
            <w:shd w:val="clear" w:color="auto" w:fill="D9D9D9" w:themeFill="background1" w:themeFillShade="D9"/>
          </w:tcPr>
          <w:p w:rsidR="00C7793A" w:rsidRPr="00B75C02" w:rsidRDefault="00C7793A" w:rsidP="00C5144F">
            <w:pPr>
              <w:rPr>
                <w:rFonts w:ascii="Arial" w:hAnsi="Arial" w:cs="Arial"/>
              </w:rPr>
            </w:pPr>
            <w:r w:rsidRPr="00B75C02">
              <w:rPr>
                <w:rFonts w:ascii="Arial" w:hAnsi="Arial" w:cs="Arial"/>
              </w:rPr>
              <w:t>Programme Target</w:t>
            </w:r>
          </w:p>
        </w:tc>
        <w:tc>
          <w:tcPr>
            <w:tcW w:w="1559" w:type="dxa"/>
            <w:shd w:val="clear" w:color="auto" w:fill="C4BC96" w:themeFill="background2" w:themeFillShade="BF"/>
          </w:tcPr>
          <w:p w:rsidR="00C7793A" w:rsidRPr="00B75C02" w:rsidRDefault="00C7793A" w:rsidP="00C5144F">
            <w:pPr>
              <w:rPr>
                <w:rFonts w:ascii="Arial" w:hAnsi="Arial" w:cs="Arial"/>
              </w:rPr>
            </w:pPr>
            <w:r w:rsidRPr="00B75C02">
              <w:rPr>
                <w:rFonts w:ascii="Arial" w:hAnsi="Arial" w:cs="Arial"/>
              </w:rPr>
              <w:t>Delivered (Sept 19)</w:t>
            </w:r>
          </w:p>
        </w:tc>
        <w:tc>
          <w:tcPr>
            <w:tcW w:w="1384" w:type="dxa"/>
            <w:shd w:val="clear" w:color="auto" w:fill="C4BC96" w:themeFill="background2" w:themeFillShade="BF"/>
          </w:tcPr>
          <w:p w:rsidR="00C7793A" w:rsidRPr="00B75C02" w:rsidRDefault="00C7793A" w:rsidP="00C5144F">
            <w:pPr>
              <w:rPr>
                <w:rFonts w:ascii="Arial" w:hAnsi="Arial" w:cs="Arial"/>
              </w:rPr>
            </w:pPr>
            <w:r w:rsidRPr="00B75C02">
              <w:rPr>
                <w:rFonts w:ascii="Arial" w:hAnsi="Arial" w:cs="Arial"/>
              </w:rPr>
              <w:t>Percentage Delivered</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Enterprises receiving Grants</w:t>
            </w:r>
          </w:p>
        </w:tc>
        <w:tc>
          <w:tcPr>
            <w:tcW w:w="1559" w:type="dxa"/>
          </w:tcPr>
          <w:p w:rsidR="00C7793A" w:rsidRPr="00B75C02" w:rsidRDefault="00420C8B" w:rsidP="00C5144F">
            <w:pPr>
              <w:rPr>
                <w:rFonts w:ascii="Arial" w:hAnsi="Arial" w:cs="Arial"/>
              </w:rPr>
            </w:pPr>
            <w:r w:rsidRPr="00B75C02">
              <w:rPr>
                <w:rFonts w:ascii="Arial" w:hAnsi="Arial" w:cs="Arial"/>
              </w:rPr>
              <w:t>841</w:t>
            </w:r>
          </w:p>
        </w:tc>
        <w:tc>
          <w:tcPr>
            <w:tcW w:w="1559" w:type="dxa"/>
          </w:tcPr>
          <w:p w:rsidR="00C7793A" w:rsidRPr="00B75C02" w:rsidRDefault="00420C8B" w:rsidP="00C5144F">
            <w:pPr>
              <w:rPr>
                <w:rFonts w:ascii="Arial" w:hAnsi="Arial" w:cs="Arial"/>
              </w:rPr>
            </w:pPr>
            <w:r w:rsidRPr="00B75C02">
              <w:rPr>
                <w:rFonts w:ascii="Arial" w:hAnsi="Arial" w:cs="Arial"/>
              </w:rPr>
              <w:t>407</w:t>
            </w:r>
          </w:p>
        </w:tc>
        <w:tc>
          <w:tcPr>
            <w:tcW w:w="1384" w:type="dxa"/>
          </w:tcPr>
          <w:p w:rsidR="00C7793A" w:rsidRPr="00B75C02" w:rsidRDefault="00420C8B" w:rsidP="00C5144F">
            <w:pPr>
              <w:rPr>
                <w:rFonts w:ascii="Arial" w:hAnsi="Arial" w:cs="Arial"/>
              </w:rPr>
            </w:pPr>
            <w:r w:rsidRPr="00B75C02">
              <w:rPr>
                <w:rFonts w:ascii="Arial" w:hAnsi="Arial" w:cs="Arial"/>
              </w:rPr>
              <w:t>48%</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Enterprises Working with Research</w:t>
            </w:r>
          </w:p>
        </w:tc>
        <w:tc>
          <w:tcPr>
            <w:tcW w:w="1559" w:type="dxa"/>
          </w:tcPr>
          <w:p w:rsidR="00C7793A" w:rsidRPr="00B75C02" w:rsidRDefault="00420C8B" w:rsidP="00C5144F">
            <w:pPr>
              <w:rPr>
                <w:rFonts w:ascii="Arial" w:hAnsi="Arial" w:cs="Arial"/>
              </w:rPr>
            </w:pPr>
            <w:r w:rsidRPr="00B75C02">
              <w:rPr>
                <w:rFonts w:ascii="Arial" w:hAnsi="Arial" w:cs="Arial"/>
              </w:rPr>
              <w:t>594</w:t>
            </w:r>
          </w:p>
        </w:tc>
        <w:tc>
          <w:tcPr>
            <w:tcW w:w="1559" w:type="dxa"/>
          </w:tcPr>
          <w:p w:rsidR="00C7793A" w:rsidRPr="00B75C02" w:rsidRDefault="00420C8B" w:rsidP="00C5144F">
            <w:pPr>
              <w:rPr>
                <w:rFonts w:ascii="Arial" w:hAnsi="Arial" w:cs="Arial"/>
              </w:rPr>
            </w:pPr>
            <w:r w:rsidRPr="00B75C02">
              <w:rPr>
                <w:rFonts w:ascii="Arial" w:hAnsi="Arial" w:cs="Arial"/>
              </w:rPr>
              <w:t>205</w:t>
            </w:r>
          </w:p>
        </w:tc>
        <w:tc>
          <w:tcPr>
            <w:tcW w:w="1384" w:type="dxa"/>
          </w:tcPr>
          <w:p w:rsidR="00C7793A" w:rsidRPr="00B75C02" w:rsidRDefault="00420C8B" w:rsidP="00C5144F">
            <w:pPr>
              <w:rPr>
                <w:rFonts w:ascii="Arial" w:hAnsi="Arial" w:cs="Arial"/>
              </w:rPr>
            </w:pPr>
            <w:r w:rsidRPr="00B75C02">
              <w:rPr>
                <w:rFonts w:ascii="Arial" w:hAnsi="Arial" w:cs="Arial"/>
              </w:rPr>
              <w:t>35%</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New products to market</w:t>
            </w:r>
          </w:p>
        </w:tc>
        <w:tc>
          <w:tcPr>
            <w:tcW w:w="1559" w:type="dxa"/>
          </w:tcPr>
          <w:p w:rsidR="00C7793A" w:rsidRPr="00B75C02" w:rsidRDefault="00420C8B" w:rsidP="00C5144F">
            <w:pPr>
              <w:rPr>
                <w:rFonts w:ascii="Arial" w:hAnsi="Arial" w:cs="Arial"/>
              </w:rPr>
            </w:pPr>
            <w:r w:rsidRPr="00B75C02">
              <w:rPr>
                <w:rFonts w:ascii="Arial" w:hAnsi="Arial" w:cs="Arial"/>
              </w:rPr>
              <w:t>146</w:t>
            </w:r>
          </w:p>
        </w:tc>
        <w:tc>
          <w:tcPr>
            <w:tcW w:w="1559" w:type="dxa"/>
          </w:tcPr>
          <w:p w:rsidR="00C7793A" w:rsidRPr="00B75C02" w:rsidRDefault="00420C8B" w:rsidP="00C5144F">
            <w:pPr>
              <w:rPr>
                <w:rFonts w:ascii="Arial" w:hAnsi="Arial" w:cs="Arial"/>
              </w:rPr>
            </w:pPr>
            <w:r w:rsidRPr="00B75C02">
              <w:rPr>
                <w:rFonts w:ascii="Arial" w:hAnsi="Arial" w:cs="Arial"/>
              </w:rPr>
              <w:t>99</w:t>
            </w:r>
          </w:p>
        </w:tc>
        <w:tc>
          <w:tcPr>
            <w:tcW w:w="1384" w:type="dxa"/>
          </w:tcPr>
          <w:p w:rsidR="00C7793A" w:rsidRPr="00B75C02" w:rsidRDefault="00420C8B" w:rsidP="00C5144F">
            <w:pPr>
              <w:rPr>
                <w:rFonts w:ascii="Arial" w:hAnsi="Arial" w:cs="Arial"/>
              </w:rPr>
            </w:pPr>
            <w:r w:rsidRPr="00B75C02">
              <w:rPr>
                <w:rFonts w:ascii="Arial" w:hAnsi="Arial" w:cs="Arial"/>
              </w:rPr>
              <w:t>68%</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New to firm products</w:t>
            </w:r>
          </w:p>
        </w:tc>
        <w:tc>
          <w:tcPr>
            <w:tcW w:w="1559" w:type="dxa"/>
          </w:tcPr>
          <w:p w:rsidR="00C7793A" w:rsidRPr="00B75C02" w:rsidRDefault="00420C8B" w:rsidP="00C5144F">
            <w:pPr>
              <w:rPr>
                <w:rFonts w:ascii="Arial" w:hAnsi="Arial" w:cs="Arial"/>
              </w:rPr>
            </w:pPr>
            <w:r w:rsidRPr="00B75C02">
              <w:rPr>
                <w:rFonts w:ascii="Arial" w:hAnsi="Arial" w:cs="Arial"/>
              </w:rPr>
              <w:t>187</w:t>
            </w:r>
          </w:p>
        </w:tc>
        <w:tc>
          <w:tcPr>
            <w:tcW w:w="1559" w:type="dxa"/>
          </w:tcPr>
          <w:p w:rsidR="00C7793A" w:rsidRPr="00B75C02" w:rsidRDefault="00420C8B" w:rsidP="00C5144F">
            <w:pPr>
              <w:rPr>
                <w:rFonts w:ascii="Arial" w:hAnsi="Arial" w:cs="Arial"/>
              </w:rPr>
            </w:pPr>
            <w:r w:rsidRPr="00B75C02">
              <w:rPr>
                <w:rFonts w:ascii="Arial" w:hAnsi="Arial" w:cs="Arial"/>
              </w:rPr>
              <w:t>129</w:t>
            </w:r>
          </w:p>
        </w:tc>
        <w:tc>
          <w:tcPr>
            <w:tcW w:w="1384" w:type="dxa"/>
          </w:tcPr>
          <w:p w:rsidR="00C7793A" w:rsidRPr="00B75C02" w:rsidRDefault="00420C8B" w:rsidP="00C5144F">
            <w:pPr>
              <w:rPr>
                <w:rFonts w:ascii="Arial" w:hAnsi="Arial" w:cs="Arial"/>
              </w:rPr>
            </w:pPr>
            <w:r w:rsidRPr="00B75C02">
              <w:rPr>
                <w:rFonts w:ascii="Arial" w:hAnsi="Arial" w:cs="Arial"/>
              </w:rPr>
              <w:t>69%</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GHG Reductions</w:t>
            </w:r>
          </w:p>
        </w:tc>
        <w:tc>
          <w:tcPr>
            <w:tcW w:w="1559" w:type="dxa"/>
          </w:tcPr>
          <w:p w:rsidR="00C7793A" w:rsidRPr="00B75C02" w:rsidRDefault="00015125" w:rsidP="00C5144F">
            <w:pPr>
              <w:rPr>
                <w:rFonts w:ascii="Arial" w:hAnsi="Arial" w:cs="Arial"/>
              </w:rPr>
            </w:pPr>
            <w:r w:rsidRPr="00B75C02">
              <w:rPr>
                <w:rFonts w:ascii="Arial" w:hAnsi="Arial" w:cs="Arial"/>
              </w:rPr>
              <w:t>665</w:t>
            </w:r>
            <w:r w:rsidR="00420C8B" w:rsidRPr="00B75C02">
              <w:rPr>
                <w:rFonts w:ascii="Arial" w:hAnsi="Arial" w:cs="Arial"/>
              </w:rPr>
              <w:t>7</w:t>
            </w:r>
          </w:p>
        </w:tc>
        <w:tc>
          <w:tcPr>
            <w:tcW w:w="1559" w:type="dxa"/>
          </w:tcPr>
          <w:p w:rsidR="00C7793A" w:rsidRPr="00B75C02" w:rsidRDefault="00420C8B" w:rsidP="00C5144F">
            <w:pPr>
              <w:rPr>
                <w:rFonts w:ascii="Arial" w:hAnsi="Arial" w:cs="Arial"/>
              </w:rPr>
            </w:pPr>
            <w:r w:rsidRPr="00B75C02">
              <w:rPr>
                <w:rFonts w:ascii="Arial" w:hAnsi="Arial" w:cs="Arial"/>
              </w:rPr>
              <w:t>577</w:t>
            </w:r>
          </w:p>
        </w:tc>
        <w:tc>
          <w:tcPr>
            <w:tcW w:w="1384" w:type="dxa"/>
          </w:tcPr>
          <w:p w:rsidR="00C7793A" w:rsidRPr="00B75C02" w:rsidRDefault="00015125" w:rsidP="00C5144F">
            <w:pPr>
              <w:rPr>
                <w:rFonts w:ascii="Arial" w:hAnsi="Arial" w:cs="Arial"/>
              </w:rPr>
            </w:pPr>
            <w:r w:rsidRPr="00B75C02">
              <w:rPr>
                <w:rFonts w:ascii="Arial" w:hAnsi="Arial" w:cs="Arial"/>
              </w:rPr>
              <w:t>8</w:t>
            </w:r>
            <w:r w:rsidR="00420C8B" w:rsidRPr="00B75C02">
              <w:rPr>
                <w:rFonts w:ascii="Arial" w:hAnsi="Arial" w:cs="Arial"/>
              </w:rPr>
              <w:t>%</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Enterprises supported non  financially</w:t>
            </w:r>
          </w:p>
        </w:tc>
        <w:tc>
          <w:tcPr>
            <w:tcW w:w="1559" w:type="dxa"/>
          </w:tcPr>
          <w:p w:rsidR="00C7793A" w:rsidRPr="00B75C02" w:rsidRDefault="00420C8B" w:rsidP="00C5144F">
            <w:pPr>
              <w:rPr>
                <w:rFonts w:ascii="Arial" w:hAnsi="Arial" w:cs="Arial"/>
              </w:rPr>
            </w:pPr>
            <w:r w:rsidRPr="00B75C02">
              <w:rPr>
                <w:rFonts w:ascii="Arial" w:hAnsi="Arial" w:cs="Arial"/>
              </w:rPr>
              <w:t>1819</w:t>
            </w:r>
          </w:p>
        </w:tc>
        <w:tc>
          <w:tcPr>
            <w:tcW w:w="1559" w:type="dxa"/>
          </w:tcPr>
          <w:p w:rsidR="00C7793A" w:rsidRPr="00B75C02" w:rsidRDefault="00420C8B" w:rsidP="00C5144F">
            <w:pPr>
              <w:rPr>
                <w:rFonts w:ascii="Arial" w:hAnsi="Arial" w:cs="Arial"/>
              </w:rPr>
            </w:pPr>
            <w:r w:rsidRPr="00B75C02">
              <w:rPr>
                <w:rFonts w:ascii="Arial" w:hAnsi="Arial" w:cs="Arial"/>
              </w:rPr>
              <w:t>1100</w:t>
            </w:r>
          </w:p>
        </w:tc>
        <w:tc>
          <w:tcPr>
            <w:tcW w:w="1384" w:type="dxa"/>
          </w:tcPr>
          <w:p w:rsidR="00C7793A" w:rsidRPr="00B75C02" w:rsidRDefault="00420C8B" w:rsidP="00C5144F">
            <w:pPr>
              <w:rPr>
                <w:rFonts w:ascii="Arial" w:hAnsi="Arial" w:cs="Arial"/>
              </w:rPr>
            </w:pPr>
            <w:r w:rsidRPr="00B75C02">
              <w:rPr>
                <w:rFonts w:ascii="Arial" w:hAnsi="Arial" w:cs="Arial"/>
              </w:rPr>
              <w:t>61%</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New enterprises supported</w:t>
            </w:r>
          </w:p>
        </w:tc>
        <w:tc>
          <w:tcPr>
            <w:tcW w:w="1559" w:type="dxa"/>
          </w:tcPr>
          <w:p w:rsidR="00C7793A" w:rsidRPr="00B75C02" w:rsidRDefault="00420C8B" w:rsidP="00C5144F">
            <w:pPr>
              <w:rPr>
                <w:rFonts w:ascii="Arial" w:hAnsi="Arial" w:cs="Arial"/>
              </w:rPr>
            </w:pPr>
            <w:r w:rsidRPr="00B75C02">
              <w:rPr>
                <w:rFonts w:ascii="Arial" w:hAnsi="Arial" w:cs="Arial"/>
              </w:rPr>
              <w:t>466</w:t>
            </w:r>
          </w:p>
        </w:tc>
        <w:tc>
          <w:tcPr>
            <w:tcW w:w="1559" w:type="dxa"/>
          </w:tcPr>
          <w:p w:rsidR="00C7793A" w:rsidRPr="00B75C02" w:rsidRDefault="00420C8B" w:rsidP="00C5144F">
            <w:pPr>
              <w:rPr>
                <w:rFonts w:ascii="Arial" w:hAnsi="Arial" w:cs="Arial"/>
              </w:rPr>
            </w:pPr>
            <w:r w:rsidRPr="00B75C02">
              <w:rPr>
                <w:rFonts w:ascii="Arial" w:hAnsi="Arial" w:cs="Arial"/>
              </w:rPr>
              <w:t>360</w:t>
            </w:r>
          </w:p>
        </w:tc>
        <w:tc>
          <w:tcPr>
            <w:tcW w:w="1384" w:type="dxa"/>
          </w:tcPr>
          <w:p w:rsidR="00C7793A" w:rsidRPr="00B75C02" w:rsidRDefault="00420C8B" w:rsidP="00C5144F">
            <w:pPr>
              <w:rPr>
                <w:rFonts w:ascii="Arial" w:hAnsi="Arial" w:cs="Arial"/>
              </w:rPr>
            </w:pPr>
            <w:r w:rsidRPr="00B75C02">
              <w:rPr>
                <w:rFonts w:ascii="Arial" w:hAnsi="Arial" w:cs="Arial"/>
              </w:rPr>
              <w:t>77%</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Private Investment (match</w:t>
            </w:r>
          </w:p>
        </w:tc>
        <w:tc>
          <w:tcPr>
            <w:tcW w:w="1559" w:type="dxa"/>
          </w:tcPr>
          <w:p w:rsidR="00C7793A" w:rsidRPr="00B75C02" w:rsidRDefault="00420C8B" w:rsidP="00C5144F">
            <w:pPr>
              <w:rPr>
                <w:rFonts w:ascii="Arial" w:hAnsi="Arial" w:cs="Arial"/>
              </w:rPr>
            </w:pPr>
            <w:r w:rsidRPr="00B75C02">
              <w:rPr>
                <w:rFonts w:ascii="Arial" w:hAnsi="Arial" w:cs="Arial"/>
              </w:rPr>
              <w:t>£14,513,716</w:t>
            </w:r>
          </w:p>
        </w:tc>
        <w:tc>
          <w:tcPr>
            <w:tcW w:w="1559" w:type="dxa"/>
          </w:tcPr>
          <w:p w:rsidR="00C7793A" w:rsidRPr="00B75C02" w:rsidRDefault="00420C8B" w:rsidP="00C5144F">
            <w:pPr>
              <w:rPr>
                <w:rFonts w:ascii="Arial" w:hAnsi="Arial" w:cs="Arial"/>
              </w:rPr>
            </w:pPr>
            <w:r w:rsidRPr="00B75C02">
              <w:rPr>
                <w:rFonts w:ascii="Arial" w:hAnsi="Arial" w:cs="Arial"/>
              </w:rPr>
              <w:t>£6,456,522</w:t>
            </w:r>
          </w:p>
        </w:tc>
        <w:tc>
          <w:tcPr>
            <w:tcW w:w="1384" w:type="dxa"/>
          </w:tcPr>
          <w:p w:rsidR="00C7793A" w:rsidRPr="00B75C02" w:rsidRDefault="00420C8B" w:rsidP="00C5144F">
            <w:pPr>
              <w:rPr>
                <w:rFonts w:ascii="Arial" w:hAnsi="Arial" w:cs="Arial"/>
              </w:rPr>
            </w:pPr>
            <w:r w:rsidRPr="00B75C02">
              <w:rPr>
                <w:rFonts w:ascii="Arial" w:hAnsi="Arial" w:cs="Arial"/>
              </w:rPr>
              <w:t>44%</w:t>
            </w:r>
          </w:p>
        </w:tc>
      </w:tr>
      <w:tr w:rsidR="00C7793A" w:rsidTr="00015125">
        <w:tc>
          <w:tcPr>
            <w:tcW w:w="3969" w:type="dxa"/>
          </w:tcPr>
          <w:p w:rsidR="00C7793A" w:rsidRPr="00B75C02" w:rsidRDefault="00C7793A" w:rsidP="00C5144F">
            <w:pPr>
              <w:rPr>
                <w:rFonts w:ascii="Arial" w:hAnsi="Arial" w:cs="Arial"/>
              </w:rPr>
            </w:pPr>
            <w:r w:rsidRPr="00B75C02">
              <w:rPr>
                <w:rFonts w:ascii="Arial" w:hAnsi="Arial" w:cs="Arial"/>
                <w:bCs/>
              </w:rPr>
              <w:t>New Employment</w:t>
            </w:r>
          </w:p>
        </w:tc>
        <w:tc>
          <w:tcPr>
            <w:tcW w:w="1559" w:type="dxa"/>
          </w:tcPr>
          <w:p w:rsidR="00C7793A" w:rsidRPr="00B75C02" w:rsidRDefault="00420C8B" w:rsidP="00C5144F">
            <w:pPr>
              <w:rPr>
                <w:rFonts w:ascii="Arial" w:hAnsi="Arial" w:cs="Arial"/>
              </w:rPr>
            </w:pPr>
            <w:r w:rsidRPr="00B75C02">
              <w:rPr>
                <w:rFonts w:ascii="Arial" w:hAnsi="Arial" w:cs="Arial"/>
              </w:rPr>
              <w:t>1428</w:t>
            </w:r>
          </w:p>
        </w:tc>
        <w:tc>
          <w:tcPr>
            <w:tcW w:w="1559" w:type="dxa"/>
          </w:tcPr>
          <w:p w:rsidR="00C7793A" w:rsidRPr="00B75C02" w:rsidRDefault="00420C8B" w:rsidP="00C5144F">
            <w:pPr>
              <w:rPr>
                <w:rFonts w:ascii="Arial" w:hAnsi="Arial" w:cs="Arial"/>
              </w:rPr>
            </w:pPr>
            <w:r w:rsidRPr="00B75C02">
              <w:rPr>
                <w:rFonts w:ascii="Arial" w:hAnsi="Arial" w:cs="Arial"/>
              </w:rPr>
              <w:t>657</w:t>
            </w:r>
          </w:p>
        </w:tc>
        <w:tc>
          <w:tcPr>
            <w:tcW w:w="1384" w:type="dxa"/>
          </w:tcPr>
          <w:p w:rsidR="00C7793A" w:rsidRPr="00B75C02" w:rsidRDefault="00420C8B" w:rsidP="00C5144F">
            <w:pPr>
              <w:rPr>
                <w:rFonts w:ascii="Arial" w:hAnsi="Arial" w:cs="Arial"/>
              </w:rPr>
            </w:pPr>
            <w:r w:rsidRPr="00B75C02">
              <w:rPr>
                <w:rFonts w:ascii="Arial" w:hAnsi="Arial" w:cs="Arial"/>
              </w:rPr>
              <w:t>46%</w:t>
            </w:r>
          </w:p>
        </w:tc>
      </w:tr>
      <w:tr w:rsidR="00C7793A" w:rsidTr="00015125">
        <w:tc>
          <w:tcPr>
            <w:tcW w:w="3969" w:type="dxa"/>
          </w:tcPr>
          <w:p w:rsidR="00C7793A" w:rsidRPr="00B75C02" w:rsidRDefault="00C7793A" w:rsidP="00C5144F">
            <w:pPr>
              <w:rPr>
                <w:rFonts w:ascii="Arial" w:hAnsi="Arial" w:cs="Arial"/>
                <w:bCs/>
              </w:rPr>
            </w:pPr>
            <w:r w:rsidRPr="00B75C02">
              <w:rPr>
                <w:rFonts w:ascii="Arial" w:hAnsi="Arial" w:cs="Arial"/>
                <w:bCs/>
              </w:rPr>
              <w:t xml:space="preserve">No of </w:t>
            </w:r>
            <w:r w:rsidR="00C533EB" w:rsidRPr="00B75C02">
              <w:rPr>
                <w:rFonts w:ascii="Arial" w:hAnsi="Arial" w:cs="Arial"/>
                <w:bCs/>
              </w:rPr>
              <w:t>start-ups</w:t>
            </w:r>
            <w:r w:rsidR="00DF1707" w:rsidRPr="00B75C02">
              <w:rPr>
                <w:rFonts w:ascii="Arial" w:hAnsi="Arial" w:cs="Arial"/>
                <w:bCs/>
              </w:rPr>
              <w:t xml:space="preserve"> </w:t>
            </w:r>
            <w:r w:rsidRPr="00B75C02">
              <w:rPr>
                <w:rFonts w:ascii="Arial" w:hAnsi="Arial" w:cs="Arial"/>
                <w:bCs/>
              </w:rPr>
              <w:t xml:space="preserve"> enterprise ready</w:t>
            </w:r>
          </w:p>
        </w:tc>
        <w:tc>
          <w:tcPr>
            <w:tcW w:w="1559" w:type="dxa"/>
          </w:tcPr>
          <w:p w:rsidR="00C7793A" w:rsidRPr="00B75C02" w:rsidRDefault="00420C8B" w:rsidP="00C5144F">
            <w:pPr>
              <w:rPr>
                <w:rFonts w:ascii="Arial" w:hAnsi="Arial" w:cs="Arial"/>
              </w:rPr>
            </w:pPr>
            <w:r w:rsidRPr="00B75C02">
              <w:rPr>
                <w:rFonts w:ascii="Arial" w:hAnsi="Arial" w:cs="Arial"/>
              </w:rPr>
              <w:t>174</w:t>
            </w:r>
          </w:p>
        </w:tc>
        <w:tc>
          <w:tcPr>
            <w:tcW w:w="1559" w:type="dxa"/>
          </w:tcPr>
          <w:p w:rsidR="00C7793A" w:rsidRPr="00B75C02" w:rsidRDefault="00420C8B" w:rsidP="00C5144F">
            <w:pPr>
              <w:rPr>
                <w:rFonts w:ascii="Arial" w:hAnsi="Arial" w:cs="Arial"/>
              </w:rPr>
            </w:pPr>
            <w:r w:rsidRPr="00B75C02">
              <w:rPr>
                <w:rFonts w:ascii="Arial" w:hAnsi="Arial" w:cs="Arial"/>
              </w:rPr>
              <w:t>285</w:t>
            </w:r>
          </w:p>
        </w:tc>
        <w:tc>
          <w:tcPr>
            <w:tcW w:w="1384" w:type="dxa"/>
          </w:tcPr>
          <w:p w:rsidR="00C7793A" w:rsidRPr="00B75C02" w:rsidRDefault="00420C8B" w:rsidP="00C5144F">
            <w:pPr>
              <w:rPr>
                <w:rFonts w:ascii="Arial" w:hAnsi="Arial" w:cs="Arial"/>
              </w:rPr>
            </w:pPr>
            <w:r w:rsidRPr="00B75C02">
              <w:rPr>
                <w:rFonts w:ascii="Arial" w:hAnsi="Arial" w:cs="Arial"/>
              </w:rPr>
              <w:t>164%</w:t>
            </w:r>
          </w:p>
        </w:tc>
      </w:tr>
      <w:tr w:rsidR="00C7793A" w:rsidTr="00015125">
        <w:tc>
          <w:tcPr>
            <w:tcW w:w="3969" w:type="dxa"/>
          </w:tcPr>
          <w:p w:rsidR="00C7793A" w:rsidRPr="00B75C02" w:rsidRDefault="00420C8B" w:rsidP="00C5144F">
            <w:pPr>
              <w:rPr>
                <w:rFonts w:ascii="Arial" w:hAnsi="Arial" w:cs="Arial"/>
                <w:bCs/>
              </w:rPr>
            </w:pPr>
            <w:r w:rsidRPr="00B75C02">
              <w:rPr>
                <w:rFonts w:ascii="Arial" w:hAnsi="Arial" w:cs="Arial"/>
                <w:bCs/>
              </w:rPr>
              <w:t>enterprises receiving brokerage</w:t>
            </w:r>
          </w:p>
        </w:tc>
        <w:tc>
          <w:tcPr>
            <w:tcW w:w="1559" w:type="dxa"/>
          </w:tcPr>
          <w:p w:rsidR="00C7793A" w:rsidRPr="00B75C02" w:rsidRDefault="00420C8B" w:rsidP="00C5144F">
            <w:pPr>
              <w:rPr>
                <w:rFonts w:ascii="Arial" w:hAnsi="Arial" w:cs="Arial"/>
              </w:rPr>
            </w:pPr>
            <w:r w:rsidRPr="00B75C02">
              <w:rPr>
                <w:rFonts w:ascii="Arial" w:hAnsi="Arial" w:cs="Arial"/>
              </w:rPr>
              <w:t>1020</w:t>
            </w:r>
          </w:p>
        </w:tc>
        <w:tc>
          <w:tcPr>
            <w:tcW w:w="1559" w:type="dxa"/>
          </w:tcPr>
          <w:p w:rsidR="00C7793A" w:rsidRPr="00B75C02" w:rsidRDefault="00420C8B" w:rsidP="00C5144F">
            <w:pPr>
              <w:rPr>
                <w:rFonts w:ascii="Arial" w:hAnsi="Arial" w:cs="Arial"/>
              </w:rPr>
            </w:pPr>
            <w:r w:rsidRPr="00B75C02">
              <w:rPr>
                <w:rFonts w:ascii="Arial" w:hAnsi="Arial" w:cs="Arial"/>
              </w:rPr>
              <w:t>502</w:t>
            </w:r>
          </w:p>
        </w:tc>
        <w:tc>
          <w:tcPr>
            <w:tcW w:w="1384" w:type="dxa"/>
          </w:tcPr>
          <w:p w:rsidR="00C7793A" w:rsidRPr="00B75C02" w:rsidRDefault="00420C8B" w:rsidP="00C5144F">
            <w:pPr>
              <w:rPr>
                <w:rFonts w:ascii="Arial" w:hAnsi="Arial" w:cs="Arial"/>
              </w:rPr>
            </w:pPr>
            <w:r w:rsidRPr="00B75C02">
              <w:rPr>
                <w:rFonts w:ascii="Arial" w:hAnsi="Arial" w:cs="Arial"/>
              </w:rPr>
              <w:t>49%</w:t>
            </w:r>
          </w:p>
        </w:tc>
      </w:tr>
    </w:tbl>
    <w:p w:rsidR="00C7793A" w:rsidRPr="00054F3A" w:rsidRDefault="00C7793A" w:rsidP="00C5144F">
      <w:pPr>
        <w:rPr>
          <w:rFonts w:ascii="Arial" w:hAnsi="Arial" w:cs="Arial"/>
          <w:sz w:val="24"/>
        </w:rPr>
      </w:pPr>
    </w:p>
    <w:p w:rsidR="00054F3A" w:rsidRDefault="00054F3A" w:rsidP="00C5144F">
      <w:pPr>
        <w:rPr>
          <w:rFonts w:ascii="Arial" w:hAnsi="Arial" w:cs="Arial"/>
          <w:b/>
          <w:sz w:val="24"/>
        </w:rPr>
      </w:pPr>
      <w:r w:rsidRPr="00054F3A">
        <w:rPr>
          <w:rFonts w:ascii="Arial" w:hAnsi="Arial" w:cs="Arial"/>
          <w:b/>
          <w:sz w:val="24"/>
        </w:rPr>
        <w:t>Summary</w:t>
      </w:r>
    </w:p>
    <w:p w:rsidR="00054F3A" w:rsidRDefault="00054F3A" w:rsidP="00C5144F">
      <w:pPr>
        <w:rPr>
          <w:rFonts w:ascii="Arial" w:hAnsi="Arial" w:cs="Arial"/>
          <w:b/>
          <w:sz w:val="24"/>
        </w:rPr>
      </w:pPr>
    </w:p>
    <w:p w:rsidR="00B75C02" w:rsidRPr="00B75C02" w:rsidRDefault="00B75C02" w:rsidP="00B75C02">
      <w:pPr>
        <w:rPr>
          <w:rFonts w:ascii="Arial" w:hAnsi="Arial" w:cs="Arial"/>
        </w:rPr>
      </w:pPr>
      <w:r w:rsidRPr="00B75C02">
        <w:rPr>
          <w:rFonts w:ascii="Arial" w:hAnsi="Arial" w:cs="Arial"/>
        </w:rPr>
        <w:t xml:space="preserve">Based upon the current status of the ERDF Programme it is considered that the Programme has performed well.  It has supported strategically significant projects within the LEP area in addition to promoting innovation alongside mainstream business support activities.  The task moving forward is to continue to ensure that the ERDF Programme fully delivers on its spend and outputs in addition to ensuring that the SSLEP area takes advantage of any funds that become available through the National Reserve Fund </w:t>
      </w:r>
    </w:p>
    <w:p w:rsidR="003B6B01" w:rsidRDefault="003B6B01" w:rsidP="00C5144F">
      <w:pPr>
        <w:rPr>
          <w:rFonts w:ascii="Arial" w:hAnsi="Arial" w:cs="Arial"/>
          <w:b/>
          <w:sz w:val="24"/>
        </w:rPr>
      </w:pPr>
    </w:p>
    <w:p w:rsidR="00054F3A" w:rsidRDefault="00054F3A" w:rsidP="00C5144F">
      <w:pPr>
        <w:rPr>
          <w:rFonts w:ascii="Arial" w:hAnsi="Arial" w:cs="Arial"/>
          <w:b/>
          <w:sz w:val="24"/>
        </w:rPr>
      </w:pPr>
      <w:r>
        <w:rPr>
          <w:rFonts w:ascii="Arial" w:hAnsi="Arial" w:cs="Arial"/>
          <w:b/>
          <w:sz w:val="24"/>
        </w:rPr>
        <w:t>European Social Fund</w:t>
      </w:r>
    </w:p>
    <w:p w:rsidR="003255AB" w:rsidRPr="003255AB" w:rsidRDefault="003255AB" w:rsidP="00C5144F">
      <w:pPr>
        <w:rPr>
          <w:rFonts w:ascii="Arial" w:hAnsi="Arial" w:cs="Arial"/>
        </w:rPr>
      </w:pPr>
    </w:p>
    <w:p w:rsidR="003255AB" w:rsidRDefault="003255AB" w:rsidP="00C5144F">
      <w:pPr>
        <w:rPr>
          <w:rFonts w:ascii="Arial" w:hAnsi="Arial" w:cs="Arial"/>
        </w:rPr>
      </w:pPr>
      <w:r w:rsidRPr="003255AB">
        <w:rPr>
          <w:rFonts w:ascii="Arial" w:hAnsi="Arial" w:cs="Arial"/>
        </w:rPr>
        <w:t>The SSLEP’s European Social Fund Programme was launched in 201</w:t>
      </w:r>
      <w:r w:rsidR="00974D83">
        <w:rPr>
          <w:rFonts w:ascii="Arial" w:hAnsi="Arial" w:cs="Arial"/>
        </w:rPr>
        <w:t>4</w:t>
      </w:r>
      <w:r>
        <w:rPr>
          <w:rFonts w:ascii="Arial" w:hAnsi="Arial" w:cs="Arial"/>
        </w:rPr>
        <w:t xml:space="preserve"> and is built primarily on a co-financing model.  With limited local public sector resource for employment and skills </w:t>
      </w:r>
      <w:r w:rsidR="00974D83">
        <w:rPr>
          <w:rFonts w:ascii="Arial" w:hAnsi="Arial" w:cs="Arial"/>
        </w:rPr>
        <w:t>activity</w:t>
      </w:r>
      <w:r>
        <w:rPr>
          <w:rFonts w:ascii="Arial" w:hAnsi="Arial" w:cs="Arial"/>
        </w:rPr>
        <w:t xml:space="preserve"> it was decided early in the programme that the offers of the requisite 40% match funding from National organisations would be seized.</w:t>
      </w:r>
    </w:p>
    <w:p w:rsidR="003255AB" w:rsidRDefault="003255AB" w:rsidP="00C5144F">
      <w:pPr>
        <w:rPr>
          <w:rFonts w:ascii="Arial" w:hAnsi="Arial" w:cs="Arial"/>
        </w:rPr>
      </w:pPr>
    </w:p>
    <w:p w:rsidR="00202401" w:rsidRDefault="003255AB" w:rsidP="00C5144F">
      <w:pPr>
        <w:rPr>
          <w:rFonts w:ascii="Arial" w:hAnsi="Arial" w:cs="Arial"/>
        </w:rPr>
      </w:pPr>
      <w:r>
        <w:rPr>
          <w:rFonts w:ascii="Arial" w:hAnsi="Arial" w:cs="Arial"/>
        </w:rPr>
        <w:t xml:space="preserve">The Department of Work and Pensions, The Education and Skills Funding Agency along with </w:t>
      </w:r>
      <w:r w:rsidR="00C355DF">
        <w:rPr>
          <w:rFonts w:ascii="Arial" w:hAnsi="Arial" w:cs="Arial"/>
        </w:rPr>
        <w:t xml:space="preserve">The National Lottery (formerly the </w:t>
      </w:r>
      <w:r>
        <w:rPr>
          <w:rFonts w:ascii="Arial" w:hAnsi="Arial" w:cs="Arial"/>
        </w:rPr>
        <w:t>Big Lottery</w:t>
      </w:r>
      <w:r w:rsidR="00C355DF">
        <w:rPr>
          <w:rFonts w:ascii="Arial" w:hAnsi="Arial" w:cs="Arial"/>
        </w:rPr>
        <w:t>)</w:t>
      </w:r>
      <w:r>
        <w:rPr>
          <w:rFonts w:ascii="Arial" w:hAnsi="Arial" w:cs="Arial"/>
        </w:rPr>
        <w:t xml:space="preserve"> all offered to provide the match funding both to maximise</w:t>
      </w:r>
      <w:r w:rsidR="00002709">
        <w:rPr>
          <w:rFonts w:ascii="Arial" w:hAnsi="Arial" w:cs="Arial"/>
        </w:rPr>
        <w:t xml:space="preserve"> their own investment value and the broaden out their scope in terms of activity.  </w:t>
      </w:r>
    </w:p>
    <w:p w:rsidR="00C355DF" w:rsidRDefault="00C355DF" w:rsidP="00C5144F">
      <w:pPr>
        <w:rPr>
          <w:rFonts w:ascii="Arial" w:hAnsi="Arial" w:cs="Arial"/>
        </w:rPr>
      </w:pPr>
    </w:p>
    <w:p w:rsidR="00C355DF" w:rsidRDefault="00C355DF" w:rsidP="00C5144F">
      <w:pPr>
        <w:rPr>
          <w:rFonts w:ascii="Arial" w:hAnsi="Arial" w:cs="Arial"/>
        </w:rPr>
      </w:pPr>
      <w:r>
        <w:rPr>
          <w:rFonts w:ascii="Arial" w:hAnsi="Arial" w:cs="Arial"/>
        </w:rPr>
        <w:lastRenderedPageBreak/>
        <w:t>SSLEP decided to opt-in with all 3 organisations and worked with them to produce the specifications for the programmes across the investment priorities.  This resulted in £37M of SSLEP’s ESF funding being allocated in the first round of programmes.  SSLEP funds were supplemented by £6.6M from the allocation given to GBSLEP for the four districts of Cannock, Tamworth, Lichfield and East Staffordshire) who are also in GBSLEP area.</w:t>
      </w:r>
    </w:p>
    <w:p w:rsidR="00C355DF" w:rsidRDefault="00C355DF" w:rsidP="00C5144F">
      <w:pPr>
        <w:rPr>
          <w:rFonts w:ascii="Arial" w:hAnsi="Arial" w:cs="Arial"/>
        </w:rPr>
      </w:pPr>
    </w:p>
    <w:p w:rsidR="00617028" w:rsidRDefault="00C355DF" w:rsidP="00C5144F">
      <w:pPr>
        <w:rPr>
          <w:rFonts w:ascii="Arial" w:hAnsi="Arial" w:cs="Arial"/>
        </w:rPr>
      </w:pPr>
      <w:r>
        <w:rPr>
          <w:rFonts w:ascii="Arial" w:hAnsi="Arial" w:cs="Arial"/>
        </w:rPr>
        <w:t xml:space="preserve">ESF programmes are split into 2 priority areas.  Priority 1 </w:t>
      </w:r>
      <w:r w:rsidR="00303E9B">
        <w:rPr>
          <w:rFonts w:ascii="Arial" w:hAnsi="Arial" w:cs="Arial"/>
        </w:rPr>
        <w:t>focuses on individuals who are unemployed or economically inactive, including supporting the integration of young people and those furthest from the labour market with support around social inclusion.  SSLEP developed a pathway model to help people engage with the programmes at a point relevant to their skills and employment requirements, the principle being that there was no wrong door</w:t>
      </w:r>
      <w:r w:rsidR="00617028">
        <w:rPr>
          <w:rFonts w:ascii="Arial" w:hAnsi="Arial" w:cs="Arial"/>
        </w:rPr>
        <w:t xml:space="preserve"> for participants, and that they would be directed to the most appropriate programme for them.</w:t>
      </w:r>
    </w:p>
    <w:p w:rsidR="00617028" w:rsidRDefault="00617028" w:rsidP="00C5144F">
      <w:pPr>
        <w:rPr>
          <w:rFonts w:ascii="Arial" w:hAnsi="Arial" w:cs="Arial"/>
        </w:rPr>
      </w:pPr>
    </w:p>
    <w:p w:rsidR="00C355DF" w:rsidRDefault="00303E9B" w:rsidP="00C5144F">
      <w:pPr>
        <w:rPr>
          <w:rFonts w:ascii="Arial" w:hAnsi="Arial" w:cs="Arial"/>
        </w:rPr>
      </w:pPr>
      <w:r>
        <w:rPr>
          <w:rFonts w:ascii="Arial" w:hAnsi="Arial" w:cs="Arial"/>
        </w:rPr>
        <w:t>Priority 2 focuses on those in employment to upskill or retrain.</w:t>
      </w:r>
      <w:r w:rsidR="00617028">
        <w:rPr>
          <w:rFonts w:ascii="Arial" w:hAnsi="Arial" w:cs="Arial"/>
        </w:rPr>
        <w:t xml:space="preserve">  Businesses have been supported to identify skills needs within their organisation, with the programmes then allowing them to upskill and/or retrain their workforce.</w:t>
      </w:r>
    </w:p>
    <w:p w:rsidR="00617028" w:rsidRDefault="00617028" w:rsidP="00C5144F">
      <w:pPr>
        <w:rPr>
          <w:rFonts w:ascii="Arial" w:hAnsi="Arial" w:cs="Arial"/>
        </w:rPr>
      </w:pPr>
    </w:p>
    <w:tbl>
      <w:tblPr>
        <w:tblStyle w:val="TableGrid"/>
        <w:tblW w:w="9890" w:type="dxa"/>
        <w:tblLayout w:type="fixed"/>
        <w:tblLook w:val="04A0" w:firstRow="1" w:lastRow="0" w:firstColumn="1" w:lastColumn="0" w:noHBand="0" w:noVBand="1"/>
      </w:tblPr>
      <w:tblGrid>
        <w:gridCol w:w="3936"/>
        <w:gridCol w:w="1417"/>
        <w:gridCol w:w="1418"/>
        <w:gridCol w:w="1417"/>
        <w:gridCol w:w="1702"/>
      </w:tblGrid>
      <w:tr w:rsidR="00C533EB" w:rsidRPr="00331B6C" w:rsidTr="000454F1">
        <w:trPr>
          <w:trHeight w:val="544"/>
        </w:trPr>
        <w:tc>
          <w:tcPr>
            <w:tcW w:w="3936" w:type="dxa"/>
            <w:shd w:val="clear" w:color="auto" w:fill="D9D9D9" w:themeFill="background1" w:themeFillShade="D9"/>
          </w:tcPr>
          <w:p w:rsidR="00C533EB" w:rsidRPr="00331B6C" w:rsidRDefault="00C533EB" w:rsidP="00C533EB">
            <w:pPr>
              <w:jc w:val="center"/>
              <w:rPr>
                <w:rFonts w:ascii="Arial" w:hAnsi="Arial" w:cs="Arial"/>
                <w:b/>
              </w:rPr>
            </w:pPr>
            <w:r w:rsidRPr="00331B6C">
              <w:rPr>
                <w:rFonts w:ascii="Arial" w:hAnsi="Arial" w:cs="Arial"/>
                <w:b/>
              </w:rPr>
              <w:t>Investment Priority</w:t>
            </w:r>
          </w:p>
        </w:tc>
        <w:tc>
          <w:tcPr>
            <w:tcW w:w="1417" w:type="dxa"/>
            <w:shd w:val="clear" w:color="auto" w:fill="D9D9D9" w:themeFill="background1" w:themeFillShade="D9"/>
          </w:tcPr>
          <w:p w:rsidR="00C533EB" w:rsidRPr="00331B6C" w:rsidRDefault="00C533EB" w:rsidP="00C533EB">
            <w:pPr>
              <w:jc w:val="center"/>
              <w:rPr>
                <w:rFonts w:ascii="Arial" w:hAnsi="Arial" w:cs="Arial"/>
                <w:b/>
              </w:rPr>
            </w:pPr>
            <w:r w:rsidRPr="00331B6C">
              <w:rPr>
                <w:rFonts w:ascii="Arial" w:hAnsi="Arial" w:cs="Arial"/>
                <w:b/>
              </w:rPr>
              <w:t>Euro Allocation</w:t>
            </w:r>
          </w:p>
        </w:tc>
        <w:tc>
          <w:tcPr>
            <w:tcW w:w="1418" w:type="dxa"/>
            <w:shd w:val="clear" w:color="auto" w:fill="D9D9D9" w:themeFill="background1" w:themeFillShade="D9"/>
          </w:tcPr>
          <w:p w:rsidR="00C533EB" w:rsidRPr="00331B6C" w:rsidRDefault="00C533EB" w:rsidP="00C533EB">
            <w:pPr>
              <w:jc w:val="center"/>
              <w:rPr>
                <w:rFonts w:ascii="Arial" w:hAnsi="Arial" w:cs="Arial"/>
                <w:b/>
              </w:rPr>
            </w:pPr>
            <w:r w:rsidRPr="00331B6C">
              <w:rPr>
                <w:rFonts w:ascii="Arial" w:hAnsi="Arial" w:cs="Arial"/>
                <w:b/>
              </w:rPr>
              <w:t>£ Allocation</w:t>
            </w:r>
          </w:p>
        </w:tc>
        <w:tc>
          <w:tcPr>
            <w:tcW w:w="1417" w:type="dxa"/>
            <w:shd w:val="clear" w:color="auto" w:fill="D9D9D9" w:themeFill="background1" w:themeFillShade="D9"/>
          </w:tcPr>
          <w:p w:rsidR="00C533EB" w:rsidRPr="00331B6C" w:rsidRDefault="000454F1" w:rsidP="00C533EB">
            <w:pPr>
              <w:jc w:val="center"/>
              <w:rPr>
                <w:rFonts w:ascii="Arial" w:hAnsi="Arial" w:cs="Arial"/>
                <w:b/>
              </w:rPr>
            </w:pPr>
            <w:r>
              <w:rPr>
                <w:rFonts w:ascii="Arial" w:hAnsi="Arial" w:cs="Arial"/>
                <w:b/>
              </w:rPr>
              <w:t xml:space="preserve">£ </w:t>
            </w:r>
            <w:r w:rsidR="00C533EB" w:rsidRPr="00331B6C">
              <w:rPr>
                <w:rFonts w:ascii="Arial" w:hAnsi="Arial" w:cs="Arial"/>
                <w:b/>
              </w:rPr>
              <w:t>Committed</w:t>
            </w:r>
          </w:p>
        </w:tc>
        <w:tc>
          <w:tcPr>
            <w:tcW w:w="1702" w:type="dxa"/>
            <w:shd w:val="clear" w:color="auto" w:fill="D9D9D9" w:themeFill="background1" w:themeFillShade="D9"/>
          </w:tcPr>
          <w:p w:rsidR="00C533EB" w:rsidRPr="00331B6C" w:rsidRDefault="00C533EB" w:rsidP="00C533EB">
            <w:pPr>
              <w:jc w:val="center"/>
              <w:rPr>
                <w:rFonts w:ascii="Arial" w:hAnsi="Arial" w:cs="Arial"/>
                <w:b/>
              </w:rPr>
            </w:pPr>
            <w:r w:rsidRPr="00331B6C">
              <w:rPr>
                <w:rFonts w:ascii="Arial" w:hAnsi="Arial" w:cs="Arial"/>
                <w:b/>
              </w:rPr>
              <w:t>Potential Commitment</w:t>
            </w:r>
          </w:p>
        </w:tc>
      </w:tr>
      <w:tr w:rsidR="00C533EB" w:rsidTr="00C533EB">
        <w:trPr>
          <w:trHeight w:val="528"/>
        </w:trPr>
        <w:tc>
          <w:tcPr>
            <w:tcW w:w="3936" w:type="dxa"/>
          </w:tcPr>
          <w:p w:rsidR="00C533EB" w:rsidRDefault="004E0FC8" w:rsidP="00C5144F">
            <w:pPr>
              <w:rPr>
                <w:rFonts w:ascii="Arial" w:hAnsi="Arial" w:cs="Arial"/>
              </w:rPr>
            </w:pPr>
            <w:r>
              <w:rPr>
                <w:rFonts w:ascii="Arial" w:hAnsi="Arial" w:cs="Arial"/>
              </w:rPr>
              <w:t xml:space="preserve">1.1 </w:t>
            </w:r>
            <w:r w:rsidR="00C533EB">
              <w:rPr>
                <w:rFonts w:ascii="Arial" w:hAnsi="Arial" w:cs="Arial"/>
              </w:rPr>
              <w:t>Unemployed and Economically Inactive</w:t>
            </w:r>
          </w:p>
        </w:tc>
        <w:tc>
          <w:tcPr>
            <w:tcW w:w="1417" w:type="dxa"/>
          </w:tcPr>
          <w:p w:rsidR="00C533EB" w:rsidRDefault="00C533EB" w:rsidP="00331B6C">
            <w:pPr>
              <w:jc w:val="right"/>
              <w:rPr>
                <w:rFonts w:ascii="Arial" w:hAnsi="Arial" w:cs="Arial"/>
              </w:rPr>
            </w:pPr>
            <w:r>
              <w:rPr>
                <w:rFonts w:ascii="Arial" w:hAnsi="Arial" w:cs="Arial"/>
              </w:rPr>
              <w:t>23,209,275</w:t>
            </w:r>
          </w:p>
        </w:tc>
        <w:tc>
          <w:tcPr>
            <w:tcW w:w="1418" w:type="dxa"/>
          </w:tcPr>
          <w:p w:rsidR="00C533EB" w:rsidRDefault="00C533EB" w:rsidP="00331B6C">
            <w:pPr>
              <w:jc w:val="right"/>
              <w:rPr>
                <w:rFonts w:ascii="Arial" w:hAnsi="Arial" w:cs="Arial"/>
              </w:rPr>
            </w:pPr>
            <w:r>
              <w:rPr>
                <w:rFonts w:ascii="Arial" w:hAnsi="Arial" w:cs="Arial"/>
              </w:rPr>
              <w:t>20,192,069</w:t>
            </w:r>
          </w:p>
        </w:tc>
        <w:tc>
          <w:tcPr>
            <w:tcW w:w="1417" w:type="dxa"/>
          </w:tcPr>
          <w:p w:rsidR="00C533EB" w:rsidRDefault="00C533EB" w:rsidP="00331B6C">
            <w:pPr>
              <w:jc w:val="right"/>
              <w:rPr>
                <w:rFonts w:ascii="Arial" w:hAnsi="Arial" w:cs="Arial"/>
              </w:rPr>
            </w:pPr>
            <w:r w:rsidRPr="0016665F">
              <w:rPr>
                <w:rFonts w:ascii="Arial" w:hAnsi="Arial" w:cs="Arial"/>
                <w:color w:val="FF0000"/>
              </w:rPr>
              <w:t>20,192,069</w:t>
            </w:r>
          </w:p>
        </w:tc>
        <w:tc>
          <w:tcPr>
            <w:tcW w:w="1702" w:type="dxa"/>
          </w:tcPr>
          <w:p w:rsidR="00C533EB" w:rsidRPr="00331B6C" w:rsidRDefault="00C533EB" w:rsidP="00331B6C">
            <w:pPr>
              <w:jc w:val="right"/>
              <w:rPr>
                <w:rFonts w:ascii="Arial" w:hAnsi="Arial" w:cs="Arial"/>
              </w:rPr>
            </w:pPr>
            <w:r>
              <w:rPr>
                <w:rFonts w:ascii="Arial" w:hAnsi="Arial" w:cs="Arial"/>
              </w:rPr>
              <w:t>0</w:t>
            </w:r>
          </w:p>
        </w:tc>
      </w:tr>
      <w:tr w:rsidR="00C533EB" w:rsidTr="00C533EB">
        <w:trPr>
          <w:trHeight w:val="257"/>
        </w:trPr>
        <w:tc>
          <w:tcPr>
            <w:tcW w:w="3936" w:type="dxa"/>
          </w:tcPr>
          <w:p w:rsidR="00C533EB" w:rsidRDefault="004E0FC8" w:rsidP="00C5144F">
            <w:pPr>
              <w:rPr>
                <w:rFonts w:ascii="Arial" w:hAnsi="Arial" w:cs="Arial"/>
              </w:rPr>
            </w:pPr>
            <w:r>
              <w:rPr>
                <w:rFonts w:ascii="Arial" w:hAnsi="Arial" w:cs="Arial"/>
              </w:rPr>
              <w:t xml:space="preserve">1.2 </w:t>
            </w:r>
            <w:r w:rsidR="00C533EB">
              <w:rPr>
                <w:rFonts w:ascii="Arial" w:hAnsi="Arial" w:cs="Arial"/>
              </w:rPr>
              <w:t>NEET’s</w:t>
            </w:r>
          </w:p>
        </w:tc>
        <w:tc>
          <w:tcPr>
            <w:tcW w:w="1417" w:type="dxa"/>
          </w:tcPr>
          <w:p w:rsidR="00C533EB" w:rsidRDefault="00C533EB" w:rsidP="00331B6C">
            <w:pPr>
              <w:jc w:val="right"/>
              <w:rPr>
                <w:rFonts w:ascii="Arial" w:hAnsi="Arial" w:cs="Arial"/>
              </w:rPr>
            </w:pPr>
            <w:r>
              <w:rPr>
                <w:rFonts w:ascii="Arial" w:hAnsi="Arial" w:cs="Arial"/>
              </w:rPr>
              <w:t>11,460,159</w:t>
            </w:r>
          </w:p>
        </w:tc>
        <w:tc>
          <w:tcPr>
            <w:tcW w:w="1418" w:type="dxa"/>
          </w:tcPr>
          <w:p w:rsidR="00C533EB" w:rsidRDefault="00C533EB" w:rsidP="00331B6C">
            <w:pPr>
              <w:jc w:val="right"/>
              <w:rPr>
                <w:rFonts w:ascii="Arial" w:hAnsi="Arial" w:cs="Arial"/>
              </w:rPr>
            </w:pPr>
            <w:r>
              <w:rPr>
                <w:rFonts w:ascii="Arial" w:hAnsi="Arial" w:cs="Arial"/>
              </w:rPr>
              <w:t>9,970,338</w:t>
            </w:r>
          </w:p>
        </w:tc>
        <w:tc>
          <w:tcPr>
            <w:tcW w:w="1417" w:type="dxa"/>
          </w:tcPr>
          <w:p w:rsidR="00C533EB" w:rsidRDefault="00C533EB" w:rsidP="00331B6C">
            <w:pPr>
              <w:jc w:val="right"/>
              <w:rPr>
                <w:rFonts w:ascii="Arial" w:hAnsi="Arial" w:cs="Arial"/>
              </w:rPr>
            </w:pPr>
            <w:r w:rsidRPr="0016665F">
              <w:rPr>
                <w:rFonts w:ascii="Arial" w:hAnsi="Arial" w:cs="Arial"/>
                <w:color w:val="FF0000"/>
              </w:rPr>
              <w:t>9,970,338</w:t>
            </w:r>
          </w:p>
        </w:tc>
        <w:tc>
          <w:tcPr>
            <w:tcW w:w="1702" w:type="dxa"/>
          </w:tcPr>
          <w:p w:rsidR="00C533EB" w:rsidRPr="00331B6C" w:rsidRDefault="00C533EB" w:rsidP="00331B6C">
            <w:pPr>
              <w:jc w:val="right"/>
              <w:rPr>
                <w:rFonts w:ascii="Arial" w:hAnsi="Arial" w:cs="Arial"/>
              </w:rPr>
            </w:pPr>
            <w:r>
              <w:rPr>
                <w:rFonts w:ascii="Arial" w:hAnsi="Arial" w:cs="Arial"/>
              </w:rPr>
              <w:t>0</w:t>
            </w:r>
          </w:p>
        </w:tc>
      </w:tr>
      <w:tr w:rsidR="00C533EB" w:rsidTr="000454F1">
        <w:trPr>
          <w:trHeight w:val="272"/>
        </w:trPr>
        <w:tc>
          <w:tcPr>
            <w:tcW w:w="3936" w:type="dxa"/>
            <w:tcBorders>
              <w:bottom w:val="single" w:sz="4" w:space="0" w:color="auto"/>
            </w:tcBorders>
          </w:tcPr>
          <w:p w:rsidR="00C533EB" w:rsidRDefault="004E0FC8" w:rsidP="00C5144F">
            <w:pPr>
              <w:rPr>
                <w:rFonts w:ascii="Arial" w:hAnsi="Arial" w:cs="Arial"/>
              </w:rPr>
            </w:pPr>
            <w:r>
              <w:rPr>
                <w:rFonts w:ascii="Arial" w:hAnsi="Arial" w:cs="Arial"/>
              </w:rPr>
              <w:t xml:space="preserve">1.4 </w:t>
            </w:r>
            <w:r w:rsidR="00C533EB">
              <w:rPr>
                <w:rFonts w:ascii="Arial" w:hAnsi="Arial" w:cs="Arial"/>
              </w:rPr>
              <w:t>Active Inclusion</w:t>
            </w:r>
          </w:p>
        </w:tc>
        <w:tc>
          <w:tcPr>
            <w:tcW w:w="1417" w:type="dxa"/>
            <w:tcBorders>
              <w:bottom w:val="single" w:sz="4" w:space="0" w:color="auto"/>
            </w:tcBorders>
          </w:tcPr>
          <w:p w:rsidR="00C533EB" w:rsidRDefault="00C533EB" w:rsidP="00331B6C">
            <w:pPr>
              <w:jc w:val="right"/>
              <w:rPr>
                <w:rFonts w:ascii="Arial" w:hAnsi="Arial" w:cs="Arial"/>
              </w:rPr>
            </w:pPr>
            <w:r>
              <w:rPr>
                <w:rFonts w:ascii="Arial" w:hAnsi="Arial" w:cs="Arial"/>
              </w:rPr>
              <w:t>13,911,573</w:t>
            </w:r>
          </w:p>
        </w:tc>
        <w:tc>
          <w:tcPr>
            <w:tcW w:w="1418" w:type="dxa"/>
            <w:tcBorders>
              <w:bottom w:val="single" w:sz="4" w:space="0" w:color="auto"/>
            </w:tcBorders>
          </w:tcPr>
          <w:p w:rsidR="00C533EB" w:rsidRDefault="00C533EB" w:rsidP="00331B6C">
            <w:pPr>
              <w:jc w:val="right"/>
              <w:rPr>
                <w:rFonts w:ascii="Arial" w:hAnsi="Arial" w:cs="Arial"/>
              </w:rPr>
            </w:pPr>
            <w:r>
              <w:rPr>
                <w:rFonts w:ascii="Arial" w:hAnsi="Arial" w:cs="Arial"/>
              </w:rPr>
              <w:t>12,103,069</w:t>
            </w:r>
          </w:p>
        </w:tc>
        <w:tc>
          <w:tcPr>
            <w:tcW w:w="1417" w:type="dxa"/>
            <w:tcBorders>
              <w:bottom w:val="single" w:sz="4" w:space="0" w:color="auto"/>
            </w:tcBorders>
          </w:tcPr>
          <w:p w:rsidR="00C533EB" w:rsidRDefault="00C533EB" w:rsidP="00331B6C">
            <w:pPr>
              <w:jc w:val="right"/>
              <w:rPr>
                <w:rFonts w:ascii="Arial" w:hAnsi="Arial" w:cs="Arial"/>
              </w:rPr>
            </w:pPr>
            <w:r>
              <w:rPr>
                <w:rFonts w:ascii="Arial" w:hAnsi="Arial" w:cs="Arial"/>
              </w:rPr>
              <w:t>12,103,069</w:t>
            </w:r>
          </w:p>
        </w:tc>
        <w:tc>
          <w:tcPr>
            <w:tcW w:w="1702" w:type="dxa"/>
            <w:tcBorders>
              <w:bottom w:val="single" w:sz="4" w:space="0" w:color="auto"/>
            </w:tcBorders>
          </w:tcPr>
          <w:p w:rsidR="00C533EB" w:rsidRPr="0016665F" w:rsidRDefault="00C533EB" w:rsidP="00331B6C">
            <w:pPr>
              <w:jc w:val="right"/>
              <w:rPr>
                <w:rFonts w:ascii="Arial" w:hAnsi="Arial" w:cs="Arial"/>
                <w:color w:val="FF0000"/>
              </w:rPr>
            </w:pPr>
            <w:r w:rsidRPr="0016665F">
              <w:rPr>
                <w:rFonts w:ascii="Arial" w:hAnsi="Arial" w:cs="Arial"/>
                <w:color w:val="FF0000"/>
              </w:rPr>
              <w:t>0</w:t>
            </w:r>
          </w:p>
        </w:tc>
      </w:tr>
      <w:tr w:rsidR="00C533EB" w:rsidRPr="00331B6C" w:rsidTr="000454F1">
        <w:trPr>
          <w:trHeight w:val="272"/>
        </w:trPr>
        <w:tc>
          <w:tcPr>
            <w:tcW w:w="3936" w:type="dxa"/>
            <w:shd w:val="clear" w:color="auto" w:fill="D9D9D9" w:themeFill="background1" w:themeFillShade="D9"/>
          </w:tcPr>
          <w:p w:rsidR="00C533EB" w:rsidRPr="00B75C02" w:rsidRDefault="00C533EB" w:rsidP="00C5144F">
            <w:pPr>
              <w:rPr>
                <w:rFonts w:ascii="Arial" w:hAnsi="Arial" w:cs="Arial"/>
                <w:b/>
              </w:rPr>
            </w:pPr>
            <w:r w:rsidRPr="00B75C02">
              <w:rPr>
                <w:rFonts w:ascii="Arial" w:hAnsi="Arial" w:cs="Arial"/>
                <w:b/>
              </w:rPr>
              <w:t>PA1 Total</w:t>
            </w:r>
          </w:p>
        </w:tc>
        <w:tc>
          <w:tcPr>
            <w:tcW w:w="1417" w:type="dxa"/>
            <w:shd w:val="clear" w:color="auto" w:fill="D9D9D9" w:themeFill="background1" w:themeFillShade="D9"/>
          </w:tcPr>
          <w:p w:rsidR="00C533EB" w:rsidRPr="00B75C02" w:rsidRDefault="00C533EB" w:rsidP="00331B6C">
            <w:pPr>
              <w:jc w:val="right"/>
              <w:rPr>
                <w:rFonts w:ascii="Arial" w:hAnsi="Arial" w:cs="Arial"/>
                <w:b/>
              </w:rPr>
            </w:pPr>
            <w:r w:rsidRPr="00B75C02">
              <w:rPr>
                <w:rFonts w:ascii="Arial" w:hAnsi="Arial" w:cs="Arial"/>
                <w:b/>
              </w:rPr>
              <w:t>48,581,007</w:t>
            </w:r>
          </w:p>
        </w:tc>
        <w:tc>
          <w:tcPr>
            <w:tcW w:w="1418" w:type="dxa"/>
            <w:shd w:val="clear" w:color="auto" w:fill="D9D9D9" w:themeFill="background1" w:themeFillShade="D9"/>
          </w:tcPr>
          <w:p w:rsidR="00C533EB" w:rsidRPr="00B75C02" w:rsidRDefault="00C533EB" w:rsidP="00331B6C">
            <w:pPr>
              <w:jc w:val="right"/>
              <w:rPr>
                <w:rFonts w:ascii="Arial" w:hAnsi="Arial" w:cs="Arial"/>
                <w:b/>
              </w:rPr>
            </w:pPr>
            <w:r w:rsidRPr="00B75C02">
              <w:rPr>
                <w:rFonts w:ascii="Arial" w:hAnsi="Arial" w:cs="Arial"/>
                <w:b/>
              </w:rPr>
              <w:t>42,265,476</w:t>
            </w:r>
          </w:p>
        </w:tc>
        <w:tc>
          <w:tcPr>
            <w:tcW w:w="1417" w:type="dxa"/>
            <w:shd w:val="clear" w:color="auto" w:fill="D9D9D9" w:themeFill="background1" w:themeFillShade="D9"/>
          </w:tcPr>
          <w:p w:rsidR="00C533EB" w:rsidRPr="00B75C02" w:rsidRDefault="00C533EB" w:rsidP="00331B6C">
            <w:pPr>
              <w:jc w:val="right"/>
              <w:rPr>
                <w:rFonts w:ascii="Arial" w:hAnsi="Arial" w:cs="Arial"/>
                <w:b/>
              </w:rPr>
            </w:pPr>
            <w:r w:rsidRPr="0016665F">
              <w:rPr>
                <w:rFonts w:ascii="Arial" w:hAnsi="Arial" w:cs="Arial"/>
                <w:b/>
                <w:color w:val="FF0000"/>
              </w:rPr>
              <w:t>42,265,476</w:t>
            </w:r>
          </w:p>
        </w:tc>
        <w:tc>
          <w:tcPr>
            <w:tcW w:w="1702" w:type="dxa"/>
            <w:shd w:val="clear" w:color="auto" w:fill="D9D9D9" w:themeFill="background1" w:themeFillShade="D9"/>
          </w:tcPr>
          <w:p w:rsidR="00C533EB" w:rsidRPr="0016665F" w:rsidRDefault="00C533EB" w:rsidP="00331B6C">
            <w:pPr>
              <w:jc w:val="right"/>
              <w:rPr>
                <w:rFonts w:ascii="Arial" w:hAnsi="Arial" w:cs="Arial"/>
                <w:b/>
                <w:color w:val="FF0000"/>
              </w:rPr>
            </w:pPr>
            <w:r w:rsidRPr="0016665F">
              <w:rPr>
                <w:rFonts w:ascii="Arial" w:hAnsi="Arial" w:cs="Arial"/>
                <w:b/>
                <w:color w:val="FF0000"/>
              </w:rPr>
              <w:t>0</w:t>
            </w:r>
          </w:p>
        </w:tc>
      </w:tr>
      <w:tr w:rsidR="00C533EB" w:rsidTr="00C533EB">
        <w:trPr>
          <w:trHeight w:val="257"/>
        </w:trPr>
        <w:tc>
          <w:tcPr>
            <w:tcW w:w="3936" w:type="dxa"/>
          </w:tcPr>
          <w:p w:rsidR="00C533EB" w:rsidRDefault="004E0FC8" w:rsidP="00C5144F">
            <w:pPr>
              <w:rPr>
                <w:rFonts w:ascii="Arial" w:hAnsi="Arial" w:cs="Arial"/>
              </w:rPr>
            </w:pPr>
            <w:r>
              <w:rPr>
                <w:rFonts w:ascii="Arial" w:hAnsi="Arial" w:cs="Arial"/>
              </w:rPr>
              <w:t xml:space="preserve">2.1 Access to </w:t>
            </w:r>
            <w:r w:rsidR="00C533EB">
              <w:rPr>
                <w:rFonts w:ascii="Arial" w:hAnsi="Arial" w:cs="Arial"/>
              </w:rPr>
              <w:t>Lifelong Learning</w:t>
            </w:r>
          </w:p>
        </w:tc>
        <w:tc>
          <w:tcPr>
            <w:tcW w:w="1417" w:type="dxa"/>
          </w:tcPr>
          <w:p w:rsidR="00C533EB" w:rsidRDefault="00C533EB" w:rsidP="00331B6C">
            <w:pPr>
              <w:jc w:val="right"/>
              <w:rPr>
                <w:rFonts w:ascii="Arial" w:hAnsi="Arial" w:cs="Arial"/>
              </w:rPr>
            </w:pPr>
            <w:r>
              <w:rPr>
                <w:rFonts w:ascii="Arial" w:hAnsi="Arial" w:cs="Arial"/>
              </w:rPr>
              <w:t>22,656,372</w:t>
            </w:r>
          </w:p>
        </w:tc>
        <w:tc>
          <w:tcPr>
            <w:tcW w:w="1418" w:type="dxa"/>
          </w:tcPr>
          <w:p w:rsidR="00C533EB" w:rsidRDefault="00C533EB" w:rsidP="00331B6C">
            <w:pPr>
              <w:jc w:val="right"/>
              <w:rPr>
                <w:rFonts w:ascii="Arial" w:hAnsi="Arial" w:cs="Arial"/>
              </w:rPr>
            </w:pPr>
            <w:r>
              <w:rPr>
                <w:rFonts w:ascii="Arial" w:hAnsi="Arial" w:cs="Arial"/>
              </w:rPr>
              <w:t>19,711,043</w:t>
            </w:r>
          </w:p>
        </w:tc>
        <w:tc>
          <w:tcPr>
            <w:tcW w:w="1417" w:type="dxa"/>
          </w:tcPr>
          <w:p w:rsidR="00C533EB" w:rsidRDefault="00C533EB" w:rsidP="00331B6C">
            <w:pPr>
              <w:jc w:val="right"/>
              <w:rPr>
                <w:rFonts w:ascii="Arial" w:hAnsi="Arial" w:cs="Arial"/>
              </w:rPr>
            </w:pPr>
            <w:r>
              <w:rPr>
                <w:rFonts w:ascii="Arial" w:hAnsi="Arial" w:cs="Arial"/>
              </w:rPr>
              <w:t>16,302,222</w:t>
            </w:r>
          </w:p>
        </w:tc>
        <w:tc>
          <w:tcPr>
            <w:tcW w:w="1702" w:type="dxa"/>
          </w:tcPr>
          <w:p w:rsidR="00C533EB" w:rsidRDefault="00C533EB" w:rsidP="00331B6C">
            <w:pPr>
              <w:jc w:val="right"/>
              <w:rPr>
                <w:rFonts w:ascii="Arial" w:hAnsi="Arial" w:cs="Arial"/>
              </w:rPr>
            </w:pPr>
            <w:r>
              <w:rPr>
                <w:rFonts w:ascii="Arial" w:hAnsi="Arial" w:cs="Arial"/>
              </w:rPr>
              <w:t>3,408,224</w:t>
            </w:r>
          </w:p>
        </w:tc>
      </w:tr>
      <w:tr w:rsidR="00C533EB" w:rsidTr="00B75C02">
        <w:trPr>
          <w:trHeight w:val="307"/>
        </w:trPr>
        <w:tc>
          <w:tcPr>
            <w:tcW w:w="3936" w:type="dxa"/>
            <w:tcBorders>
              <w:bottom w:val="single" w:sz="4" w:space="0" w:color="auto"/>
            </w:tcBorders>
          </w:tcPr>
          <w:p w:rsidR="00C533EB" w:rsidRDefault="004E0FC8" w:rsidP="00C5144F">
            <w:pPr>
              <w:rPr>
                <w:rFonts w:ascii="Arial" w:hAnsi="Arial" w:cs="Arial"/>
              </w:rPr>
            </w:pPr>
            <w:r>
              <w:rPr>
                <w:rFonts w:ascii="Arial" w:hAnsi="Arial" w:cs="Arial"/>
              </w:rPr>
              <w:t xml:space="preserve">2.2 </w:t>
            </w:r>
            <w:r w:rsidR="00C533EB">
              <w:rPr>
                <w:rFonts w:ascii="Arial" w:hAnsi="Arial" w:cs="Arial"/>
              </w:rPr>
              <w:t>Improving Relevance of Education</w:t>
            </w:r>
          </w:p>
        </w:tc>
        <w:tc>
          <w:tcPr>
            <w:tcW w:w="1417" w:type="dxa"/>
            <w:tcBorders>
              <w:bottom w:val="single" w:sz="4" w:space="0" w:color="auto"/>
            </w:tcBorders>
          </w:tcPr>
          <w:p w:rsidR="00C533EB" w:rsidRDefault="00C533EB" w:rsidP="00331B6C">
            <w:pPr>
              <w:jc w:val="right"/>
              <w:rPr>
                <w:rFonts w:ascii="Arial" w:hAnsi="Arial" w:cs="Arial"/>
              </w:rPr>
            </w:pPr>
            <w:r>
              <w:rPr>
                <w:rFonts w:ascii="Arial" w:hAnsi="Arial" w:cs="Arial"/>
              </w:rPr>
              <w:t>4,037,746</w:t>
            </w:r>
          </w:p>
        </w:tc>
        <w:tc>
          <w:tcPr>
            <w:tcW w:w="1418" w:type="dxa"/>
            <w:tcBorders>
              <w:bottom w:val="single" w:sz="4" w:space="0" w:color="auto"/>
            </w:tcBorders>
          </w:tcPr>
          <w:p w:rsidR="00C533EB" w:rsidRDefault="00C533EB" w:rsidP="00331B6C">
            <w:pPr>
              <w:jc w:val="right"/>
              <w:rPr>
                <w:rFonts w:ascii="Arial" w:hAnsi="Arial" w:cs="Arial"/>
              </w:rPr>
            </w:pPr>
            <w:r>
              <w:rPr>
                <w:rFonts w:ascii="Arial" w:hAnsi="Arial" w:cs="Arial"/>
              </w:rPr>
              <w:t>3,512,839</w:t>
            </w:r>
          </w:p>
        </w:tc>
        <w:tc>
          <w:tcPr>
            <w:tcW w:w="1417" w:type="dxa"/>
            <w:tcBorders>
              <w:bottom w:val="single" w:sz="4" w:space="0" w:color="auto"/>
            </w:tcBorders>
          </w:tcPr>
          <w:p w:rsidR="00C533EB" w:rsidRDefault="00C533EB" w:rsidP="00331B6C">
            <w:pPr>
              <w:jc w:val="right"/>
              <w:rPr>
                <w:rFonts w:ascii="Arial" w:hAnsi="Arial" w:cs="Arial"/>
              </w:rPr>
            </w:pPr>
            <w:r>
              <w:rPr>
                <w:rFonts w:ascii="Arial" w:hAnsi="Arial" w:cs="Arial"/>
              </w:rPr>
              <w:t>1,626,076</w:t>
            </w:r>
          </w:p>
        </w:tc>
        <w:tc>
          <w:tcPr>
            <w:tcW w:w="1702" w:type="dxa"/>
            <w:tcBorders>
              <w:bottom w:val="single" w:sz="4" w:space="0" w:color="auto"/>
            </w:tcBorders>
          </w:tcPr>
          <w:p w:rsidR="00C533EB" w:rsidRDefault="00C533EB" w:rsidP="00331B6C">
            <w:pPr>
              <w:jc w:val="right"/>
              <w:rPr>
                <w:rFonts w:ascii="Arial" w:hAnsi="Arial" w:cs="Arial"/>
              </w:rPr>
            </w:pPr>
            <w:r>
              <w:rPr>
                <w:rFonts w:ascii="Arial" w:hAnsi="Arial" w:cs="Arial"/>
              </w:rPr>
              <w:t>1,886,000</w:t>
            </w:r>
          </w:p>
        </w:tc>
      </w:tr>
      <w:tr w:rsidR="00C533EB" w:rsidRPr="00331B6C" w:rsidTr="00B75C02">
        <w:trPr>
          <w:trHeight w:val="272"/>
        </w:trPr>
        <w:tc>
          <w:tcPr>
            <w:tcW w:w="3936" w:type="dxa"/>
            <w:shd w:val="clear" w:color="auto" w:fill="D9D9D9" w:themeFill="background1" w:themeFillShade="D9"/>
          </w:tcPr>
          <w:p w:rsidR="00C533EB" w:rsidRPr="00B75C02" w:rsidRDefault="00C533EB" w:rsidP="00C5144F">
            <w:pPr>
              <w:rPr>
                <w:rFonts w:ascii="Arial" w:hAnsi="Arial" w:cs="Arial"/>
                <w:b/>
              </w:rPr>
            </w:pPr>
            <w:r w:rsidRPr="00B75C02">
              <w:rPr>
                <w:rFonts w:ascii="Arial" w:hAnsi="Arial" w:cs="Arial"/>
                <w:b/>
              </w:rPr>
              <w:t>PA2 Total</w:t>
            </w:r>
          </w:p>
        </w:tc>
        <w:tc>
          <w:tcPr>
            <w:tcW w:w="1417" w:type="dxa"/>
            <w:shd w:val="clear" w:color="auto" w:fill="D9D9D9" w:themeFill="background1" w:themeFillShade="D9"/>
          </w:tcPr>
          <w:p w:rsidR="00C533EB" w:rsidRPr="00B75C02" w:rsidRDefault="00C533EB" w:rsidP="00331B6C">
            <w:pPr>
              <w:jc w:val="right"/>
              <w:rPr>
                <w:rFonts w:ascii="Arial" w:hAnsi="Arial" w:cs="Arial"/>
                <w:b/>
              </w:rPr>
            </w:pPr>
            <w:r w:rsidRPr="00B75C02">
              <w:rPr>
                <w:rFonts w:ascii="Arial" w:hAnsi="Arial" w:cs="Arial"/>
                <w:b/>
              </w:rPr>
              <w:t>26,694,118</w:t>
            </w:r>
          </w:p>
        </w:tc>
        <w:tc>
          <w:tcPr>
            <w:tcW w:w="1418" w:type="dxa"/>
            <w:shd w:val="clear" w:color="auto" w:fill="D9D9D9" w:themeFill="background1" w:themeFillShade="D9"/>
          </w:tcPr>
          <w:p w:rsidR="00C533EB" w:rsidRPr="00B75C02" w:rsidRDefault="00C533EB" w:rsidP="00331B6C">
            <w:pPr>
              <w:jc w:val="right"/>
              <w:rPr>
                <w:rFonts w:ascii="Arial" w:hAnsi="Arial" w:cs="Arial"/>
                <w:b/>
              </w:rPr>
            </w:pPr>
            <w:r w:rsidRPr="00B75C02">
              <w:rPr>
                <w:rFonts w:ascii="Arial" w:hAnsi="Arial" w:cs="Arial"/>
                <w:b/>
              </w:rPr>
              <w:t>23,223,883</w:t>
            </w:r>
          </w:p>
        </w:tc>
        <w:tc>
          <w:tcPr>
            <w:tcW w:w="1417" w:type="dxa"/>
            <w:shd w:val="clear" w:color="auto" w:fill="D9D9D9" w:themeFill="background1" w:themeFillShade="D9"/>
          </w:tcPr>
          <w:p w:rsidR="00C533EB" w:rsidRPr="00B75C02" w:rsidRDefault="00C533EB" w:rsidP="00331B6C">
            <w:pPr>
              <w:jc w:val="right"/>
              <w:rPr>
                <w:rFonts w:ascii="Arial" w:hAnsi="Arial" w:cs="Arial"/>
                <w:b/>
              </w:rPr>
            </w:pPr>
            <w:r w:rsidRPr="00B75C02">
              <w:rPr>
                <w:rFonts w:ascii="Arial" w:hAnsi="Arial" w:cs="Arial"/>
                <w:b/>
              </w:rPr>
              <w:t>17,928,298</w:t>
            </w:r>
          </w:p>
        </w:tc>
        <w:tc>
          <w:tcPr>
            <w:tcW w:w="1702" w:type="dxa"/>
            <w:shd w:val="clear" w:color="auto" w:fill="D9D9D9" w:themeFill="background1" w:themeFillShade="D9"/>
          </w:tcPr>
          <w:p w:rsidR="00C533EB" w:rsidRPr="00B75C02" w:rsidRDefault="00C533EB" w:rsidP="00331B6C">
            <w:pPr>
              <w:jc w:val="right"/>
              <w:rPr>
                <w:rFonts w:ascii="Arial" w:hAnsi="Arial" w:cs="Arial"/>
                <w:b/>
              </w:rPr>
            </w:pPr>
            <w:r w:rsidRPr="00B75C02">
              <w:rPr>
                <w:rFonts w:ascii="Arial" w:hAnsi="Arial" w:cs="Arial"/>
                <w:b/>
              </w:rPr>
              <w:t>5,294,224</w:t>
            </w:r>
          </w:p>
        </w:tc>
      </w:tr>
      <w:tr w:rsidR="00C533EB" w:rsidRPr="00331B6C" w:rsidTr="00B75C02">
        <w:trPr>
          <w:trHeight w:val="272"/>
        </w:trPr>
        <w:tc>
          <w:tcPr>
            <w:tcW w:w="3936" w:type="dxa"/>
            <w:shd w:val="clear" w:color="auto" w:fill="D9D9D9" w:themeFill="background1" w:themeFillShade="D9"/>
          </w:tcPr>
          <w:p w:rsidR="00C533EB" w:rsidRPr="00331B6C" w:rsidRDefault="00C533EB" w:rsidP="00C5144F">
            <w:pPr>
              <w:rPr>
                <w:rFonts w:ascii="Arial" w:hAnsi="Arial" w:cs="Arial"/>
                <w:b/>
              </w:rPr>
            </w:pPr>
            <w:r w:rsidRPr="00331B6C">
              <w:rPr>
                <w:rFonts w:ascii="Arial" w:hAnsi="Arial" w:cs="Arial"/>
                <w:b/>
              </w:rPr>
              <w:t>TOTAL</w:t>
            </w:r>
          </w:p>
        </w:tc>
        <w:tc>
          <w:tcPr>
            <w:tcW w:w="1417" w:type="dxa"/>
            <w:shd w:val="clear" w:color="auto" w:fill="D9D9D9" w:themeFill="background1" w:themeFillShade="D9"/>
          </w:tcPr>
          <w:p w:rsidR="00C533EB" w:rsidRPr="00331B6C" w:rsidRDefault="00C533EB" w:rsidP="00331B6C">
            <w:pPr>
              <w:jc w:val="right"/>
              <w:rPr>
                <w:rFonts w:ascii="Arial" w:hAnsi="Arial" w:cs="Arial"/>
                <w:b/>
              </w:rPr>
            </w:pPr>
            <w:r w:rsidRPr="00331B6C">
              <w:rPr>
                <w:rFonts w:ascii="Arial" w:hAnsi="Arial" w:cs="Arial"/>
                <w:b/>
              </w:rPr>
              <w:t>75,275,125</w:t>
            </w:r>
          </w:p>
        </w:tc>
        <w:tc>
          <w:tcPr>
            <w:tcW w:w="1418" w:type="dxa"/>
            <w:shd w:val="clear" w:color="auto" w:fill="D9D9D9" w:themeFill="background1" w:themeFillShade="D9"/>
          </w:tcPr>
          <w:p w:rsidR="00C533EB" w:rsidRPr="00331B6C" w:rsidRDefault="00C533EB" w:rsidP="00331B6C">
            <w:pPr>
              <w:jc w:val="right"/>
              <w:rPr>
                <w:rFonts w:ascii="Arial" w:hAnsi="Arial" w:cs="Arial"/>
                <w:b/>
              </w:rPr>
            </w:pPr>
            <w:r w:rsidRPr="00331B6C">
              <w:rPr>
                <w:rFonts w:ascii="Arial" w:hAnsi="Arial" w:cs="Arial"/>
                <w:b/>
              </w:rPr>
              <w:t>65,489,359</w:t>
            </w:r>
          </w:p>
        </w:tc>
        <w:tc>
          <w:tcPr>
            <w:tcW w:w="1417" w:type="dxa"/>
            <w:shd w:val="clear" w:color="auto" w:fill="D9D9D9" w:themeFill="background1" w:themeFillShade="D9"/>
          </w:tcPr>
          <w:p w:rsidR="00C533EB" w:rsidRPr="00331B6C" w:rsidRDefault="00C533EB" w:rsidP="00331B6C">
            <w:pPr>
              <w:jc w:val="right"/>
              <w:rPr>
                <w:rFonts w:ascii="Arial" w:hAnsi="Arial" w:cs="Arial"/>
                <w:b/>
              </w:rPr>
            </w:pPr>
            <w:r w:rsidRPr="0016665F">
              <w:rPr>
                <w:rFonts w:ascii="Arial" w:hAnsi="Arial" w:cs="Arial"/>
                <w:b/>
                <w:color w:val="FF0000"/>
              </w:rPr>
              <w:t>60,193,774</w:t>
            </w:r>
          </w:p>
        </w:tc>
        <w:tc>
          <w:tcPr>
            <w:tcW w:w="1702" w:type="dxa"/>
            <w:shd w:val="clear" w:color="auto" w:fill="D9D9D9" w:themeFill="background1" w:themeFillShade="D9"/>
          </w:tcPr>
          <w:p w:rsidR="00C533EB" w:rsidRPr="00331B6C" w:rsidRDefault="00C533EB" w:rsidP="00331B6C">
            <w:pPr>
              <w:jc w:val="right"/>
              <w:rPr>
                <w:rFonts w:ascii="Arial" w:hAnsi="Arial" w:cs="Arial"/>
                <w:b/>
              </w:rPr>
            </w:pPr>
            <w:r w:rsidRPr="00331B6C">
              <w:rPr>
                <w:rFonts w:ascii="Arial" w:hAnsi="Arial" w:cs="Arial"/>
                <w:b/>
              </w:rPr>
              <w:t>5,294,224</w:t>
            </w:r>
          </w:p>
        </w:tc>
      </w:tr>
    </w:tbl>
    <w:p w:rsidR="00331B6C" w:rsidRDefault="00331B6C" w:rsidP="00C5144F">
      <w:pPr>
        <w:rPr>
          <w:rFonts w:ascii="Arial" w:hAnsi="Arial" w:cs="Arial"/>
        </w:rPr>
      </w:pPr>
    </w:p>
    <w:p w:rsidR="00617028" w:rsidRDefault="00617028" w:rsidP="00C5144F">
      <w:pPr>
        <w:rPr>
          <w:rFonts w:ascii="Arial" w:hAnsi="Arial" w:cs="Arial"/>
        </w:rPr>
      </w:pPr>
      <w:r>
        <w:rPr>
          <w:rFonts w:ascii="Arial" w:hAnsi="Arial" w:cs="Arial"/>
        </w:rPr>
        <w:t>The majority of the opt-in programmes have been successful</w:t>
      </w:r>
      <w:r w:rsidR="000454F1">
        <w:rPr>
          <w:rFonts w:ascii="Arial" w:hAnsi="Arial" w:cs="Arial"/>
        </w:rPr>
        <w:t xml:space="preserve"> in terms of outputs</w:t>
      </w:r>
      <w:r w:rsidR="00513FD3">
        <w:rPr>
          <w:rFonts w:ascii="Arial" w:hAnsi="Arial" w:cs="Arial"/>
        </w:rPr>
        <w:t xml:space="preserve"> as can be seen below.</w:t>
      </w:r>
      <w:r w:rsidR="00F57207">
        <w:rPr>
          <w:rFonts w:ascii="Arial" w:hAnsi="Arial" w:cs="Arial"/>
        </w:rPr>
        <w:t xml:space="preserve">  Progressions </w:t>
      </w:r>
      <w:r w:rsidR="000454F1">
        <w:rPr>
          <w:rFonts w:ascii="Arial" w:hAnsi="Arial" w:cs="Arial"/>
        </w:rPr>
        <w:t>under each of the funding priorities will include the</w:t>
      </w:r>
      <w:r w:rsidR="00F57207">
        <w:rPr>
          <w:rFonts w:ascii="Arial" w:hAnsi="Arial" w:cs="Arial"/>
        </w:rPr>
        <w:t xml:space="preserve"> following:</w:t>
      </w:r>
    </w:p>
    <w:p w:rsidR="00F57207" w:rsidRDefault="00F57207" w:rsidP="00C5144F">
      <w:pPr>
        <w:rPr>
          <w:rFonts w:ascii="Arial" w:hAnsi="Arial" w:cs="Arial"/>
        </w:rPr>
      </w:pPr>
    </w:p>
    <w:p w:rsidR="00F57207" w:rsidRDefault="00F57207" w:rsidP="00C5144F">
      <w:pPr>
        <w:rPr>
          <w:rFonts w:ascii="Arial" w:hAnsi="Arial" w:cs="Arial"/>
        </w:rPr>
      </w:pPr>
      <w:r>
        <w:rPr>
          <w:rFonts w:ascii="Arial" w:hAnsi="Arial" w:cs="Arial"/>
        </w:rPr>
        <w:t>Progression into Employment</w:t>
      </w:r>
    </w:p>
    <w:p w:rsidR="00F57207" w:rsidRDefault="00F57207" w:rsidP="00C5144F">
      <w:pPr>
        <w:rPr>
          <w:rFonts w:ascii="Arial" w:hAnsi="Arial" w:cs="Arial"/>
        </w:rPr>
      </w:pPr>
      <w:r>
        <w:rPr>
          <w:rFonts w:ascii="Arial" w:hAnsi="Arial" w:cs="Arial"/>
        </w:rPr>
        <w:t>Progression into Volunteering (not included in the new contracts)</w:t>
      </w:r>
    </w:p>
    <w:p w:rsidR="00F57207" w:rsidRDefault="00F57207" w:rsidP="00C5144F">
      <w:pPr>
        <w:rPr>
          <w:rFonts w:ascii="Arial" w:hAnsi="Arial" w:cs="Arial"/>
        </w:rPr>
      </w:pPr>
      <w:r w:rsidRPr="00F57207">
        <w:rPr>
          <w:rFonts w:ascii="Arial" w:hAnsi="Arial" w:cs="Arial"/>
        </w:rPr>
        <w:t>Progression into Education</w:t>
      </w:r>
    </w:p>
    <w:p w:rsidR="00F57207" w:rsidRDefault="00F57207" w:rsidP="00C5144F">
      <w:pPr>
        <w:rPr>
          <w:rFonts w:ascii="Arial" w:hAnsi="Arial" w:cs="Arial"/>
        </w:rPr>
      </w:pPr>
      <w:r>
        <w:rPr>
          <w:rFonts w:ascii="Arial" w:hAnsi="Arial" w:cs="Arial"/>
        </w:rPr>
        <w:t>Progression into Apprenticeship</w:t>
      </w:r>
    </w:p>
    <w:p w:rsidR="00F57207" w:rsidRDefault="00F57207" w:rsidP="00C5144F">
      <w:pPr>
        <w:rPr>
          <w:rFonts w:ascii="Arial" w:hAnsi="Arial" w:cs="Arial"/>
        </w:rPr>
      </w:pPr>
      <w:r>
        <w:rPr>
          <w:rFonts w:ascii="Arial" w:hAnsi="Arial" w:cs="Arial"/>
        </w:rPr>
        <w:t>Progression into Traineeships</w:t>
      </w:r>
    </w:p>
    <w:p w:rsidR="00617028" w:rsidRDefault="00617028" w:rsidP="00C5144F">
      <w:pPr>
        <w:rPr>
          <w:rFonts w:ascii="Arial" w:hAnsi="Arial" w:cs="Arial"/>
        </w:rPr>
      </w:pPr>
    </w:p>
    <w:tbl>
      <w:tblPr>
        <w:tblW w:w="9889" w:type="dxa"/>
        <w:tblCellMar>
          <w:left w:w="0" w:type="dxa"/>
          <w:right w:w="0" w:type="dxa"/>
        </w:tblCellMar>
        <w:tblLook w:val="04A0" w:firstRow="1" w:lastRow="0" w:firstColumn="1" w:lastColumn="0" w:noHBand="0" w:noVBand="1"/>
      </w:tblPr>
      <w:tblGrid>
        <w:gridCol w:w="1668"/>
        <w:gridCol w:w="1134"/>
        <w:gridCol w:w="1134"/>
        <w:gridCol w:w="1417"/>
        <w:gridCol w:w="1559"/>
        <w:gridCol w:w="1560"/>
        <w:gridCol w:w="1417"/>
      </w:tblGrid>
      <w:tr w:rsidR="00401615" w:rsidRPr="00401615" w:rsidTr="00401615">
        <w:trPr>
          <w:trHeight w:val="902"/>
        </w:trPr>
        <w:tc>
          <w:tcPr>
            <w:tcW w:w="166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01615" w:rsidRDefault="00401615" w:rsidP="00401615">
            <w:pPr>
              <w:rPr>
                <w:rFonts w:ascii="Arial" w:hAnsi="Arial" w:cs="Arial"/>
              </w:rPr>
            </w:pPr>
            <w:r w:rsidRPr="00401615">
              <w:rPr>
                <w:rFonts w:ascii="Arial" w:hAnsi="Arial" w:cs="Arial"/>
              </w:rPr>
              <w:t xml:space="preserve">Original Contracts </w:t>
            </w:r>
          </w:p>
          <w:p w:rsidR="00401615" w:rsidRPr="00401615" w:rsidRDefault="00401615" w:rsidP="00401615">
            <w:pPr>
              <w:rPr>
                <w:rFonts w:ascii="Arial" w:hAnsi="Arial" w:cs="Arial"/>
              </w:rPr>
            </w:pPr>
            <w:r w:rsidRPr="00401615">
              <w:rPr>
                <w:rFonts w:ascii="Arial" w:hAnsi="Arial" w:cs="Arial"/>
              </w:rPr>
              <w:t>2016 - 2019</w:t>
            </w:r>
          </w:p>
        </w:tc>
        <w:tc>
          <w:tcPr>
            <w:tcW w:w="1134"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Starts Actual</w:t>
            </w:r>
          </w:p>
        </w:tc>
        <w:tc>
          <w:tcPr>
            <w:tcW w:w="1134"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Starts Target</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Pr>
                <w:rFonts w:ascii="Arial" w:hAnsi="Arial" w:cs="Arial"/>
              </w:rPr>
              <w:t xml:space="preserve">% </w:t>
            </w:r>
            <w:r w:rsidRPr="00401615">
              <w:rPr>
                <w:rFonts w:ascii="Arial" w:hAnsi="Arial" w:cs="Arial"/>
              </w:rPr>
              <w:t>Delivered</w:t>
            </w:r>
          </w:p>
        </w:tc>
        <w:tc>
          <w:tcPr>
            <w:tcW w:w="155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Progressions Actual</w:t>
            </w:r>
          </w:p>
        </w:tc>
        <w:tc>
          <w:tcPr>
            <w:tcW w:w="156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Progressions Target</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Percentage Delivered</w:t>
            </w:r>
          </w:p>
        </w:tc>
      </w:tr>
      <w:tr w:rsidR="00401615" w:rsidRPr="00401615" w:rsidTr="00401615">
        <w:trPr>
          <w:trHeight w:val="28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1.1</w:t>
            </w:r>
            <w:r w:rsidR="004E0FC8">
              <w:rPr>
                <w:rFonts w:ascii="Arial" w:hAnsi="Arial" w:cs="Arial"/>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5598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5941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94%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3665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1388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273%</w:t>
            </w:r>
          </w:p>
        </w:tc>
      </w:tr>
      <w:tr w:rsidR="00401615" w:rsidRPr="00401615" w:rsidTr="00401615">
        <w:trPr>
          <w:trHeight w:val="28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4144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3852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108%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2412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1776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139%</w:t>
            </w:r>
          </w:p>
        </w:tc>
      </w:tr>
      <w:tr w:rsidR="00401615" w:rsidRPr="00401615" w:rsidTr="00401615">
        <w:trPr>
          <w:trHeight w:val="28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3769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4237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89%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1165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1968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59%</w:t>
            </w:r>
          </w:p>
        </w:tc>
      </w:tr>
      <w:tr w:rsidR="00401615" w:rsidRPr="00401615" w:rsidTr="00401615">
        <w:trPr>
          <w:trHeight w:val="29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6773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7952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3703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6656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55%</w:t>
            </w:r>
          </w:p>
        </w:tc>
      </w:tr>
      <w:tr w:rsidR="00401615" w:rsidRPr="00401615" w:rsidTr="00401615">
        <w:trPr>
          <w:trHeight w:val="28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Totals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20284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21982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92%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10945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11788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92%</w:t>
            </w:r>
          </w:p>
        </w:tc>
      </w:tr>
      <w:tr w:rsidR="00401615" w:rsidRPr="00401615" w:rsidTr="00401615">
        <w:trPr>
          <w:trHeight w:val="28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615" w:rsidRPr="00401615" w:rsidRDefault="00401615" w:rsidP="00401615">
            <w:pPr>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01615" w:rsidRPr="00401615" w:rsidRDefault="00401615" w:rsidP="00401615">
            <w:pPr>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01615" w:rsidRPr="00401615" w:rsidRDefault="00401615" w:rsidP="00401615">
            <w:pPr>
              <w:rPr>
                <w:rFonts w:ascii="Arial"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01615" w:rsidRPr="00401615" w:rsidRDefault="00401615" w:rsidP="00401615">
            <w:pPr>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01615" w:rsidRPr="00401615" w:rsidRDefault="00401615" w:rsidP="00401615">
            <w:pPr>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01615" w:rsidRPr="00401615" w:rsidRDefault="00401615" w:rsidP="00401615">
            <w:pPr>
              <w:rPr>
                <w:rFonts w:ascii="Arial"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01615" w:rsidRPr="00401615" w:rsidRDefault="00401615" w:rsidP="00401615">
            <w:pPr>
              <w:rPr>
                <w:rFonts w:ascii="Arial" w:hAnsi="Arial" w:cs="Arial"/>
              </w:rPr>
            </w:pPr>
          </w:p>
        </w:tc>
      </w:tr>
      <w:tr w:rsidR="00401615" w:rsidRPr="00401615" w:rsidTr="00401615">
        <w:trPr>
          <w:trHeight w:val="902"/>
        </w:trPr>
        <w:tc>
          <w:tcPr>
            <w:tcW w:w="1668"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01615" w:rsidRDefault="00401615" w:rsidP="00401615">
            <w:pPr>
              <w:rPr>
                <w:rFonts w:ascii="Arial" w:hAnsi="Arial" w:cs="Arial"/>
              </w:rPr>
            </w:pPr>
            <w:r w:rsidRPr="00401615">
              <w:rPr>
                <w:rFonts w:ascii="Arial" w:hAnsi="Arial" w:cs="Arial"/>
              </w:rPr>
              <w:t xml:space="preserve">New Contracts </w:t>
            </w:r>
          </w:p>
          <w:p w:rsidR="00401615" w:rsidRPr="00401615" w:rsidRDefault="00401615" w:rsidP="00401615">
            <w:pPr>
              <w:rPr>
                <w:rFonts w:ascii="Arial" w:hAnsi="Arial" w:cs="Arial"/>
              </w:rPr>
            </w:pPr>
            <w:r w:rsidRPr="00401615">
              <w:rPr>
                <w:rFonts w:ascii="Arial" w:hAnsi="Arial" w:cs="Arial"/>
              </w:rPr>
              <w:t xml:space="preserve">April – Oct </w:t>
            </w:r>
            <w:r>
              <w:rPr>
                <w:rFonts w:ascii="Arial" w:hAnsi="Arial" w:cs="Arial"/>
              </w:rPr>
              <w:t>20</w:t>
            </w:r>
            <w:r w:rsidRPr="00401615">
              <w:rPr>
                <w:rFonts w:ascii="Arial" w:hAnsi="Arial" w:cs="Arial"/>
              </w:rPr>
              <w:t>19</w:t>
            </w:r>
          </w:p>
        </w:tc>
        <w:tc>
          <w:tcPr>
            <w:tcW w:w="1134"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Starts Actual</w:t>
            </w:r>
          </w:p>
        </w:tc>
        <w:tc>
          <w:tcPr>
            <w:tcW w:w="1134"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Starts Target</w:t>
            </w:r>
          </w:p>
        </w:tc>
        <w:tc>
          <w:tcPr>
            <w:tcW w:w="141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Pr>
                <w:rFonts w:ascii="Arial" w:hAnsi="Arial" w:cs="Arial"/>
              </w:rPr>
              <w:t>%</w:t>
            </w:r>
            <w:r w:rsidRPr="00401615">
              <w:rPr>
                <w:rFonts w:ascii="Arial" w:hAnsi="Arial" w:cs="Arial"/>
              </w:rPr>
              <w:t xml:space="preserve"> Delivered</w:t>
            </w: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Progressions Actual</w:t>
            </w:r>
          </w:p>
        </w:tc>
        <w:tc>
          <w:tcPr>
            <w:tcW w:w="1560"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Progressions Target</w:t>
            </w:r>
          </w:p>
        </w:tc>
        <w:tc>
          <w:tcPr>
            <w:tcW w:w="141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Percentage Delivered</w:t>
            </w:r>
          </w:p>
        </w:tc>
      </w:tr>
      <w:tr w:rsidR="00401615" w:rsidRPr="00401615" w:rsidTr="00401615">
        <w:trPr>
          <w:trHeight w:val="29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1219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2077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59%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366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1039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35%</w:t>
            </w:r>
          </w:p>
        </w:tc>
      </w:tr>
      <w:tr w:rsidR="00401615" w:rsidRPr="00401615" w:rsidTr="00401615">
        <w:trPr>
          <w:trHeight w:val="28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899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2857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368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1543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24%</w:t>
            </w:r>
          </w:p>
        </w:tc>
      </w:tr>
      <w:tr w:rsidR="00401615" w:rsidRPr="00401615" w:rsidTr="00401615">
        <w:trPr>
          <w:trHeight w:val="28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lastRenderedPageBreak/>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83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638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202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0%</w:t>
            </w:r>
          </w:p>
        </w:tc>
      </w:tr>
      <w:tr w:rsidR="00401615" w:rsidRPr="00401615" w:rsidTr="00401615">
        <w:trPr>
          <w:trHeight w:val="29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1007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2449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41%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310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979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rPr>
            </w:pPr>
            <w:r w:rsidRPr="00401615">
              <w:rPr>
                <w:rFonts w:ascii="Arial" w:hAnsi="Arial" w:cs="Arial"/>
              </w:rPr>
              <w:t>32%</w:t>
            </w:r>
          </w:p>
        </w:tc>
      </w:tr>
      <w:tr w:rsidR="00401615" w:rsidRPr="00401615" w:rsidTr="00401615">
        <w:trPr>
          <w:trHeight w:val="28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Totals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3208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8021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1044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3763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1615" w:rsidRPr="00401615" w:rsidRDefault="00401615" w:rsidP="00401615">
            <w:pPr>
              <w:rPr>
                <w:rFonts w:ascii="Arial" w:hAnsi="Arial" w:cs="Arial"/>
                <w:b/>
                <w:bCs/>
              </w:rPr>
            </w:pPr>
            <w:r w:rsidRPr="00401615">
              <w:rPr>
                <w:rFonts w:ascii="Arial" w:hAnsi="Arial" w:cs="Arial"/>
                <w:b/>
                <w:bCs/>
              </w:rPr>
              <w:t>27%</w:t>
            </w:r>
          </w:p>
        </w:tc>
      </w:tr>
    </w:tbl>
    <w:p w:rsidR="00401615" w:rsidRDefault="00401615" w:rsidP="00C5144F">
      <w:pPr>
        <w:rPr>
          <w:rFonts w:ascii="Arial" w:hAnsi="Arial" w:cs="Arial"/>
        </w:rPr>
      </w:pPr>
    </w:p>
    <w:p w:rsidR="009D29FB" w:rsidRDefault="009D29FB" w:rsidP="00C5144F">
      <w:pPr>
        <w:rPr>
          <w:rFonts w:ascii="Arial" w:hAnsi="Arial" w:cs="Arial"/>
        </w:rPr>
      </w:pPr>
    </w:p>
    <w:p w:rsidR="009D29FB" w:rsidRDefault="009D29FB" w:rsidP="00C5144F">
      <w:pPr>
        <w:rPr>
          <w:rFonts w:ascii="Arial" w:hAnsi="Arial" w:cs="Arial"/>
        </w:rPr>
      </w:pPr>
    </w:p>
    <w:p w:rsidR="009D29FB" w:rsidRDefault="009D29FB" w:rsidP="00C5144F">
      <w:pPr>
        <w:rPr>
          <w:rFonts w:ascii="Arial" w:hAnsi="Arial" w:cs="Arial"/>
        </w:rPr>
      </w:pPr>
    </w:p>
    <w:p w:rsidR="009D29FB" w:rsidRDefault="009D29FB" w:rsidP="00C5144F">
      <w:pPr>
        <w:rPr>
          <w:rFonts w:ascii="Arial" w:hAnsi="Arial" w:cs="Arial"/>
        </w:rPr>
      </w:pPr>
    </w:p>
    <w:p w:rsidR="009D29FB" w:rsidRDefault="009D29FB" w:rsidP="00C5144F">
      <w:pPr>
        <w:rPr>
          <w:rFonts w:ascii="Arial" w:hAnsi="Arial" w:cs="Arial"/>
        </w:rPr>
      </w:pPr>
      <w:r>
        <w:rPr>
          <w:rFonts w:ascii="Arial" w:hAnsi="Arial" w:cs="Arial"/>
        </w:rPr>
        <w:t>In summary this includes</w:t>
      </w:r>
    </w:p>
    <w:p w:rsidR="00022A0E" w:rsidRDefault="00022A0E" w:rsidP="00C5144F">
      <w:pPr>
        <w:rPr>
          <w:rFonts w:ascii="Arial" w:hAnsi="Arial" w:cs="Arial"/>
        </w:rPr>
      </w:pPr>
    </w:p>
    <w:tbl>
      <w:tblPr>
        <w:tblW w:w="5953" w:type="dxa"/>
        <w:tblInd w:w="2093" w:type="dxa"/>
        <w:tblLook w:val="04A0" w:firstRow="1" w:lastRow="0" w:firstColumn="1" w:lastColumn="0" w:noHBand="0" w:noVBand="1"/>
      </w:tblPr>
      <w:tblGrid>
        <w:gridCol w:w="3969"/>
        <w:gridCol w:w="1984"/>
      </w:tblGrid>
      <w:tr w:rsidR="009D29FB" w:rsidRPr="009D29FB" w:rsidTr="009D29FB">
        <w:trPr>
          <w:trHeight w:val="288"/>
        </w:trPr>
        <w:tc>
          <w:tcPr>
            <w:tcW w:w="3969" w:type="dxa"/>
            <w:tcBorders>
              <w:top w:val="nil"/>
              <w:left w:val="nil"/>
              <w:bottom w:val="nil"/>
              <w:right w:val="nil"/>
            </w:tcBorders>
            <w:shd w:val="clear" w:color="auto" w:fill="auto"/>
            <w:vAlign w:val="center"/>
            <w:hideMark/>
          </w:tcPr>
          <w:p w:rsidR="009D29FB" w:rsidRPr="009D29FB" w:rsidRDefault="00022A0E" w:rsidP="009D29FB">
            <w:pPr>
              <w:rPr>
                <w:rFonts w:ascii="Arial" w:eastAsia="Times New Roman" w:hAnsi="Arial" w:cs="Arial"/>
                <w:b/>
                <w:color w:val="1F497D"/>
                <w:sz w:val="20"/>
                <w:szCs w:val="20"/>
                <w:lang w:eastAsia="en-GB"/>
              </w:rPr>
            </w:pPr>
            <w:r>
              <w:rPr>
                <w:rFonts w:ascii="Arial" w:eastAsia="Times New Roman" w:hAnsi="Arial" w:cs="Arial"/>
                <w:b/>
                <w:sz w:val="20"/>
                <w:szCs w:val="20"/>
                <w:lang w:eastAsia="en-GB"/>
              </w:rPr>
              <w:t xml:space="preserve">ESF </w:t>
            </w:r>
            <w:r w:rsidR="009D29FB" w:rsidRPr="009D29FB">
              <w:rPr>
                <w:rFonts w:ascii="Arial" w:eastAsia="Times New Roman" w:hAnsi="Arial" w:cs="Arial"/>
                <w:b/>
                <w:sz w:val="20"/>
                <w:szCs w:val="20"/>
                <w:lang w:eastAsia="en-GB"/>
              </w:rPr>
              <w:t>Programme</w:t>
            </w:r>
            <w:r>
              <w:rPr>
                <w:rFonts w:ascii="Arial" w:eastAsia="Times New Roman" w:hAnsi="Arial" w:cs="Arial"/>
                <w:b/>
                <w:sz w:val="20"/>
                <w:szCs w:val="20"/>
                <w:lang w:eastAsia="en-GB"/>
              </w:rPr>
              <w:t xml:space="preserve"> Outputs:</w:t>
            </w:r>
            <w:r w:rsidR="009D29FB" w:rsidRPr="009D29FB">
              <w:rPr>
                <w:rFonts w:ascii="Arial" w:eastAsia="Times New Roman" w:hAnsi="Arial" w:cs="Arial"/>
                <w:b/>
                <w:sz w:val="20"/>
                <w:szCs w:val="20"/>
                <w:lang w:eastAsia="en-GB"/>
              </w:rPr>
              <w:t xml:space="preserve"> Total</w:t>
            </w:r>
            <w:r>
              <w:rPr>
                <w:rFonts w:ascii="Arial" w:eastAsia="Times New Roman" w:hAnsi="Arial" w:cs="Arial"/>
                <w:b/>
                <w:sz w:val="20"/>
                <w:szCs w:val="20"/>
                <w:lang w:eastAsia="en-GB"/>
              </w:rPr>
              <w:t xml:space="preserve"> to Sept</w:t>
            </w:r>
          </w:p>
        </w:tc>
        <w:tc>
          <w:tcPr>
            <w:tcW w:w="1984" w:type="dxa"/>
            <w:tcBorders>
              <w:top w:val="nil"/>
              <w:left w:val="nil"/>
              <w:bottom w:val="nil"/>
              <w:right w:val="nil"/>
            </w:tcBorders>
            <w:shd w:val="clear" w:color="auto" w:fill="auto"/>
            <w:noWrap/>
            <w:vAlign w:val="bottom"/>
            <w:hideMark/>
          </w:tcPr>
          <w:p w:rsidR="009D29FB" w:rsidRPr="009D29FB" w:rsidRDefault="009D29FB" w:rsidP="009D29FB">
            <w:pPr>
              <w:rPr>
                <w:rFonts w:ascii="Arial" w:eastAsia="Times New Roman" w:hAnsi="Arial" w:cs="Arial"/>
                <w:b/>
                <w:color w:val="000000"/>
                <w:sz w:val="20"/>
                <w:szCs w:val="20"/>
                <w:lang w:eastAsia="en-GB"/>
              </w:rPr>
            </w:pPr>
          </w:p>
        </w:tc>
      </w:tr>
      <w:tr w:rsidR="009D29FB" w:rsidRPr="009D29FB" w:rsidTr="009D29FB">
        <w:trPr>
          <w:trHeight w:val="28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9FB" w:rsidRPr="009D29FB" w:rsidRDefault="009D29FB" w:rsidP="009D29FB">
            <w:pPr>
              <w:rPr>
                <w:rFonts w:ascii="Arial" w:eastAsia="Times New Roman" w:hAnsi="Arial" w:cs="Arial"/>
                <w:b/>
                <w:sz w:val="20"/>
                <w:szCs w:val="20"/>
                <w:lang w:eastAsia="en-GB"/>
              </w:rPr>
            </w:pPr>
            <w:r w:rsidRPr="009D29FB">
              <w:rPr>
                <w:rFonts w:ascii="Arial" w:eastAsia="Times New Roman" w:hAnsi="Arial" w:cs="Arial"/>
                <w:b/>
                <w:sz w:val="20"/>
                <w:szCs w:val="20"/>
                <w:lang w:eastAsia="en-GB"/>
              </w:rPr>
              <w:t>Learners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D29FB" w:rsidRPr="009D29FB" w:rsidRDefault="009D29FB" w:rsidP="009D29FB">
            <w:pPr>
              <w:jc w:val="right"/>
              <w:rPr>
                <w:rFonts w:ascii="Arial" w:eastAsia="Times New Roman" w:hAnsi="Arial" w:cs="Arial"/>
                <w:b/>
                <w:sz w:val="20"/>
                <w:szCs w:val="20"/>
                <w:lang w:eastAsia="en-GB"/>
              </w:rPr>
            </w:pPr>
            <w:r w:rsidRPr="009D29FB">
              <w:rPr>
                <w:rFonts w:ascii="Arial" w:eastAsia="Times New Roman" w:hAnsi="Arial" w:cs="Arial"/>
                <w:b/>
                <w:sz w:val="20"/>
                <w:szCs w:val="20"/>
                <w:lang w:eastAsia="en-GB"/>
              </w:rPr>
              <w:t>18190</w:t>
            </w:r>
          </w:p>
        </w:tc>
      </w:tr>
      <w:tr w:rsidR="009D29FB" w:rsidRPr="009D29FB" w:rsidTr="009D29FB">
        <w:trPr>
          <w:trHeight w:val="28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D29FB" w:rsidRPr="009D29FB" w:rsidRDefault="009D29FB" w:rsidP="009D29FB">
            <w:pPr>
              <w:rPr>
                <w:rFonts w:ascii="Arial" w:eastAsia="Times New Roman" w:hAnsi="Arial" w:cs="Arial"/>
                <w:b/>
                <w:sz w:val="20"/>
                <w:szCs w:val="20"/>
                <w:lang w:eastAsia="en-GB"/>
              </w:rPr>
            </w:pPr>
            <w:r w:rsidRPr="009D29FB">
              <w:rPr>
                <w:rFonts w:ascii="Arial" w:eastAsia="Times New Roman" w:hAnsi="Arial" w:cs="Arial"/>
                <w:b/>
                <w:sz w:val="20"/>
                <w:szCs w:val="20"/>
                <w:lang w:eastAsia="en-GB"/>
              </w:rPr>
              <w:t>Progression into work</w:t>
            </w:r>
          </w:p>
        </w:tc>
        <w:tc>
          <w:tcPr>
            <w:tcW w:w="1984" w:type="dxa"/>
            <w:tcBorders>
              <w:top w:val="nil"/>
              <w:left w:val="nil"/>
              <w:bottom w:val="single" w:sz="4" w:space="0" w:color="auto"/>
              <w:right w:val="single" w:sz="4" w:space="0" w:color="auto"/>
            </w:tcBorders>
            <w:shd w:val="clear" w:color="auto" w:fill="auto"/>
            <w:noWrap/>
            <w:vAlign w:val="bottom"/>
            <w:hideMark/>
          </w:tcPr>
          <w:p w:rsidR="009D29FB" w:rsidRPr="009D29FB" w:rsidRDefault="009D29FB" w:rsidP="009D29FB">
            <w:pPr>
              <w:jc w:val="right"/>
              <w:rPr>
                <w:rFonts w:ascii="Arial" w:eastAsia="Times New Roman" w:hAnsi="Arial" w:cs="Arial"/>
                <w:b/>
                <w:sz w:val="20"/>
                <w:szCs w:val="20"/>
                <w:lang w:eastAsia="en-GB"/>
              </w:rPr>
            </w:pPr>
            <w:r w:rsidRPr="009D29FB">
              <w:rPr>
                <w:rFonts w:ascii="Arial" w:eastAsia="Times New Roman" w:hAnsi="Arial" w:cs="Arial"/>
                <w:b/>
                <w:sz w:val="20"/>
                <w:szCs w:val="20"/>
                <w:lang w:eastAsia="en-GB"/>
              </w:rPr>
              <w:t>919</w:t>
            </w:r>
          </w:p>
        </w:tc>
      </w:tr>
      <w:tr w:rsidR="009D29FB" w:rsidRPr="009D29FB" w:rsidTr="009D29FB">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29FB" w:rsidRPr="009D29FB" w:rsidRDefault="009D29FB" w:rsidP="009D29FB">
            <w:pPr>
              <w:rPr>
                <w:rFonts w:ascii="Arial" w:eastAsia="Times New Roman" w:hAnsi="Arial" w:cs="Arial"/>
                <w:b/>
                <w:sz w:val="20"/>
                <w:szCs w:val="20"/>
                <w:lang w:eastAsia="en-GB"/>
              </w:rPr>
            </w:pPr>
            <w:r w:rsidRPr="009D29FB">
              <w:rPr>
                <w:rFonts w:ascii="Arial" w:eastAsia="Times New Roman" w:hAnsi="Arial" w:cs="Arial"/>
                <w:b/>
                <w:sz w:val="20"/>
                <w:szCs w:val="20"/>
                <w:lang w:eastAsia="en-GB"/>
              </w:rPr>
              <w:t>Progression within Work</w:t>
            </w:r>
          </w:p>
        </w:tc>
        <w:tc>
          <w:tcPr>
            <w:tcW w:w="1984" w:type="dxa"/>
            <w:tcBorders>
              <w:top w:val="nil"/>
              <w:left w:val="nil"/>
              <w:bottom w:val="single" w:sz="4" w:space="0" w:color="auto"/>
              <w:right w:val="single" w:sz="4" w:space="0" w:color="auto"/>
            </w:tcBorders>
            <w:shd w:val="clear" w:color="auto" w:fill="auto"/>
            <w:noWrap/>
            <w:vAlign w:val="bottom"/>
            <w:hideMark/>
          </w:tcPr>
          <w:p w:rsidR="009D29FB" w:rsidRPr="009D29FB" w:rsidRDefault="009D29FB" w:rsidP="009D29FB">
            <w:pPr>
              <w:jc w:val="right"/>
              <w:rPr>
                <w:rFonts w:ascii="Arial" w:eastAsia="Times New Roman" w:hAnsi="Arial" w:cs="Arial"/>
                <w:b/>
                <w:sz w:val="20"/>
                <w:szCs w:val="20"/>
                <w:lang w:eastAsia="en-GB"/>
              </w:rPr>
            </w:pPr>
            <w:r w:rsidRPr="009D29FB">
              <w:rPr>
                <w:rFonts w:ascii="Arial" w:eastAsia="Times New Roman" w:hAnsi="Arial" w:cs="Arial"/>
                <w:b/>
                <w:sz w:val="20"/>
                <w:szCs w:val="20"/>
                <w:lang w:eastAsia="en-GB"/>
              </w:rPr>
              <w:t>5249</w:t>
            </w:r>
          </w:p>
        </w:tc>
      </w:tr>
      <w:tr w:rsidR="009D29FB" w:rsidRPr="009D29FB" w:rsidTr="009D29FB">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29FB" w:rsidRPr="009D29FB" w:rsidRDefault="009D29FB" w:rsidP="009D29FB">
            <w:pPr>
              <w:rPr>
                <w:rFonts w:ascii="Arial" w:eastAsia="Times New Roman" w:hAnsi="Arial" w:cs="Arial"/>
                <w:b/>
                <w:sz w:val="20"/>
                <w:szCs w:val="20"/>
                <w:lang w:eastAsia="en-GB"/>
              </w:rPr>
            </w:pPr>
            <w:r w:rsidRPr="009D29FB">
              <w:rPr>
                <w:rFonts w:ascii="Arial" w:eastAsia="Times New Roman" w:hAnsi="Arial" w:cs="Arial"/>
                <w:b/>
                <w:sz w:val="20"/>
                <w:szCs w:val="20"/>
                <w:lang w:eastAsia="en-GB"/>
              </w:rPr>
              <w:t>Apprenticeships</w:t>
            </w:r>
          </w:p>
        </w:tc>
        <w:tc>
          <w:tcPr>
            <w:tcW w:w="1984" w:type="dxa"/>
            <w:tcBorders>
              <w:top w:val="nil"/>
              <w:left w:val="nil"/>
              <w:bottom w:val="single" w:sz="4" w:space="0" w:color="auto"/>
              <w:right w:val="single" w:sz="4" w:space="0" w:color="auto"/>
            </w:tcBorders>
            <w:shd w:val="clear" w:color="auto" w:fill="auto"/>
            <w:noWrap/>
            <w:vAlign w:val="bottom"/>
            <w:hideMark/>
          </w:tcPr>
          <w:p w:rsidR="009D29FB" w:rsidRPr="009D29FB" w:rsidRDefault="009D29FB" w:rsidP="009D29FB">
            <w:pPr>
              <w:jc w:val="right"/>
              <w:rPr>
                <w:rFonts w:ascii="Arial" w:eastAsia="Times New Roman" w:hAnsi="Arial" w:cs="Arial"/>
                <w:b/>
                <w:sz w:val="20"/>
                <w:szCs w:val="20"/>
                <w:lang w:eastAsia="en-GB"/>
              </w:rPr>
            </w:pPr>
            <w:r w:rsidRPr="009D29FB">
              <w:rPr>
                <w:rFonts w:ascii="Arial" w:eastAsia="Times New Roman" w:hAnsi="Arial" w:cs="Arial"/>
                <w:b/>
                <w:sz w:val="20"/>
                <w:szCs w:val="20"/>
                <w:lang w:eastAsia="en-GB"/>
              </w:rPr>
              <w:t>260</w:t>
            </w:r>
          </w:p>
        </w:tc>
      </w:tr>
    </w:tbl>
    <w:p w:rsidR="009D29FB" w:rsidRDefault="009D29FB" w:rsidP="00C5144F">
      <w:pPr>
        <w:rPr>
          <w:rFonts w:ascii="Arial" w:hAnsi="Arial" w:cs="Arial"/>
        </w:rPr>
      </w:pPr>
    </w:p>
    <w:p w:rsidR="00400BB8" w:rsidRDefault="00617028" w:rsidP="00C5144F">
      <w:pPr>
        <w:rPr>
          <w:rFonts w:ascii="Arial" w:hAnsi="Arial" w:cs="Arial"/>
        </w:rPr>
      </w:pPr>
      <w:r>
        <w:rPr>
          <w:rFonts w:ascii="Arial" w:hAnsi="Arial" w:cs="Arial"/>
        </w:rPr>
        <w:t xml:space="preserve">The impact of the ESF programmes on local skills can be seen in qualification level data graphs for </w:t>
      </w:r>
      <w:proofErr w:type="gramStart"/>
      <w:r>
        <w:rPr>
          <w:rFonts w:ascii="Arial" w:hAnsi="Arial" w:cs="Arial"/>
        </w:rPr>
        <w:t>16-64 year</w:t>
      </w:r>
      <w:proofErr w:type="gramEnd"/>
      <w:r>
        <w:rPr>
          <w:rFonts w:ascii="Arial" w:hAnsi="Arial" w:cs="Arial"/>
        </w:rPr>
        <w:t xml:space="preserve"> olds on NOMIS, which clearly shows the growth in qualified SSLEP residents since 2014/2015.  By 2018, the gap had been closed to be just below </w:t>
      </w:r>
      <w:r w:rsidR="00D6176A">
        <w:rPr>
          <w:rFonts w:ascii="Arial" w:hAnsi="Arial" w:cs="Arial"/>
        </w:rPr>
        <w:t>national averages, although certain parts of the LEP remain several percentage points adrift.</w:t>
      </w:r>
    </w:p>
    <w:p w:rsidR="00400BB8" w:rsidRDefault="00400BB8" w:rsidP="00C5144F">
      <w:pPr>
        <w:rPr>
          <w:rFonts w:ascii="Arial" w:hAnsi="Arial" w:cs="Arial"/>
        </w:rPr>
      </w:pPr>
    </w:p>
    <w:p w:rsidR="00400BB8" w:rsidRDefault="00400BB8" w:rsidP="009D29FB">
      <w:pPr>
        <w:jc w:val="center"/>
        <w:rPr>
          <w:rFonts w:ascii="Arial" w:hAnsi="Arial" w:cs="Arial"/>
        </w:rPr>
      </w:pPr>
      <w:r>
        <w:rPr>
          <w:rFonts w:ascii="Arial" w:hAnsi="Arial" w:cs="Arial"/>
          <w:noProof/>
          <w:lang w:eastAsia="en-GB"/>
        </w:rPr>
        <w:drawing>
          <wp:inline distT="0" distB="0" distL="0" distR="0" wp14:anchorId="190A9EB6">
            <wp:extent cx="5077336" cy="37871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252" cy="3786332"/>
                    </a:xfrm>
                    <a:prstGeom prst="rect">
                      <a:avLst/>
                    </a:prstGeom>
                    <a:noFill/>
                  </pic:spPr>
                </pic:pic>
              </a:graphicData>
            </a:graphic>
          </wp:inline>
        </w:drawing>
      </w:r>
    </w:p>
    <w:p w:rsidR="00400BB8" w:rsidRDefault="00400BB8" w:rsidP="00C5144F">
      <w:pPr>
        <w:rPr>
          <w:rFonts w:ascii="Arial" w:hAnsi="Arial" w:cs="Arial"/>
        </w:rPr>
      </w:pPr>
    </w:p>
    <w:p w:rsidR="00FE6C8E" w:rsidRPr="00617028" w:rsidRDefault="00617028" w:rsidP="00C5144F">
      <w:pPr>
        <w:rPr>
          <w:rFonts w:ascii="Arial" w:hAnsi="Arial" w:cs="Arial"/>
        </w:rPr>
      </w:pPr>
      <w:r>
        <w:rPr>
          <w:rFonts w:ascii="Arial" w:hAnsi="Arial" w:cs="Arial"/>
        </w:rPr>
        <w:t>Alongside the opt-in programmes, the Managing Authority (DWP) has also published two Open Calls for SSLEP.  After a protracted period of appraisal, the first project, the Skills Hub, was awarded in 2019.  The second open call, addressing Higher Level Skills requirements is still in appraisal.</w:t>
      </w:r>
    </w:p>
    <w:p w:rsidR="00617028" w:rsidRDefault="00617028" w:rsidP="00C5144F">
      <w:pPr>
        <w:rPr>
          <w:rFonts w:ascii="Arial" w:hAnsi="Arial" w:cs="Arial"/>
        </w:rPr>
      </w:pPr>
    </w:p>
    <w:p w:rsidR="00D6176A" w:rsidRDefault="00D6176A" w:rsidP="00C5144F">
      <w:pPr>
        <w:rPr>
          <w:rFonts w:ascii="Arial" w:hAnsi="Arial" w:cs="Arial"/>
        </w:rPr>
      </w:pPr>
      <w:r>
        <w:rPr>
          <w:rFonts w:ascii="Arial" w:hAnsi="Arial" w:cs="Arial"/>
        </w:rPr>
        <w:t xml:space="preserve">The Managing Authority have recently published two further </w:t>
      </w:r>
      <w:r w:rsidR="00647B5D">
        <w:rPr>
          <w:rFonts w:ascii="Arial" w:hAnsi="Arial" w:cs="Arial"/>
        </w:rPr>
        <w:t xml:space="preserve">linked </w:t>
      </w:r>
      <w:r>
        <w:rPr>
          <w:rFonts w:ascii="Arial" w:hAnsi="Arial" w:cs="Arial"/>
        </w:rPr>
        <w:t xml:space="preserve">Open Calls on behalf of the LEP (December 2019) under Priority 2 which will look </w:t>
      </w:r>
      <w:r w:rsidR="00647B5D">
        <w:rPr>
          <w:rFonts w:ascii="Arial" w:hAnsi="Arial" w:cs="Arial"/>
        </w:rPr>
        <w:t>to</w:t>
      </w:r>
      <w:r>
        <w:rPr>
          <w:rFonts w:ascii="Arial" w:hAnsi="Arial" w:cs="Arial"/>
        </w:rPr>
        <w:t xml:space="preserve"> </w:t>
      </w:r>
      <w:r w:rsidR="00647B5D">
        <w:rPr>
          <w:rFonts w:ascii="Arial" w:hAnsi="Arial" w:cs="Arial"/>
        </w:rPr>
        <w:t xml:space="preserve">focus on employer engagement with schools, colleges and training providers around the provision of high quality Careers Information, Advice and </w:t>
      </w:r>
      <w:r w:rsidR="00647B5D">
        <w:rPr>
          <w:rFonts w:ascii="Arial" w:hAnsi="Arial" w:cs="Arial"/>
        </w:rPr>
        <w:lastRenderedPageBreak/>
        <w:t>Guidance and the design and delivery of the curriculum.  The combined value of the two published linked calls will be £3.9M.</w:t>
      </w:r>
    </w:p>
    <w:p w:rsidR="00647B5D" w:rsidRDefault="00647B5D" w:rsidP="00C5144F">
      <w:pPr>
        <w:rPr>
          <w:rFonts w:ascii="Arial" w:hAnsi="Arial" w:cs="Arial"/>
        </w:rPr>
      </w:pPr>
    </w:p>
    <w:p w:rsidR="00D6176A" w:rsidRPr="00617028" w:rsidRDefault="00D6176A" w:rsidP="00C5144F">
      <w:pPr>
        <w:rPr>
          <w:rFonts w:ascii="Arial" w:hAnsi="Arial" w:cs="Arial"/>
        </w:rPr>
      </w:pPr>
      <w:r>
        <w:rPr>
          <w:rFonts w:ascii="Arial" w:hAnsi="Arial" w:cs="Arial"/>
        </w:rPr>
        <w:t xml:space="preserve">The </w:t>
      </w:r>
      <w:r w:rsidR="00647B5D">
        <w:rPr>
          <w:rFonts w:ascii="Arial" w:hAnsi="Arial" w:cs="Arial"/>
        </w:rPr>
        <w:t xml:space="preserve">remaining </w:t>
      </w:r>
      <w:r>
        <w:rPr>
          <w:rFonts w:ascii="Arial" w:hAnsi="Arial" w:cs="Arial"/>
        </w:rPr>
        <w:t>ESF unallocated funds</w:t>
      </w:r>
      <w:r w:rsidR="00647B5D">
        <w:rPr>
          <w:rFonts w:ascii="Arial" w:hAnsi="Arial" w:cs="Arial"/>
        </w:rPr>
        <w:t>, and any identified underspend</w:t>
      </w:r>
      <w:r w:rsidR="00005565">
        <w:rPr>
          <w:rFonts w:ascii="Arial" w:hAnsi="Arial" w:cs="Arial"/>
        </w:rPr>
        <w:t xml:space="preserve"> have now been returned to a Central Reserve Fund, to which SSLEP will be able to bid to have Open Calls.</w:t>
      </w:r>
    </w:p>
    <w:p w:rsidR="00617028" w:rsidRDefault="00617028" w:rsidP="00C5144F">
      <w:pPr>
        <w:rPr>
          <w:rFonts w:ascii="Arial" w:hAnsi="Arial" w:cs="Arial"/>
          <w:b/>
        </w:rPr>
      </w:pPr>
    </w:p>
    <w:p w:rsidR="009D29FB" w:rsidRDefault="009D29FB" w:rsidP="00C5144F">
      <w:pPr>
        <w:rPr>
          <w:rFonts w:ascii="Arial" w:hAnsi="Arial" w:cs="Arial"/>
          <w:b/>
        </w:rPr>
      </w:pPr>
    </w:p>
    <w:p w:rsidR="009D29FB" w:rsidRDefault="009D29FB" w:rsidP="00C5144F">
      <w:pPr>
        <w:rPr>
          <w:rFonts w:ascii="Arial" w:hAnsi="Arial" w:cs="Arial"/>
          <w:b/>
        </w:rPr>
      </w:pPr>
    </w:p>
    <w:p w:rsidR="004E0FB8" w:rsidRDefault="004E0FB8" w:rsidP="00C5144F">
      <w:pPr>
        <w:rPr>
          <w:rFonts w:ascii="Arial" w:hAnsi="Arial" w:cs="Arial"/>
          <w:b/>
        </w:rPr>
      </w:pPr>
    </w:p>
    <w:p w:rsidR="009D29FB" w:rsidRDefault="009D29FB" w:rsidP="00C5144F">
      <w:pPr>
        <w:rPr>
          <w:rFonts w:ascii="Arial" w:hAnsi="Arial" w:cs="Arial"/>
          <w:b/>
        </w:rPr>
      </w:pPr>
    </w:p>
    <w:p w:rsidR="00FE6C8E" w:rsidRDefault="00FE6C8E" w:rsidP="00C5144F">
      <w:pPr>
        <w:rPr>
          <w:rFonts w:ascii="Arial" w:hAnsi="Arial" w:cs="Arial"/>
          <w:b/>
        </w:rPr>
      </w:pPr>
      <w:r w:rsidRPr="00FE6C8E">
        <w:rPr>
          <w:rFonts w:ascii="Arial" w:hAnsi="Arial" w:cs="Arial"/>
          <w:b/>
        </w:rPr>
        <w:t>European Agricultural Fund for Rural Development (EAFRD)</w:t>
      </w:r>
    </w:p>
    <w:p w:rsidR="00FE6C8E" w:rsidRDefault="00FE6C8E" w:rsidP="00C5144F">
      <w:pPr>
        <w:rPr>
          <w:rFonts w:ascii="Arial" w:hAnsi="Arial" w:cs="Arial"/>
          <w:b/>
        </w:rPr>
      </w:pPr>
    </w:p>
    <w:p w:rsidR="00FE6C8E" w:rsidRPr="009D29FB" w:rsidRDefault="00FE6C8E" w:rsidP="00C5144F">
      <w:pPr>
        <w:rPr>
          <w:rFonts w:ascii="Arial" w:hAnsi="Arial" w:cs="Arial"/>
        </w:rPr>
      </w:pPr>
      <w:r>
        <w:rPr>
          <w:rFonts w:ascii="Arial" w:hAnsi="Arial" w:cs="Arial"/>
        </w:rPr>
        <w:t xml:space="preserve">EAFRD is the smallest of the ESIF funds and is the most specific </w:t>
      </w:r>
      <w:r w:rsidR="004E0FB8">
        <w:rPr>
          <w:rFonts w:ascii="Arial" w:hAnsi="Arial" w:cs="Arial"/>
        </w:rPr>
        <w:t xml:space="preserve">in </w:t>
      </w:r>
      <w:r>
        <w:rPr>
          <w:rFonts w:ascii="Arial" w:hAnsi="Arial" w:cs="Arial"/>
        </w:rPr>
        <w:t>what projects and activities it can be used to support. £3.12m was the original allocation to the SSLEP area and funding is available to directly support rural businesses under the Food Processing, Tourism Infrastructure themes and a more general Business Development theme</w:t>
      </w:r>
      <w:r w:rsidR="004E0FB8">
        <w:rPr>
          <w:rFonts w:ascii="Arial" w:hAnsi="Arial" w:cs="Arial"/>
        </w:rPr>
        <w:t xml:space="preserve">. These </w:t>
      </w:r>
      <w:proofErr w:type="gramStart"/>
      <w:r w:rsidR="004E0FB8">
        <w:rPr>
          <w:rFonts w:ascii="Arial" w:hAnsi="Arial" w:cs="Arial"/>
        </w:rPr>
        <w:t xml:space="preserve">all </w:t>
      </w:r>
      <w:r>
        <w:rPr>
          <w:rFonts w:ascii="Arial" w:hAnsi="Arial" w:cs="Arial"/>
        </w:rPr>
        <w:t xml:space="preserve"> support</w:t>
      </w:r>
      <w:proofErr w:type="gramEnd"/>
      <w:r>
        <w:rPr>
          <w:rFonts w:ascii="Arial" w:hAnsi="Arial" w:cs="Arial"/>
        </w:rPr>
        <w:t xml:space="preserve"> companies situated in rural locations and rural key towns across a range of business </w:t>
      </w:r>
      <w:r w:rsidR="004E0FB8">
        <w:rPr>
          <w:rFonts w:ascii="Arial" w:hAnsi="Arial" w:cs="Arial"/>
        </w:rPr>
        <w:t>sectors</w:t>
      </w:r>
      <w:r w:rsidR="00711A29">
        <w:rPr>
          <w:rFonts w:ascii="Arial" w:hAnsi="Arial" w:cs="Arial"/>
        </w:rPr>
        <w:t>. The</w:t>
      </w:r>
      <w:r>
        <w:rPr>
          <w:rFonts w:ascii="Arial" w:hAnsi="Arial" w:cs="Arial"/>
        </w:rPr>
        <w:t xml:space="preserve"> total allocation and committed funding across these themes is summarised in the </w:t>
      </w:r>
      <w:r w:rsidR="00400BB8">
        <w:rPr>
          <w:rFonts w:ascii="Arial" w:hAnsi="Arial" w:cs="Arial"/>
        </w:rPr>
        <w:t>following table</w:t>
      </w:r>
      <w:r w:rsidR="00784161">
        <w:rPr>
          <w:rFonts w:ascii="Arial" w:hAnsi="Arial" w:cs="Arial"/>
        </w:rPr>
        <w:t>.</w:t>
      </w:r>
      <w:r>
        <w:rPr>
          <w:rFonts w:ascii="Arial" w:hAnsi="Arial" w:cs="Arial"/>
        </w:rPr>
        <w:t xml:space="preserve">  </w:t>
      </w:r>
    </w:p>
    <w:p w:rsidR="00FE6C8E" w:rsidRPr="0028138B" w:rsidRDefault="00FE6C8E" w:rsidP="00FE6C8E">
      <w:pPr>
        <w:rPr>
          <w:rFonts w:ascii="Arial" w:hAnsi="Arial" w:cs="Arial"/>
        </w:rPr>
      </w:pPr>
    </w:p>
    <w:tbl>
      <w:tblPr>
        <w:tblStyle w:val="TableGrid"/>
        <w:tblW w:w="0" w:type="auto"/>
        <w:tblInd w:w="2093" w:type="dxa"/>
        <w:tblLook w:val="04A0" w:firstRow="1" w:lastRow="0" w:firstColumn="1" w:lastColumn="0" w:noHBand="0" w:noVBand="1"/>
      </w:tblPr>
      <w:tblGrid>
        <w:gridCol w:w="2977"/>
        <w:gridCol w:w="1417"/>
        <w:gridCol w:w="1418"/>
      </w:tblGrid>
      <w:tr w:rsidR="00FE6C8E" w:rsidRPr="0028138B" w:rsidTr="00FE6C8E">
        <w:tc>
          <w:tcPr>
            <w:tcW w:w="2977" w:type="dxa"/>
            <w:shd w:val="clear" w:color="auto" w:fill="D9D9D9" w:themeFill="background1" w:themeFillShade="D9"/>
          </w:tcPr>
          <w:p w:rsidR="00FE6C8E" w:rsidRPr="0028138B" w:rsidRDefault="00FE6C8E" w:rsidP="00FE6C8E">
            <w:pPr>
              <w:jc w:val="center"/>
              <w:rPr>
                <w:rFonts w:ascii="Arial" w:hAnsi="Arial" w:cs="Arial"/>
              </w:rPr>
            </w:pPr>
            <w:r w:rsidRPr="0028138B">
              <w:rPr>
                <w:rFonts w:ascii="Arial" w:hAnsi="Arial" w:cs="Arial"/>
              </w:rPr>
              <w:t>E</w:t>
            </w:r>
            <w:r>
              <w:rPr>
                <w:rFonts w:ascii="Arial" w:hAnsi="Arial" w:cs="Arial"/>
              </w:rPr>
              <w:t>AFRD</w:t>
            </w:r>
            <w:r w:rsidRPr="0028138B">
              <w:rPr>
                <w:rFonts w:ascii="Arial" w:hAnsi="Arial" w:cs="Arial"/>
              </w:rPr>
              <w:t xml:space="preserve"> Theme</w:t>
            </w:r>
          </w:p>
        </w:tc>
        <w:tc>
          <w:tcPr>
            <w:tcW w:w="1417" w:type="dxa"/>
            <w:shd w:val="clear" w:color="auto" w:fill="D9D9D9" w:themeFill="background1" w:themeFillShade="D9"/>
          </w:tcPr>
          <w:p w:rsidR="00FE6C8E" w:rsidRPr="0028138B" w:rsidRDefault="00FE6C8E" w:rsidP="00FE6C8E">
            <w:pPr>
              <w:jc w:val="center"/>
              <w:rPr>
                <w:rFonts w:ascii="Arial" w:hAnsi="Arial" w:cs="Arial"/>
              </w:rPr>
            </w:pPr>
            <w:r w:rsidRPr="0028138B">
              <w:rPr>
                <w:rFonts w:ascii="Arial" w:hAnsi="Arial" w:cs="Arial"/>
              </w:rPr>
              <w:t>Notional Allocation</w:t>
            </w:r>
          </w:p>
        </w:tc>
        <w:tc>
          <w:tcPr>
            <w:tcW w:w="1418" w:type="dxa"/>
            <w:shd w:val="clear" w:color="auto" w:fill="D9D9D9" w:themeFill="background1" w:themeFillShade="D9"/>
          </w:tcPr>
          <w:p w:rsidR="00FE6C8E" w:rsidRPr="0028138B" w:rsidRDefault="00FE6C8E" w:rsidP="00FE6C8E">
            <w:pPr>
              <w:jc w:val="center"/>
              <w:rPr>
                <w:rFonts w:ascii="Arial" w:hAnsi="Arial" w:cs="Arial"/>
              </w:rPr>
            </w:pPr>
            <w:r w:rsidRPr="0028138B">
              <w:rPr>
                <w:rFonts w:ascii="Arial" w:hAnsi="Arial" w:cs="Arial"/>
              </w:rPr>
              <w:t>Allocated to Projects</w:t>
            </w:r>
          </w:p>
        </w:tc>
      </w:tr>
      <w:tr w:rsidR="00FE6C8E" w:rsidRPr="0028138B" w:rsidTr="00FE6C8E">
        <w:tc>
          <w:tcPr>
            <w:tcW w:w="2977" w:type="dxa"/>
          </w:tcPr>
          <w:p w:rsidR="00FE6C8E" w:rsidRPr="0028138B" w:rsidRDefault="00FE6C8E" w:rsidP="00FE6C8E">
            <w:pPr>
              <w:rPr>
                <w:rFonts w:ascii="Arial" w:hAnsi="Arial" w:cs="Arial"/>
              </w:rPr>
            </w:pPr>
            <w:r>
              <w:rPr>
                <w:rFonts w:ascii="Arial" w:hAnsi="Arial" w:cs="Arial"/>
              </w:rPr>
              <w:t>Business Development</w:t>
            </w:r>
          </w:p>
        </w:tc>
        <w:tc>
          <w:tcPr>
            <w:tcW w:w="1417" w:type="dxa"/>
            <w:vAlign w:val="center"/>
          </w:tcPr>
          <w:p w:rsidR="00FE6C8E" w:rsidRPr="0028138B" w:rsidRDefault="0001238E" w:rsidP="00FE6C8E">
            <w:pPr>
              <w:jc w:val="center"/>
              <w:rPr>
                <w:rFonts w:ascii="Arial" w:hAnsi="Arial" w:cs="Arial"/>
              </w:rPr>
            </w:pPr>
            <w:r>
              <w:rPr>
                <w:rFonts w:ascii="Arial" w:hAnsi="Arial" w:cs="Arial"/>
              </w:rPr>
              <w:t>£0.33M</w:t>
            </w:r>
          </w:p>
        </w:tc>
        <w:tc>
          <w:tcPr>
            <w:tcW w:w="1418" w:type="dxa"/>
            <w:vAlign w:val="center"/>
          </w:tcPr>
          <w:p w:rsidR="00FE6C8E" w:rsidRPr="0028138B" w:rsidRDefault="00FE6C8E" w:rsidP="00FE6C8E">
            <w:pPr>
              <w:jc w:val="center"/>
              <w:rPr>
                <w:rFonts w:ascii="Arial" w:hAnsi="Arial" w:cs="Arial"/>
              </w:rPr>
            </w:pPr>
            <w:r w:rsidRPr="0028138B">
              <w:rPr>
                <w:rFonts w:ascii="Arial" w:hAnsi="Arial" w:cs="Arial"/>
              </w:rPr>
              <w:t>£</w:t>
            </w:r>
            <w:r w:rsidR="0001238E">
              <w:rPr>
                <w:rFonts w:ascii="Arial" w:hAnsi="Arial" w:cs="Arial"/>
              </w:rPr>
              <w:t>0.17M</w:t>
            </w:r>
          </w:p>
        </w:tc>
      </w:tr>
      <w:tr w:rsidR="00FE6C8E" w:rsidRPr="0028138B" w:rsidTr="00FE6C8E">
        <w:tc>
          <w:tcPr>
            <w:tcW w:w="2977" w:type="dxa"/>
          </w:tcPr>
          <w:p w:rsidR="00FE6C8E" w:rsidRPr="0028138B" w:rsidRDefault="00FE6C8E" w:rsidP="00FE6C8E">
            <w:pPr>
              <w:rPr>
                <w:rFonts w:ascii="Arial" w:hAnsi="Arial" w:cs="Arial"/>
              </w:rPr>
            </w:pPr>
            <w:r>
              <w:rPr>
                <w:rFonts w:ascii="Arial" w:hAnsi="Arial" w:cs="Arial"/>
              </w:rPr>
              <w:t>Food &amp; Drink Processing</w:t>
            </w:r>
          </w:p>
        </w:tc>
        <w:tc>
          <w:tcPr>
            <w:tcW w:w="1417" w:type="dxa"/>
            <w:vAlign w:val="center"/>
          </w:tcPr>
          <w:p w:rsidR="00FE6C8E" w:rsidRPr="0028138B" w:rsidRDefault="00FE6C8E" w:rsidP="00FE6C8E">
            <w:pPr>
              <w:jc w:val="center"/>
              <w:rPr>
                <w:rFonts w:ascii="Arial" w:hAnsi="Arial" w:cs="Arial"/>
              </w:rPr>
            </w:pPr>
            <w:r w:rsidRPr="0028138B">
              <w:rPr>
                <w:rFonts w:ascii="Arial" w:hAnsi="Arial" w:cs="Arial"/>
              </w:rPr>
              <w:t>£</w:t>
            </w:r>
            <w:r w:rsidR="0001238E">
              <w:rPr>
                <w:rFonts w:ascii="Arial" w:hAnsi="Arial" w:cs="Arial"/>
              </w:rPr>
              <w:t>1.12</w:t>
            </w:r>
            <w:r w:rsidRPr="0028138B">
              <w:rPr>
                <w:rFonts w:ascii="Arial" w:hAnsi="Arial" w:cs="Arial"/>
              </w:rPr>
              <w:t>M</w:t>
            </w:r>
          </w:p>
        </w:tc>
        <w:tc>
          <w:tcPr>
            <w:tcW w:w="1418" w:type="dxa"/>
            <w:vAlign w:val="center"/>
          </w:tcPr>
          <w:p w:rsidR="00FE6C8E" w:rsidRPr="0028138B" w:rsidRDefault="00FE6C8E" w:rsidP="00FE6C8E">
            <w:pPr>
              <w:jc w:val="center"/>
              <w:rPr>
                <w:rFonts w:ascii="Arial" w:hAnsi="Arial" w:cs="Arial"/>
              </w:rPr>
            </w:pPr>
            <w:r w:rsidRPr="0028138B">
              <w:rPr>
                <w:rFonts w:ascii="Arial" w:hAnsi="Arial" w:cs="Arial"/>
              </w:rPr>
              <w:t>£</w:t>
            </w:r>
            <w:r w:rsidR="0001238E">
              <w:rPr>
                <w:rFonts w:ascii="Arial" w:hAnsi="Arial" w:cs="Arial"/>
              </w:rPr>
              <w:t>0.21</w:t>
            </w:r>
            <w:r w:rsidRPr="0028138B">
              <w:rPr>
                <w:rFonts w:ascii="Arial" w:hAnsi="Arial" w:cs="Arial"/>
              </w:rPr>
              <w:t>M</w:t>
            </w:r>
          </w:p>
        </w:tc>
      </w:tr>
      <w:tr w:rsidR="00FE6C8E" w:rsidRPr="0028138B" w:rsidTr="00FE6C8E">
        <w:tc>
          <w:tcPr>
            <w:tcW w:w="2977" w:type="dxa"/>
          </w:tcPr>
          <w:p w:rsidR="00FE6C8E" w:rsidRPr="0028138B" w:rsidRDefault="00FE6C8E" w:rsidP="00FE6C8E">
            <w:pPr>
              <w:rPr>
                <w:rFonts w:ascii="Arial" w:hAnsi="Arial" w:cs="Arial"/>
              </w:rPr>
            </w:pPr>
            <w:r>
              <w:rPr>
                <w:rFonts w:ascii="Arial" w:hAnsi="Arial" w:cs="Arial"/>
              </w:rPr>
              <w:t xml:space="preserve">Tourism Infrastructure </w:t>
            </w:r>
          </w:p>
        </w:tc>
        <w:tc>
          <w:tcPr>
            <w:tcW w:w="1417" w:type="dxa"/>
            <w:vAlign w:val="center"/>
          </w:tcPr>
          <w:p w:rsidR="00FE6C8E" w:rsidRPr="0028138B" w:rsidRDefault="00FE6C8E" w:rsidP="00FE6C8E">
            <w:pPr>
              <w:jc w:val="center"/>
              <w:rPr>
                <w:rFonts w:ascii="Arial" w:hAnsi="Arial" w:cs="Arial"/>
              </w:rPr>
            </w:pPr>
            <w:r w:rsidRPr="0028138B">
              <w:rPr>
                <w:rFonts w:ascii="Arial" w:hAnsi="Arial" w:cs="Arial"/>
              </w:rPr>
              <w:t>£</w:t>
            </w:r>
            <w:r w:rsidR="0001238E">
              <w:rPr>
                <w:rFonts w:ascii="Arial" w:hAnsi="Arial" w:cs="Arial"/>
              </w:rPr>
              <w:t>1.67</w:t>
            </w:r>
            <w:r w:rsidRPr="0028138B">
              <w:rPr>
                <w:rFonts w:ascii="Arial" w:hAnsi="Arial" w:cs="Arial"/>
              </w:rPr>
              <w:t>M</w:t>
            </w:r>
          </w:p>
        </w:tc>
        <w:tc>
          <w:tcPr>
            <w:tcW w:w="1418" w:type="dxa"/>
            <w:vAlign w:val="center"/>
          </w:tcPr>
          <w:p w:rsidR="00FE6C8E" w:rsidRPr="0028138B" w:rsidRDefault="00FE6C8E" w:rsidP="00FE6C8E">
            <w:pPr>
              <w:jc w:val="center"/>
              <w:rPr>
                <w:rFonts w:ascii="Arial" w:hAnsi="Arial" w:cs="Arial"/>
              </w:rPr>
            </w:pPr>
            <w:r w:rsidRPr="0028138B">
              <w:rPr>
                <w:rFonts w:ascii="Arial" w:hAnsi="Arial" w:cs="Arial"/>
              </w:rPr>
              <w:t>£</w:t>
            </w:r>
            <w:r w:rsidR="0001238E">
              <w:rPr>
                <w:rFonts w:ascii="Arial" w:hAnsi="Arial" w:cs="Arial"/>
              </w:rPr>
              <w:t>2.30</w:t>
            </w:r>
            <w:r w:rsidRPr="0028138B">
              <w:rPr>
                <w:rFonts w:ascii="Arial" w:hAnsi="Arial" w:cs="Arial"/>
              </w:rPr>
              <w:t>M</w:t>
            </w:r>
          </w:p>
        </w:tc>
      </w:tr>
      <w:tr w:rsidR="00FE6C8E" w:rsidRPr="0028138B" w:rsidTr="00FE6C8E">
        <w:tc>
          <w:tcPr>
            <w:tcW w:w="2977" w:type="dxa"/>
          </w:tcPr>
          <w:p w:rsidR="00FE6C8E" w:rsidRPr="00FE6C8E" w:rsidRDefault="00FE6C8E" w:rsidP="00FE6C8E">
            <w:pPr>
              <w:rPr>
                <w:rFonts w:ascii="Arial" w:hAnsi="Arial" w:cs="Arial"/>
                <w:b/>
              </w:rPr>
            </w:pPr>
            <w:r w:rsidRPr="00FE6C8E">
              <w:rPr>
                <w:rFonts w:ascii="Arial" w:hAnsi="Arial" w:cs="Arial"/>
                <w:b/>
              </w:rPr>
              <w:t>Total</w:t>
            </w:r>
          </w:p>
        </w:tc>
        <w:tc>
          <w:tcPr>
            <w:tcW w:w="1417" w:type="dxa"/>
            <w:vAlign w:val="center"/>
          </w:tcPr>
          <w:p w:rsidR="00FE6C8E" w:rsidRPr="00FE6C8E" w:rsidRDefault="00FE6C8E" w:rsidP="00FE6C8E">
            <w:pPr>
              <w:jc w:val="center"/>
              <w:rPr>
                <w:rFonts w:ascii="Arial" w:hAnsi="Arial" w:cs="Arial"/>
                <w:b/>
              </w:rPr>
            </w:pPr>
            <w:r w:rsidRPr="00FE6C8E">
              <w:rPr>
                <w:rFonts w:ascii="Arial" w:hAnsi="Arial" w:cs="Arial"/>
                <w:b/>
              </w:rPr>
              <w:t>£</w:t>
            </w:r>
            <w:r w:rsidR="0001238E">
              <w:rPr>
                <w:rFonts w:ascii="Arial" w:hAnsi="Arial" w:cs="Arial"/>
                <w:b/>
              </w:rPr>
              <w:t>3.12</w:t>
            </w:r>
            <w:r w:rsidRPr="00FE6C8E">
              <w:rPr>
                <w:rFonts w:ascii="Arial" w:hAnsi="Arial" w:cs="Arial"/>
                <w:b/>
              </w:rPr>
              <w:t>M</w:t>
            </w:r>
          </w:p>
        </w:tc>
        <w:tc>
          <w:tcPr>
            <w:tcW w:w="1418" w:type="dxa"/>
            <w:vAlign w:val="center"/>
          </w:tcPr>
          <w:p w:rsidR="00FE6C8E" w:rsidRPr="00FE6C8E" w:rsidRDefault="00FE6C8E" w:rsidP="00FE6C8E">
            <w:pPr>
              <w:jc w:val="center"/>
              <w:rPr>
                <w:rFonts w:ascii="Arial" w:hAnsi="Arial" w:cs="Arial"/>
                <w:b/>
              </w:rPr>
            </w:pPr>
            <w:r w:rsidRPr="00FE6C8E">
              <w:rPr>
                <w:rFonts w:ascii="Arial" w:hAnsi="Arial" w:cs="Arial"/>
                <w:b/>
              </w:rPr>
              <w:t>£</w:t>
            </w:r>
            <w:r w:rsidR="0001238E">
              <w:rPr>
                <w:rFonts w:ascii="Arial" w:hAnsi="Arial" w:cs="Arial"/>
                <w:b/>
              </w:rPr>
              <w:t>2.68</w:t>
            </w:r>
            <w:r w:rsidRPr="00FE6C8E">
              <w:rPr>
                <w:rFonts w:ascii="Arial" w:hAnsi="Arial" w:cs="Arial"/>
                <w:b/>
              </w:rPr>
              <w:t>M</w:t>
            </w:r>
          </w:p>
        </w:tc>
      </w:tr>
    </w:tbl>
    <w:p w:rsidR="00FE6C8E" w:rsidRPr="0028138B" w:rsidRDefault="00FE6C8E" w:rsidP="00FE6C8E">
      <w:pPr>
        <w:rPr>
          <w:rFonts w:ascii="Arial" w:hAnsi="Arial" w:cs="Arial"/>
        </w:rPr>
      </w:pPr>
    </w:p>
    <w:p w:rsidR="00FE6C8E" w:rsidRDefault="00711A29" w:rsidP="00FE6C8E">
      <w:pPr>
        <w:rPr>
          <w:rFonts w:ascii="Arial" w:hAnsi="Arial" w:cs="Arial"/>
        </w:rPr>
      </w:pPr>
      <w:r>
        <w:rPr>
          <w:rFonts w:ascii="Arial" w:hAnsi="Arial" w:cs="Arial"/>
        </w:rPr>
        <w:t xml:space="preserve">The last and final EAFRD call closed in June 2018. At that point the EAFRD allocation was to be committed in full but the withdrawal of three rural business projects has meant that £0.44m </w:t>
      </w:r>
      <w:r w:rsidR="00C85F47">
        <w:rPr>
          <w:rFonts w:ascii="Arial" w:hAnsi="Arial" w:cs="Arial"/>
        </w:rPr>
        <w:t>will be returned to the</w:t>
      </w:r>
      <w:r w:rsidR="00784161">
        <w:rPr>
          <w:rFonts w:ascii="Arial" w:hAnsi="Arial" w:cs="Arial"/>
        </w:rPr>
        <w:t xml:space="preserve"> EAFRD National Reserve Fund which is currently open for new applications. </w:t>
      </w:r>
      <w:r w:rsidR="00C85F47">
        <w:rPr>
          <w:rFonts w:ascii="Arial" w:hAnsi="Arial" w:cs="Arial"/>
        </w:rPr>
        <w:t xml:space="preserve"> </w:t>
      </w:r>
      <w:r w:rsidR="00784161">
        <w:rPr>
          <w:rFonts w:ascii="Arial" w:hAnsi="Arial" w:cs="Arial"/>
        </w:rPr>
        <w:t xml:space="preserve">A more detailed </w:t>
      </w:r>
      <w:r w:rsidR="00FE6C8E" w:rsidRPr="0028138B">
        <w:rPr>
          <w:rFonts w:ascii="Arial" w:hAnsi="Arial" w:cs="Arial"/>
        </w:rPr>
        <w:t>breakdown of the E</w:t>
      </w:r>
      <w:r w:rsidR="00784161">
        <w:rPr>
          <w:rFonts w:ascii="Arial" w:hAnsi="Arial" w:cs="Arial"/>
        </w:rPr>
        <w:t>AFRD</w:t>
      </w:r>
      <w:r w:rsidR="00FE6C8E" w:rsidRPr="0028138B">
        <w:rPr>
          <w:rFonts w:ascii="Arial" w:hAnsi="Arial" w:cs="Arial"/>
        </w:rPr>
        <w:t xml:space="preserve"> commitment to projects is highlighted below.</w:t>
      </w:r>
    </w:p>
    <w:p w:rsidR="00784161" w:rsidRDefault="00784161" w:rsidP="00FE6C8E">
      <w:pPr>
        <w:rPr>
          <w:rFonts w:ascii="Arial" w:hAnsi="Arial" w:cs="Arial"/>
        </w:rPr>
      </w:pPr>
    </w:p>
    <w:tbl>
      <w:tblPr>
        <w:tblStyle w:val="TableGrid"/>
        <w:tblW w:w="0" w:type="auto"/>
        <w:tblInd w:w="2093" w:type="dxa"/>
        <w:tblLook w:val="04A0" w:firstRow="1" w:lastRow="0" w:firstColumn="1" w:lastColumn="0" w:noHBand="0" w:noVBand="1"/>
      </w:tblPr>
      <w:tblGrid>
        <w:gridCol w:w="2977"/>
        <w:gridCol w:w="1417"/>
        <w:gridCol w:w="1418"/>
      </w:tblGrid>
      <w:tr w:rsidR="00784161" w:rsidTr="00C6194C">
        <w:tc>
          <w:tcPr>
            <w:tcW w:w="2977" w:type="dxa"/>
            <w:shd w:val="clear" w:color="auto" w:fill="D9D9D9" w:themeFill="background1" w:themeFillShade="D9"/>
          </w:tcPr>
          <w:p w:rsidR="00784161" w:rsidRPr="00784161" w:rsidRDefault="00784161" w:rsidP="00FE6C8E">
            <w:pPr>
              <w:rPr>
                <w:rFonts w:ascii="Arial" w:hAnsi="Arial" w:cs="Arial"/>
              </w:rPr>
            </w:pPr>
            <w:r w:rsidRPr="00784161">
              <w:rPr>
                <w:rFonts w:ascii="Arial" w:hAnsi="Arial" w:cs="Arial"/>
              </w:rPr>
              <w:t>EAFRD allocation £3.12M</w:t>
            </w:r>
          </w:p>
        </w:tc>
        <w:tc>
          <w:tcPr>
            <w:tcW w:w="1417" w:type="dxa"/>
            <w:shd w:val="clear" w:color="auto" w:fill="D9D9D9" w:themeFill="background1" w:themeFillShade="D9"/>
          </w:tcPr>
          <w:p w:rsidR="00784161" w:rsidRDefault="00784161" w:rsidP="00FE6C8E">
            <w:pPr>
              <w:rPr>
                <w:rFonts w:ascii="Arial" w:hAnsi="Arial" w:cs="Arial"/>
              </w:rPr>
            </w:pPr>
          </w:p>
        </w:tc>
        <w:tc>
          <w:tcPr>
            <w:tcW w:w="1418" w:type="dxa"/>
            <w:shd w:val="clear" w:color="auto" w:fill="D9D9D9" w:themeFill="background1" w:themeFillShade="D9"/>
          </w:tcPr>
          <w:p w:rsidR="00784161" w:rsidRDefault="00784161" w:rsidP="00FE6C8E">
            <w:pPr>
              <w:rPr>
                <w:rFonts w:ascii="Arial" w:hAnsi="Arial" w:cs="Arial"/>
              </w:rPr>
            </w:pPr>
          </w:p>
        </w:tc>
      </w:tr>
      <w:tr w:rsidR="00784161" w:rsidTr="00784161">
        <w:tc>
          <w:tcPr>
            <w:tcW w:w="2977" w:type="dxa"/>
          </w:tcPr>
          <w:p w:rsidR="00784161" w:rsidRDefault="00784161" w:rsidP="00FE6C8E">
            <w:pPr>
              <w:rPr>
                <w:rFonts w:ascii="Arial" w:hAnsi="Arial" w:cs="Arial"/>
              </w:rPr>
            </w:pPr>
            <w:r>
              <w:rPr>
                <w:rFonts w:ascii="Arial" w:hAnsi="Arial" w:cs="Arial"/>
              </w:rPr>
              <w:t xml:space="preserve">Completed &amp; Contracted </w:t>
            </w:r>
          </w:p>
        </w:tc>
        <w:tc>
          <w:tcPr>
            <w:tcW w:w="1417" w:type="dxa"/>
          </w:tcPr>
          <w:p w:rsidR="00784161" w:rsidRDefault="00784161" w:rsidP="00784161">
            <w:pPr>
              <w:jc w:val="right"/>
              <w:rPr>
                <w:rFonts w:ascii="Arial" w:hAnsi="Arial" w:cs="Arial"/>
              </w:rPr>
            </w:pPr>
            <w:r>
              <w:rPr>
                <w:rFonts w:ascii="Arial" w:hAnsi="Arial" w:cs="Arial"/>
              </w:rPr>
              <w:t>£0.88M</w:t>
            </w:r>
          </w:p>
        </w:tc>
        <w:tc>
          <w:tcPr>
            <w:tcW w:w="1418" w:type="dxa"/>
          </w:tcPr>
          <w:p w:rsidR="00784161" w:rsidRDefault="00784161" w:rsidP="00FE6C8E">
            <w:pPr>
              <w:rPr>
                <w:rFonts w:ascii="Arial" w:hAnsi="Arial" w:cs="Arial"/>
              </w:rPr>
            </w:pPr>
            <w:r>
              <w:rPr>
                <w:rFonts w:ascii="Arial" w:hAnsi="Arial" w:cs="Arial"/>
              </w:rPr>
              <w:t>8 projects</w:t>
            </w:r>
          </w:p>
        </w:tc>
      </w:tr>
      <w:tr w:rsidR="00784161" w:rsidTr="00784161">
        <w:tc>
          <w:tcPr>
            <w:tcW w:w="2977" w:type="dxa"/>
          </w:tcPr>
          <w:p w:rsidR="00784161" w:rsidRDefault="00784161" w:rsidP="00FE6C8E">
            <w:pPr>
              <w:rPr>
                <w:rFonts w:ascii="Arial" w:hAnsi="Arial" w:cs="Arial"/>
              </w:rPr>
            </w:pPr>
            <w:r>
              <w:rPr>
                <w:rFonts w:ascii="Arial" w:hAnsi="Arial" w:cs="Arial"/>
              </w:rPr>
              <w:t>Commitment breakdown</w:t>
            </w:r>
          </w:p>
        </w:tc>
        <w:tc>
          <w:tcPr>
            <w:tcW w:w="1417" w:type="dxa"/>
          </w:tcPr>
          <w:p w:rsidR="00784161" w:rsidRDefault="00784161" w:rsidP="00784161">
            <w:pPr>
              <w:jc w:val="right"/>
              <w:rPr>
                <w:rFonts w:ascii="Arial" w:hAnsi="Arial" w:cs="Arial"/>
              </w:rPr>
            </w:pPr>
          </w:p>
        </w:tc>
        <w:tc>
          <w:tcPr>
            <w:tcW w:w="1418" w:type="dxa"/>
          </w:tcPr>
          <w:p w:rsidR="00784161" w:rsidRDefault="00784161" w:rsidP="00FE6C8E">
            <w:pPr>
              <w:rPr>
                <w:rFonts w:ascii="Arial" w:hAnsi="Arial" w:cs="Arial"/>
              </w:rPr>
            </w:pPr>
          </w:p>
        </w:tc>
      </w:tr>
      <w:tr w:rsidR="00784161" w:rsidTr="00784161">
        <w:tc>
          <w:tcPr>
            <w:tcW w:w="2977" w:type="dxa"/>
          </w:tcPr>
          <w:p w:rsidR="00784161" w:rsidRDefault="00784161" w:rsidP="00FE6C8E">
            <w:pPr>
              <w:rPr>
                <w:rFonts w:ascii="Arial" w:hAnsi="Arial" w:cs="Arial"/>
              </w:rPr>
            </w:pPr>
            <w:r>
              <w:rPr>
                <w:rFonts w:ascii="Arial" w:hAnsi="Arial" w:cs="Arial"/>
              </w:rPr>
              <w:t>Exp. Of Interest (</w:t>
            </w:r>
            <w:proofErr w:type="spellStart"/>
            <w:r>
              <w:rPr>
                <w:rFonts w:ascii="Arial" w:hAnsi="Arial" w:cs="Arial"/>
              </w:rPr>
              <w:t>EOis</w:t>
            </w:r>
            <w:proofErr w:type="spellEnd"/>
            <w:r>
              <w:rPr>
                <w:rFonts w:ascii="Arial" w:hAnsi="Arial" w:cs="Arial"/>
              </w:rPr>
              <w:t>)</w:t>
            </w:r>
          </w:p>
        </w:tc>
        <w:tc>
          <w:tcPr>
            <w:tcW w:w="1417" w:type="dxa"/>
          </w:tcPr>
          <w:p w:rsidR="00784161" w:rsidRDefault="00784161" w:rsidP="00784161">
            <w:pPr>
              <w:jc w:val="right"/>
              <w:rPr>
                <w:rFonts w:ascii="Arial" w:hAnsi="Arial" w:cs="Arial"/>
              </w:rPr>
            </w:pPr>
            <w:r>
              <w:rPr>
                <w:rFonts w:ascii="Arial" w:hAnsi="Arial" w:cs="Arial"/>
              </w:rPr>
              <w:t>£0.00M</w:t>
            </w:r>
          </w:p>
        </w:tc>
        <w:tc>
          <w:tcPr>
            <w:tcW w:w="1418" w:type="dxa"/>
          </w:tcPr>
          <w:p w:rsidR="00784161" w:rsidRDefault="00784161" w:rsidP="00FE6C8E">
            <w:pPr>
              <w:rPr>
                <w:rFonts w:ascii="Arial" w:hAnsi="Arial" w:cs="Arial"/>
              </w:rPr>
            </w:pPr>
          </w:p>
        </w:tc>
      </w:tr>
      <w:tr w:rsidR="00784161" w:rsidTr="00784161">
        <w:tc>
          <w:tcPr>
            <w:tcW w:w="2977" w:type="dxa"/>
          </w:tcPr>
          <w:p w:rsidR="00784161" w:rsidRDefault="00784161" w:rsidP="00FE6C8E">
            <w:pPr>
              <w:rPr>
                <w:rFonts w:ascii="Arial" w:hAnsi="Arial" w:cs="Arial"/>
              </w:rPr>
            </w:pPr>
            <w:r>
              <w:rPr>
                <w:rFonts w:ascii="Arial" w:hAnsi="Arial" w:cs="Arial"/>
              </w:rPr>
              <w:t xml:space="preserve">Full application </w:t>
            </w:r>
          </w:p>
        </w:tc>
        <w:tc>
          <w:tcPr>
            <w:tcW w:w="1417" w:type="dxa"/>
          </w:tcPr>
          <w:p w:rsidR="00784161" w:rsidRDefault="00784161" w:rsidP="00784161">
            <w:pPr>
              <w:jc w:val="right"/>
              <w:rPr>
                <w:rFonts w:ascii="Arial" w:hAnsi="Arial" w:cs="Arial"/>
              </w:rPr>
            </w:pPr>
            <w:r>
              <w:rPr>
                <w:rFonts w:ascii="Arial" w:hAnsi="Arial" w:cs="Arial"/>
              </w:rPr>
              <w:t>£1.80M</w:t>
            </w:r>
          </w:p>
        </w:tc>
        <w:tc>
          <w:tcPr>
            <w:tcW w:w="1418" w:type="dxa"/>
          </w:tcPr>
          <w:p w:rsidR="00784161" w:rsidRDefault="00784161" w:rsidP="00FE6C8E">
            <w:pPr>
              <w:rPr>
                <w:rFonts w:ascii="Arial" w:hAnsi="Arial" w:cs="Arial"/>
              </w:rPr>
            </w:pPr>
            <w:r>
              <w:rPr>
                <w:rFonts w:ascii="Arial" w:hAnsi="Arial" w:cs="Arial"/>
              </w:rPr>
              <w:t xml:space="preserve">2 projects </w:t>
            </w:r>
          </w:p>
        </w:tc>
      </w:tr>
      <w:tr w:rsidR="00784161" w:rsidTr="00784161">
        <w:tc>
          <w:tcPr>
            <w:tcW w:w="2977" w:type="dxa"/>
          </w:tcPr>
          <w:p w:rsidR="00784161" w:rsidRDefault="00784161" w:rsidP="00FE6C8E">
            <w:pPr>
              <w:rPr>
                <w:rFonts w:ascii="Arial" w:hAnsi="Arial" w:cs="Arial"/>
              </w:rPr>
            </w:pPr>
            <w:r>
              <w:rPr>
                <w:rFonts w:ascii="Arial" w:hAnsi="Arial" w:cs="Arial"/>
              </w:rPr>
              <w:t xml:space="preserve">Total EAFRD at all stages </w:t>
            </w:r>
          </w:p>
        </w:tc>
        <w:tc>
          <w:tcPr>
            <w:tcW w:w="1417" w:type="dxa"/>
          </w:tcPr>
          <w:p w:rsidR="00784161" w:rsidRDefault="00784161" w:rsidP="00784161">
            <w:pPr>
              <w:jc w:val="right"/>
              <w:rPr>
                <w:rFonts w:ascii="Arial" w:hAnsi="Arial" w:cs="Arial"/>
              </w:rPr>
            </w:pPr>
            <w:r>
              <w:rPr>
                <w:rFonts w:ascii="Arial" w:hAnsi="Arial" w:cs="Arial"/>
              </w:rPr>
              <w:t>£2.68M</w:t>
            </w:r>
          </w:p>
        </w:tc>
        <w:tc>
          <w:tcPr>
            <w:tcW w:w="1418" w:type="dxa"/>
          </w:tcPr>
          <w:p w:rsidR="00784161" w:rsidRDefault="00784161" w:rsidP="00FE6C8E">
            <w:pPr>
              <w:rPr>
                <w:rFonts w:ascii="Arial" w:hAnsi="Arial" w:cs="Arial"/>
              </w:rPr>
            </w:pPr>
            <w:r>
              <w:rPr>
                <w:rFonts w:ascii="Arial" w:hAnsi="Arial" w:cs="Arial"/>
              </w:rPr>
              <w:t xml:space="preserve">10 projects </w:t>
            </w:r>
          </w:p>
        </w:tc>
      </w:tr>
      <w:tr w:rsidR="00784161" w:rsidTr="00784161">
        <w:tc>
          <w:tcPr>
            <w:tcW w:w="2977" w:type="dxa"/>
          </w:tcPr>
          <w:p w:rsidR="00784161" w:rsidRPr="004E0FB8" w:rsidRDefault="00784161" w:rsidP="00FE6C8E">
            <w:pPr>
              <w:rPr>
                <w:rFonts w:ascii="Arial" w:hAnsi="Arial" w:cs="Arial"/>
                <w:b/>
              </w:rPr>
            </w:pPr>
            <w:r w:rsidRPr="004E0FB8">
              <w:rPr>
                <w:rFonts w:ascii="Arial" w:hAnsi="Arial" w:cs="Arial"/>
                <w:b/>
              </w:rPr>
              <w:t xml:space="preserve">EAFRD balance remaining </w:t>
            </w:r>
          </w:p>
        </w:tc>
        <w:tc>
          <w:tcPr>
            <w:tcW w:w="1417" w:type="dxa"/>
          </w:tcPr>
          <w:p w:rsidR="00784161" w:rsidRPr="004E0FB8" w:rsidRDefault="00784161" w:rsidP="00784161">
            <w:pPr>
              <w:jc w:val="right"/>
              <w:rPr>
                <w:rFonts w:ascii="Arial" w:hAnsi="Arial" w:cs="Arial"/>
                <w:b/>
              </w:rPr>
            </w:pPr>
            <w:r w:rsidRPr="004E0FB8">
              <w:rPr>
                <w:rFonts w:ascii="Arial" w:hAnsi="Arial" w:cs="Arial"/>
                <w:b/>
              </w:rPr>
              <w:t>£0.44M</w:t>
            </w:r>
          </w:p>
        </w:tc>
        <w:tc>
          <w:tcPr>
            <w:tcW w:w="1418" w:type="dxa"/>
          </w:tcPr>
          <w:p w:rsidR="00784161" w:rsidRDefault="00784161" w:rsidP="00FE6C8E">
            <w:pPr>
              <w:rPr>
                <w:rFonts w:ascii="Arial" w:hAnsi="Arial" w:cs="Arial"/>
              </w:rPr>
            </w:pPr>
          </w:p>
        </w:tc>
      </w:tr>
    </w:tbl>
    <w:p w:rsidR="00FE6C8E" w:rsidRDefault="00FE6C8E" w:rsidP="00022A0E">
      <w:pPr>
        <w:rPr>
          <w:sz w:val="28"/>
        </w:rPr>
      </w:pPr>
    </w:p>
    <w:p w:rsidR="00FE6C8E" w:rsidRDefault="00C6194C" w:rsidP="00FE6C8E">
      <w:pPr>
        <w:rPr>
          <w:rFonts w:ascii="Arial" w:hAnsi="Arial" w:cs="Arial"/>
          <w:b/>
          <w:sz w:val="24"/>
        </w:rPr>
      </w:pPr>
      <w:r>
        <w:rPr>
          <w:rFonts w:ascii="Arial" w:hAnsi="Arial" w:cs="Arial"/>
          <w:b/>
          <w:sz w:val="24"/>
        </w:rPr>
        <w:t xml:space="preserve">EAFRD </w:t>
      </w:r>
      <w:r w:rsidR="00FE6C8E">
        <w:rPr>
          <w:rFonts w:ascii="Arial" w:hAnsi="Arial" w:cs="Arial"/>
          <w:b/>
          <w:sz w:val="24"/>
        </w:rPr>
        <w:t>National Reserve Fund</w:t>
      </w:r>
    </w:p>
    <w:p w:rsidR="00FE6C8E" w:rsidRDefault="00FE6C8E" w:rsidP="00FE6C8E">
      <w:pPr>
        <w:rPr>
          <w:rFonts w:ascii="Arial" w:hAnsi="Arial" w:cs="Arial"/>
          <w:b/>
          <w:sz w:val="24"/>
        </w:rPr>
      </w:pPr>
    </w:p>
    <w:p w:rsidR="00FE6C8E" w:rsidRDefault="00C6194C" w:rsidP="00FE6C8E">
      <w:pPr>
        <w:rPr>
          <w:rFonts w:ascii="Arial" w:hAnsi="Arial" w:cs="Arial"/>
          <w:b/>
          <w:sz w:val="24"/>
        </w:rPr>
      </w:pPr>
      <w:r>
        <w:rPr>
          <w:rFonts w:ascii="Arial" w:hAnsi="Arial" w:cs="Arial"/>
        </w:rPr>
        <w:t xml:space="preserve">The EAFRD National Reserve Fund is the first of the ESIF </w:t>
      </w:r>
      <w:r w:rsidR="004E0FB8">
        <w:rPr>
          <w:rFonts w:ascii="Arial" w:hAnsi="Arial" w:cs="Arial"/>
        </w:rPr>
        <w:t xml:space="preserve">funds </w:t>
      </w:r>
      <w:r>
        <w:rPr>
          <w:rFonts w:ascii="Arial" w:hAnsi="Arial" w:cs="Arial"/>
        </w:rPr>
        <w:t xml:space="preserve"> to commit remaining allocations from all of the </w:t>
      </w:r>
      <w:r w:rsidR="004E0FB8">
        <w:rPr>
          <w:rFonts w:ascii="Arial" w:hAnsi="Arial" w:cs="Arial"/>
        </w:rPr>
        <w:t xml:space="preserve">eligible </w:t>
      </w:r>
      <w:r>
        <w:rPr>
          <w:rFonts w:ascii="Arial" w:hAnsi="Arial" w:cs="Arial"/>
        </w:rPr>
        <w:t>LEP. The National Reserve Fund value stands at around £30m but managing authority DEFRA has indicated if the demand for funding is high then as much as £50m could available to allocate. The call opened on 5</w:t>
      </w:r>
      <w:r w:rsidRPr="00C6194C">
        <w:rPr>
          <w:rFonts w:ascii="Arial" w:hAnsi="Arial" w:cs="Arial"/>
          <w:vertAlign w:val="superscript"/>
        </w:rPr>
        <w:t>th</w:t>
      </w:r>
      <w:r>
        <w:rPr>
          <w:rFonts w:ascii="Arial" w:hAnsi="Arial" w:cs="Arial"/>
        </w:rPr>
        <w:t xml:space="preserve"> November 2019 and will close to applications on 16</w:t>
      </w:r>
      <w:r w:rsidRPr="00C6194C">
        <w:rPr>
          <w:rFonts w:ascii="Arial" w:hAnsi="Arial" w:cs="Arial"/>
          <w:vertAlign w:val="superscript"/>
        </w:rPr>
        <w:t>th</w:t>
      </w:r>
      <w:r>
        <w:rPr>
          <w:rFonts w:ascii="Arial" w:hAnsi="Arial" w:cs="Arial"/>
        </w:rPr>
        <w:t xml:space="preserve"> February 2020. All three EAFRD themes are available to bid against and promotion of this call is being made through the LEP and Growth Hub networks. In addition a workshop and project surgery is being held at </w:t>
      </w:r>
      <w:proofErr w:type="spellStart"/>
      <w:r>
        <w:rPr>
          <w:rFonts w:ascii="Arial" w:hAnsi="Arial" w:cs="Arial"/>
        </w:rPr>
        <w:t>Rodbaston</w:t>
      </w:r>
      <w:proofErr w:type="spellEnd"/>
      <w:r>
        <w:rPr>
          <w:rFonts w:ascii="Arial" w:hAnsi="Arial" w:cs="Arial"/>
        </w:rPr>
        <w:t xml:space="preserve"> College on 16</w:t>
      </w:r>
      <w:r w:rsidRPr="00C6194C">
        <w:rPr>
          <w:rFonts w:ascii="Arial" w:hAnsi="Arial" w:cs="Arial"/>
          <w:vertAlign w:val="superscript"/>
        </w:rPr>
        <w:t>th</w:t>
      </w:r>
      <w:r>
        <w:rPr>
          <w:rFonts w:ascii="Arial" w:hAnsi="Arial" w:cs="Arial"/>
        </w:rPr>
        <w:t xml:space="preserve"> December and interested rural businesses and partners are being invited to r</w:t>
      </w:r>
      <w:r w:rsidR="00767FE7">
        <w:rPr>
          <w:rFonts w:ascii="Arial" w:hAnsi="Arial" w:cs="Arial"/>
        </w:rPr>
        <w:t>eceive support and advice on any</w:t>
      </w:r>
      <w:r>
        <w:rPr>
          <w:rFonts w:ascii="Arial" w:hAnsi="Arial" w:cs="Arial"/>
        </w:rPr>
        <w:t xml:space="preserve"> bid ideas. </w:t>
      </w:r>
    </w:p>
    <w:p w:rsidR="00C6194C" w:rsidRDefault="00C6194C" w:rsidP="00FE6C8E">
      <w:pPr>
        <w:rPr>
          <w:rFonts w:ascii="Arial" w:hAnsi="Arial" w:cs="Arial"/>
          <w:b/>
          <w:sz w:val="24"/>
        </w:rPr>
      </w:pPr>
    </w:p>
    <w:p w:rsidR="00FE6C8E" w:rsidRPr="0028138B" w:rsidRDefault="00E27CED" w:rsidP="00FE6C8E">
      <w:pPr>
        <w:rPr>
          <w:rFonts w:ascii="Arial" w:hAnsi="Arial" w:cs="Arial"/>
          <w:b/>
          <w:sz w:val="24"/>
        </w:rPr>
      </w:pPr>
      <w:r>
        <w:rPr>
          <w:rFonts w:ascii="Arial" w:hAnsi="Arial" w:cs="Arial"/>
          <w:b/>
          <w:sz w:val="24"/>
        </w:rPr>
        <w:t xml:space="preserve">EAFRD </w:t>
      </w:r>
      <w:r w:rsidR="00FE6C8E" w:rsidRPr="0028138B">
        <w:rPr>
          <w:rFonts w:ascii="Arial" w:hAnsi="Arial" w:cs="Arial"/>
          <w:b/>
          <w:sz w:val="24"/>
        </w:rPr>
        <w:t>Output Delivery</w:t>
      </w:r>
    </w:p>
    <w:p w:rsidR="00FE6C8E" w:rsidRDefault="00FE6C8E" w:rsidP="00FE6C8E">
      <w:pPr>
        <w:rPr>
          <w:sz w:val="28"/>
        </w:rPr>
      </w:pPr>
    </w:p>
    <w:p w:rsidR="00C6194C" w:rsidRDefault="00C6194C" w:rsidP="00FE6C8E">
      <w:pPr>
        <w:rPr>
          <w:rFonts w:ascii="Arial" w:hAnsi="Arial" w:cs="Arial"/>
        </w:rPr>
      </w:pPr>
      <w:r>
        <w:rPr>
          <w:rFonts w:ascii="Arial" w:hAnsi="Arial" w:cs="Arial"/>
        </w:rPr>
        <w:lastRenderedPageBreak/>
        <w:t>EAFRD outputs are not reported in the same detail as the other ESIF funds but the projects already contracted and those likely to be contracted will create new employment, support rural businesses  and increase visitor numbers which will all boost the rural economy across the SSLEP area.</w:t>
      </w:r>
    </w:p>
    <w:p w:rsidR="008700A2" w:rsidRDefault="008700A2" w:rsidP="008700A2">
      <w:pPr>
        <w:rPr>
          <w:rFonts w:ascii="Arial" w:eastAsia="Times New Roman" w:hAnsi="Arial" w:cs="Arial"/>
          <w:lang w:eastAsia="en-GB"/>
        </w:rPr>
      </w:pPr>
    </w:p>
    <w:p w:rsidR="008700A2" w:rsidRPr="00AC695A" w:rsidRDefault="008700A2" w:rsidP="008700A2">
      <w:pPr>
        <w:rPr>
          <w:rFonts w:ascii="Arial" w:eastAsia="Times New Roman" w:hAnsi="Arial" w:cs="Arial"/>
          <w:lang w:eastAsia="en-GB"/>
        </w:rPr>
      </w:pPr>
      <w:r>
        <w:rPr>
          <w:rFonts w:ascii="Arial" w:eastAsia="Times New Roman" w:hAnsi="Arial" w:cs="Arial"/>
          <w:lang w:eastAsia="en-GB"/>
        </w:rPr>
        <w:t xml:space="preserve">Author: Mark Connell; Strategic Funding &amp; Partnerships Manager, Stoke on Trent Council </w:t>
      </w:r>
      <w:hyperlink r:id="rId10" w:history="1">
        <w:r w:rsidRPr="00680F6C">
          <w:rPr>
            <w:rStyle w:val="Hyperlink"/>
            <w:rFonts w:ascii="Arial" w:eastAsia="Times New Roman" w:hAnsi="Arial" w:cs="Arial"/>
            <w:lang w:eastAsia="en-GB"/>
          </w:rPr>
          <w:t>mark.connell@stoke.gov.uk</w:t>
        </w:r>
      </w:hyperlink>
      <w:r>
        <w:rPr>
          <w:rFonts w:ascii="Arial" w:eastAsia="Times New Roman" w:hAnsi="Arial" w:cs="Arial"/>
          <w:lang w:eastAsia="en-GB"/>
        </w:rPr>
        <w:t xml:space="preserve"> </w:t>
      </w:r>
    </w:p>
    <w:p w:rsidR="008700A2" w:rsidRPr="00A95D66" w:rsidRDefault="008700A2" w:rsidP="008700A2">
      <w:pPr>
        <w:rPr>
          <w:rFonts w:ascii="Arial" w:hAnsi="Arial" w:cs="Arial"/>
        </w:rPr>
      </w:pPr>
    </w:p>
    <w:p w:rsidR="00FE6C8E" w:rsidRDefault="00FE6C8E" w:rsidP="00C5144F">
      <w:pPr>
        <w:rPr>
          <w:rFonts w:ascii="Arial" w:hAnsi="Arial" w:cs="Arial"/>
          <w:b/>
        </w:rPr>
      </w:pPr>
    </w:p>
    <w:p w:rsidR="009D29FB" w:rsidRDefault="009D29FB" w:rsidP="00C5144F">
      <w:pPr>
        <w:rPr>
          <w:rFonts w:ascii="Arial" w:hAnsi="Arial" w:cs="Arial"/>
          <w:b/>
        </w:rPr>
      </w:pPr>
    </w:p>
    <w:p w:rsidR="009D29FB" w:rsidRDefault="009D29FB" w:rsidP="00C5144F">
      <w:pPr>
        <w:rPr>
          <w:rFonts w:ascii="Arial" w:hAnsi="Arial" w:cs="Arial"/>
          <w:b/>
        </w:rPr>
      </w:pPr>
    </w:p>
    <w:p w:rsidR="009D29FB" w:rsidRDefault="009D29FB" w:rsidP="00C5144F">
      <w:pPr>
        <w:rPr>
          <w:rFonts w:ascii="Arial" w:hAnsi="Arial" w:cs="Arial"/>
          <w:b/>
        </w:rPr>
      </w:pPr>
    </w:p>
    <w:p w:rsidR="007C494C" w:rsidRDefault="007C494C" w:rsidP="00C5144F">
      <w:pPr>
        <w:rPr>
          <w:rFonts w:ascii="Arial" w:hAnsi="Arial" w:cs="Arial"/>
          <w:b/>
        </w:rPr>
      </w:pPr>
    </w:p>
    <w:p w:rsidR="007C494C" w:rsidRPr="00FE6C8E" w:rsidRDefault="007C494C" w:rsidP="00C5144F">
      <w:pPr>
        <w:rPr>
          <w:rFonts w:ascii="Arial" w:hAnsi="Arial" w:cs="Arial"/>
          <w:b/>
        </w:rPr>
      </w:pPr>
    </w:p>
    <w:sectPr w:rsidR="007C494C" w:rsidRPr="00FE6C8E" w:rsidSect="00EF7955">
      <w:headerReference w:type="default" r:id="rId11"/>
      <w:pgSz w:w="11906" w:h="16838"/>
      <w:pgMar w:top="144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AF4" w:rsidRDefault="00256AF4" w:rsidP="00210105">
      <w:r>
        <w:separator/>
      </w:r>
    </w:p>
  </w:endnote>
  <w:endnote w:type="continuationSeparator" w:id="0">
    <w:p w:rsidR="00256AF4" w:rsidRDefault="00256AF4" w:rsidP="0021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AF4" w:rsidRDefault="00256AF4" w:rsidP="00210105">
      <w:r>
        <w:separator/>
      </w:r>
    </w:p>
  </w:footnote>
  <w:footnote w:type="continuationSeparator" w:id="0">
    <w:p w:rsidR="00256AF4" w:rsidRDefault="00256AF4" w:rsidP="0021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61" w:rsidRDefault="00784161" w:rsidP="00210105">
    <w:pPr>
      <w:pStyle w:val="Header"/>
      <w:jc w:val="right"/>
    </w:pPr>
    <w:r>
      <w:rPr>
        <w:noProof/>
        <w:lang w:eastAsia="en-GB"/>
      </w:rPr>
      <w:drawing>
        <wp:inline distT="0" distB="0" distL="0" distR="0" wp14:anchorId="0C2198F6" wp14:editId="7FF5BF06">
          <wp:extent cx="2904744"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It Stoke Staf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4744"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52B1"/>
    <w:multiLevelType w:val="hybridMultilevel"/>
    <w:tmpl w:val="0EC60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FB4818"/>
    <w:multiLevelType w:val="hybridMultilevel"/>
    <w:tmpl w:val="8F52C332"/>
    <w:lvl w:ilvl="0" w:tplc="6850274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305567"/>
    <w:multiLevelType w:val="hybridMultilevel"/>
    <w:tmpl w:val="2FDA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5739AB"/>
    <w:multiLevelType w:val="multilevel"/>
    <w:tmpl w:val="42BCA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386ED1"/>
    <w:multiLevelType w:val="hybridMultilevel"/>
    <w:tmpl w:val="144CF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096FBF"/>
    <w:multiLevelType w:val="hybridMultilevel"/>
    <w:tmpl w:val="8D3CCE98"/>
    <w:lvl w:ilvl="0" w:tplc="B43605A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49C7321"/>
    <w:multiLevelType w:val="hybridMultilevel"/>
    <w:tmpl w:val="83360E6C"/>
    <w:lvl w:ilvl="0" w:tplc="EE50FCB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DDB3D60"/>
    <w:multiLevelType w:val="hybridMultilevel"/>
    <w:tmpl w:val="AD226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05"/>
    <w:rsid w:val="00002709"/>
    <w:rsid w:val="00005565"/>
    <w:rsid w:val="0001238E"/>
    <w:rsid w:val="00015125"/>
    <w:rsid w:val="00022A0E"/>
    <w:rsid w:val="000454F1"/>
    <w:rsid w:val="0004744B"/>
    <w:rsid w:val="00054F3A"/>
    <w:rsid w:val="000848EB"/>
    <w:rsid w:val="000D2049"/>
    <w:rsid w:val="00135230"/>
    <w:rsid w:val="0016665F"/>
    <w:rsid w:val="00202401"/>
    <w:rsid w:val="00210105"/>
    <w:rsid w:val="00256AF4"/>
    <w:rsid w:val="0028138B"/>
    <w:rsid w:val="002C1549"/>
    <w:rsid w:val="00303E9B"/>
    <w:rsid w:val="00313A78"/>
    <w:rsid w:val="00322771"/>
    <w:rsid w:val="003255AB"/>
    <w:rsid w:val="00331B6C"/>
    <w:rsid w:val="003B6B01"/>
    <w:rsid w:val="00400BB8"/>
    <w:rsid w:val="00401615"/>
    <w:rsid w:val="00420C8B"/>
    <w:rsid w:val="004D0028"/>
    <w:rsid w:val="004E0FB8"/>
    <w:rsid w:val="004E0FC8"/>
    <w:rsid w:val="00513FD3"/>
    <w:rsid w:val="00566575"/>
    <w:rsid w:val="005B20F9"/>
    <w:rsid w:val="005B3A4E"/>
    <w:rsid w:val="00617028"/>
    <w:rsid w:val="00647B5D"/>
    <w:rsid w:val="006B43C1"/>
    <w:rsid w:val="006C44A7"/>
    <w:rsid w:val="00711A29"/>
    <w:rsid w:val="00746248"/>
    <w:rsid w:val="00767FE7"/>
    <w:rsid w:val="00776174"/>
    <w:rsid w:val="00784161"/>
    <w:rsid w:val="00787B6B"/>
    <w:rsid w:val="007C494C"/>
    <w:rsid w:val="007C586C"/>
    <w:rsid w:val="007C7986"/>
    <w:rsid w:val="00800386"/>
    <w:rsid w:val="00812771"/>
    <w:rsid w:val="00823096"/>
    <w:rsid w:val="008369B5"/>
    <w:rsid w:val="008700A2"/>
    <w:rsid w:val="008D4A8F"/>
    <w:rsid w:val="0091373C"/>
    <w:rsid w:val="00974D83"/>
    <w:rsid w:val="009D29FB"/>
    <w:rsid w:val="009F4B3C"/>
    <w:rsid w:val="00A379F0"/>
    <w:rsid w:val="00AF0863"/>
    <w:rsid w:val="00AF6944"/>
    <w:rsid w:val="00B131C6"/>
    <w:rsid w:val="00B22F52"/>
    <w:rsid w:val="00B27833"/>
    <w:rsid w:val="00B47F44"/>
    <w:rsid w:val="00B70139"/>
    <w:rsid w:val="00B75C02"/>
    <w:rsid w:val="00B76504"/>
    <w:rsid w:val="00BC7B30"/>
    <w:rsid w:val="00C32837"/>
    <w:rsid w:val="00C355DF"/>
    <w:rsid w:val="00C37296"/>
    <w:rsid w:val="00C44393"/>
    <w:rsid w:val="00C5144F"/>
    <w:rsid w:val="00C533EB"/>
    <w:rsid w:val="00C6194C"/>
    <w:rsid w:val="00C62160"/>
    <w:rsid w:val="00C7793A"/>
    <w:rsid w:val="00C85F47"/>
    <w:rsid w:val="00CD4D38"/>
    <w:rsid w:val="00CE1956"/>
    <w:rsid w:val="00D041FF"/>
    <w:rsid w:val="00D37DE5"/>
    <w:rsid w:val="00D43EC6"/>
    <w:rsid w:val="00D6176A"/>
    <w:rsid w:val="00DD67D1"/>
    <w:rsid w:val="00DF1707"/>
    <w:rsid w:val="00E27CED"/>
    <w:rsid w:val="00EF7955"/>
    <w:rsid w:val="00F57207"/>
    <w:rsid w:val="00F864B7"/>
    <w:rsid w:val="00FE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AC54D2-49B7-446F-ABF8-B9AFBE55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4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B3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9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05"/>
    <w:pPr>
      <w:tabs>
        <w:tab w:val="center" w:pos="4513"/>
        <w:tab w:val="right" w:pos="9026"/>
      </w:tabs>
    </w:pPr>
  </w:style>
  <w:style w:type="character" w:customStyle="1" w:styleId="HeaderChar">
    <w:name w:val="Header Char"/>
    <w:basedOn w:val="DefaultParagraphFont"/>
    <w:link w:val="Header"/>
    <w:uiPriority w:val="99"/>
    <w:rsid w:val="00210105"/>
  </w:style>
  <w:style w:type="paragraph" w:styleId="Footer">
    <w:name w:val="footer"/>
    <w:basedOn w:val="Normal"/>
    <w:link w:val="FooterChar"/>
    <w:uiPriority w:val="99"/>
    <w:unhideWhenUsed/>
    <w:rsid w:val="00210105"/>
    <w:pPr>
      <w:tabs>
        <w:tab w:val="center" w:pos="4513"/>
        <w:tab w:val="right" w:pos="9026"/>
      </w:tabs>
    </w:pPr>
  </w:style>
  <w:style w:type="character" w:customStyle="1" w:styleId="FooterChar">
    <w:name w:val="Footer Char"/>
    <w:basedOn w:val="DefaultParagraphFont"/>
    <w:link w:val="Footer"/>
    <w:uiPriority w:val="99"/>
    <w:rsid w:val="00210105"/>
  </w:style>
  <w:style w:type="paragraph" w:styleId="BalloonText">
    <w:name w:val="Balloon Text"/>
    <w:basedOn w:val="Normal"/>
    <w:link w:val="BalloonTextChar"/>
    <w:uiPriority w:val="99"/>
    <w:semiHidden/>
    <w:unhideWhenUsed/>
    <w:rsid w:val="00210105"/>
    <w:rPr>
      <w:rFonts w:ascii="Tahoma" w:hAnsi="Tahoma" w:cs="Tahoma"/>
      <w:sz w:val="16"/>
      <w:szCs w:val="16"/>
    </w:rPr>
  </w:style>
  <w:style w:type="character" w:customStyle="1" w:styleId="BalloonTextChar">
    <w:name w:val="Balloon Text Char"/>
    <w:basedOn w:val="DefaultParagraphFont"/>
    <w:link w:val="BalloonText"/>
    <w:uiPriority w:val="99"/>
    <w:semiHidden/>
    <w:rsid w:val="00210105"/>
    <w:rPr>
      <w:rFonts w:ascii="Tahoma" w:hAnsi="Tahoma" w:cs="Tahoma"/>
      <w:sz w:val="16"/>
      <w:szCs w:val="16"/>
    </w:rPr>
  </w:style>
  <w:style w:type="paragraph" w:styleId="ListParagraph">
    <w:name w:val="List Paragraph"/>
    <w:basedOn w:val="Normal"/>
    <w:uiPriority w:val="34"/>
    <w:qFormat/>
    <w:rsid w:val="00B47F44"/>
    <w:pPr>
      <w:spacing w:after="200" w:line="276" w:lineRule="auto"/>
      <w:ind w:left="720"/>
      <w:contextualSpacing/>
    </w:pPr>
  </w:style>
  <w:style w:type="character" w:customStyle="1" w:styleId="Heading1Char">
    <w:name w:val="Heading 1 Char"/>
    <w:basedOn w:val="DefaultParagraphFont"/>
    <w:link w:val="Heading1"/>
    <w:uiPriority w:val="9"/>
    <w:rsid w:val="005B3A4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EF79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79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F79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4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69757">
      <w:bodyDiv w:val="1"/>
      <w:marLeft w:val="0"/>
      <w:marRight w:val="0"/>
      <w:marTop w:val="0"/>
      <w:marBottom w:val="0"/>
      <w:divBdr>
        <w:top w:val="none" w:sz="0" w:space="0" w:color="auto"/>
        <w:left w:val="none" w:sz="0" w:space="0" w:color="auto"/>
        <w:bottom w:val="none" w:sz="0" w:space="0" w:color="auto"/>
        <w:right w:val="none" w:sz="0" w:space="0" w:color="auto"/>
      </w:divBdr>
    </w:div>
    <w:div w:id="515777655">
      <w:bodyDiv w:val="1"/>
      <w:marLeft w:val="0"/>
      <w:marRight w:val="0"/>
      <w:marTop w:val="0"/>
      <w:marBottom w:val="0"/>
      <w:divBdr>
        <w:top w:val="none" w:sz="0" w:space="0" w:color="auto"/>
        <w:left w:val="none" w:sz="0" w:space="0" w:color="auto"/>
        <w:bottom w:val="none" w:sz="0" w:space="0" w:color="auto"/>
        <w:right w:val="none" w:sz="0" w:space="0" w:color="auto"/>
      </w:divBdr>
    </w:div>
    <w:div w:id="18621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connell@stoke.gov.uk"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9584-8D7D-491A-961D-A7AC8744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12067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Miller</dc:creator>
  <cp:lastModifiedBy>Hobbins, Tom (Corporate)</cp:lastModifiedBy>
  <cp:revision>2</cp:revision>
  <dcterms:created xsi:type="dcterms:W3CDTF">2019-12-17T10:31:00Z</dcterms:created>
  <dcterms:modified xsi:type="dcterms:W3CDTF">2019-12-17T10:31:00Z</dcterms:modified>
</cp:coreProperties>
</file>