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F7F" w:rsidRPr="00CE7F6E" w:rsidRDefault="005F3F7F" w:rsidP="005F3F7F">
      <w:pPr>
        <w:jc w:val="center"/>
        <w:rPr>
          <w:rFonts w:cstheme="minorHAnsi"/>
          <w:b/>
          <w:sz w:val="28"/>
          <w:szCs w:val="28"/>
        </w:rPr>
      </w:pPr>
      <w:bookmarkStart w:id="0" w:name="_GoBack"/>
      <w:bookmarkEnd w:id="0"/>
      <w:r w:rsidRPr="00CE7F6E">
        <w:rPr>
          <w:rFonts w:cstheme="minorHAnsi"/>
          <w:b/>
          <w:sz w:val="28"/>
          <w:szCs w:val="28"/>
        </w:rPr>
        <w:t>STOKE ON TRENT &amp; STAFFO</w:t>
      </w:r>
      <w:r>
        <w:rPr>
          <w:rFonts w:cstheme="minorHAnsi"/>
          <w:b/>
          <w:sz w:val="28"/>
          <w:szCs w:val="28"/>
        </w:rPr>
        <w:t>R</w:t>
      </w:r>
      <w:r w:rsidRPr="00CE7F6E">
        <w:rPr>
          <w:rFonts w:cstheme="minorHAnsi"/>
          <w:b/>
          <w:sz w:val="28"/>
          <w:szCs w:val="28"/>
        </w:rPr>
        <w:t>DSHIRE</w:t>
      </w:r>
    </w:p>
    <w:p w:rsidR="005F3F7F" w:rsidRDefault="005F3F7F" w:rsidP="005F3F7F">
      <w:pPr>
        <w:jc w:val="center"/>
        <w:rPr>
          <w:rFonts w:cstheme="minorHAnsi"/>
          <w:b/>
          <w:sz w:val="28"/>
          <w:szCs w:val="28"/>
        </w:rPr>
      </w:pPr>
      <w:r w:rsidRPr="00CE7F6E">
        <w:rPr>
          <w:rFonts w:cstheme="minorHAnsi"/>
          <w:b/>
          <w:sz w:val="28"/>
          <w:szCs w:val="28"/>
        </w:rPr>
        <w:t>LOCAL ENTERPRISE PARTNERSHIP</w:t>
      </w:r>
    </w:p>
    <w:p w:rsidR="005F3F7F" w:rsidRPr="00CE7F6E" w:rsidRDefault="005F3F7F" w:rsidP="005F3F7F">
      <w:pPr>
        <w:jc w:val="center"/>
        <w:rPr>
          <w:rFonts w:cstheme="minorHAnsi"/>
          <w:b/>
          <w:sz w:val="28"/>
          <w:szCs w:val="28"/>
        </w:rPr>
      </w:pPr>
      <w:r>
        <w:rPr>
          <w:rFonts w:cstheme="minorHAnsi"/>
          <w:b/>
          <w:sz w:val="28"/>
          <w:szCs w:val="28"/>
        </w:rPr>
        <w:t xml:space="preserve">COMPANY </w:t>
      </w:r>
      <w:r w:rsidRPr="00CE7F6E">
        <w:rPr>
          <w:rFonts w:cstheme="minorHAnsi"/>
          <w:b/>
          <w:sz w:val="28"/>
          <w:szCs w:val="28"/>
        </w:rPr>
        <w:t>EXECUTIVE BOARD MEETING</w:t>
      </w:r>
    </w:p>
    <w:p w:rsidR="005F3F7F" w:rsidRPr="00CE7F6E" w:rsidRDefault="005F3F7F" w:rsidP="005F3F7F">
      <w:pPr>
        <w:jc w:val="center"/>
        <w:rPr>
          <w:rFonts w:cstheme="minorHAnsi"/>
          <w:b/>
          <w:sz w:val="28"/>
          <w:szCs w:val="28"/>
        </w:rPr>
      </w:pPr>
      <w:r>
        <w:rPr>
          <w:rFonts w:cstheme="minorHAnsi"/>
          <w:b/>
          <w:sz w:val="28"/>
          <w:szCs w:val="28"/>
        </w:rPr>
        <w:t>19</w:t>
      </w:r>
      <w:r w:rsidRPr="00CE7F6E">
        <w:rPr>
          <w:rFonts w:cstheme="minorHAnsi"/>
          <w:b/>
          <w:sz w:val="28"/>
          <w:szCs w:val="28"/>
        </w:rPr>
        <w:t xml:space="preserve"> </w:t>
      </w:r>
      <w:r>
        <w:rPr>
          <w:rFonts w:cstheme="minorHAnsi"/>
          <w:b/>
          <w:sz w:val="28"/>
          <w:szCs w:val="28"/>
        </w:rPr>
        <w:t>December</w:t>
      </w:r>
      <w:r w:rsidRPr="00CE7F6E">
        <w:rPr>
          <w:rFonts w:cstheme="minorHAnsi"/>
          <w:b/>
          <w:sz w:val="28"/>
          <w:szCs w:val="28"/>
        </w:rPr>
        <w:t xml:space="preserve"> 2019</w:t>
      </w:r>
    </w:p>
    <w:p w:rsidR="005F3F7F" w:rsidRDefault="005F3F7F">
      <w:pPr>
        <w:rPr>
          <w:b/>
          <w:sz w:val="28"/>
          <w:szCs w:val="28"/>
        </w:rPr>
      </w:pPr>
    </w:p>
    <w:p w:rsidR="00911281" w:rsidRPr="00D041FF" w:rsidRDefault="005F3F7F">
      <w:pPr>
        <w:rPr>
          <w:rFonts w:ascii="Arial" w:hAnsi="Arial" w:cs="Arial"/>
          <w:b/>
          <w:sz w:val="24"/>
        </w:rPr>
      </w:pPr>
      <w:r w:rsidRPr="005F3F7F">
        <w:rPr>
          <w:b/>
          <w:sz w:val="28"/>
          <w:szCs w:val="28"/>
        </w:rPr>
        <w:t>Item 10</w:t>
      </w:r>
      <w:r>
        <w:rPr>
          <w:b/>
          <w:sz w:val="28"/>
          <w:szCs w:val="28"/>
        </w:rPr>
        <w:t xml:space="preserve">: </w:t>
      </w:r>
      <w:r w:rsidR="00AA343B">
        <w:rPr>
          <w:rFonts w:ascii="Arial" w:hAnsi="Arial" w:cs="Arial"/>
          <w:b/>
          <w:sz w:val="24"/>
        </w:rPr>
        <w:t>R</w:t>
      </w:r>
      <w:r w:rsidR="000D2049" w:rsidRPr="00D041FF">
        <w:rPr>
          <w:rFonts w:ascii="Arial" w:hAnsi="Arial" w:cs="Arial"/>
          <w:b/>
          <w:sz w:val="24"/>
        </w:rPr>
        <w:t xml:space="preserve">eport on the Stoke-on-Trent </w:t>
      </w:r>
      <w:r w:rsidR="00A95D66">
        <w:rPr>
          <w:rFonts w:ascii="Arial" w:hAnsi="Arial" w:cs="Arial"/>
          <w:b/>
          <w:sz w:val="24"/>
        </w:rPr>
        <w:t>Rail Station Power Upgrade</w:t>
      </w:r>
    </w:p>
    <w:p w:rsidR="000D2049" w:rsidRDefault="000D2049">
      <w:pPr>
        <w:rPr>
          <w:rFonts w:ascii="Arial" w:hAnsi="Arial" w:cs="Arial"/>
        </w:rPr>
      </w:pPr>
    </w:p>
    <w:p w:rsidR="002E3EDB" w:rsidRPr="00D041FF" w:rsidRDefault="002E3EDB">
      <w:pPr>
        <w:rPr>
          <w:rFonts w:ascii="Arial" w:hAnsi="Arial" w:cs="Arial"/>
        </w:rPr>
      </w:pPr>
    </w:p>
    <w:p w:rsidR="00C44393" w:rsidRPr="0028138B" w:rsidRDefault="000D2049">
      <w:pPr>
        <w:rPr>
          <w:rFonts w:ascii="Arial" w:hAnsi="Arial" w:cs="Arial"/>
          <w:b/>
        </w:rPr>
      </w:pPr>
      <w:r w:rsidRPr="0028138B">
        <w:rPr>
          <w:rFonts w:ascii="Arial" w:hAnsi="Arial" w:cs="Arial"/>
          <w:b/>
        </w:rPr>
        <w:t>Background</w:t>
      </w:r>
      <w:r w:rsidR="00C44393" w:rsidRPr="0028138B">
        <w:rPr>
          <w:rFonts w:ascii="Arial" w:hAnsi="Arial" w:cs="Arial"/>
          <w:b/>
        </w:rPr>
        <w:t xml:space="preserve"> </w:t>
      </w:r>
    </w:p>
    <w:p w:rsidR="00D041FF" w:rsidRDefault="00D041FF">
      <w:pPr>
        <w:rPr>
          <w:rFonts w:ascii="Arial" w:hAnsi="Arial" w:cs="Arial"/>
          <w:b/>
        </w:rPr>
      </w:pPr>
    </w:p>
    <w:p w:rsidR="00A95D66" w:rsidRPr="00AC695A" w:rsidRDefault="00A95D66">
      <w:pPr>
        <w:rPr>
          <w:rFonts w:ascii="Arial" w:hAnsi="Arial" w:cs="Arial"/>
        </w:rPr>
      </w:pPr>
      <w:r w:rsidRPr="00AC695A">
        <w:rPr>
          <w:rFonts w:ascii="Arial" w:hAnsi="Arial" w:cs="Arial"/>
        </w:rPr>
        <w:t>In response to an Open Call launched by the LEP in the summer of 2018 to allocate an amount of unallocated Growth Deal 3 monies, Virgin Trains made a submission for £!00,000 to assist in delivering a power upgrade a</w:t>
      </w:r>
      <w:r w:rsidR="005F3F7F" w:rsidRPr="00AC695A">
        <w:rPr>
          <w:rFonts w:ascii="Arial" w:hAnsi="Arial" w:cs="Arial"/>
        </w:rPr>
        <w:t>t</w:t>
      </w:r>
      <w:r w:rsidRPr="00AC695A">
        <w:rPr>
          <w:rFonts w:ascii="Arial" w:hAnsi="Arial" w:cs="Arial"/>
        </w:rPr>
        <w:t xml:space="preserve"> Stoke-on-Trent rail station.</w:t>
      </w:r>
      <w:r w:rsidR="002E3EDB" w:rsidRPr="00AC695A">
        <w:rPr>
          <w:rFonts w:ascii="Arial" w:hAnsi="Arial" w:cs="Arial"/>
        </w:rPr>
        <w:t xml:space="preserve">  The LEP appraised and subsequently</w:t>
      </w:r>
      <w:r w:rsidR="00DD38F5" w:rsidRPr="00AC695A">
        <w:rPr>
          <w:rFonts w:ascii="Arial" w:hAnsi="Arial" w:cs="Arial"/>
        </w:rPr>
        <w:t xml:space="preserve"> approved the project and contract documents were in the process of being prepared.</w:t>
      </w:r>
    </w:p>
    <w:p w:rsidR="00DD38F5" w:rsidRPr="00AC695A" w:rsidRDefault="00DD38F5">
      <w:pPr>
        <w:rPr>
          <w:rFonts w:ascii="Arial" w:hAnsi="Arial" w:cs="Arial"/>
        </w:rPr>
      </w:pPr>
    </w:p>
    <w:p w:rsidR="00DD38F5" w:rsidRPr="00AC695A" w:rsidRDefault="00DD38F5">
      <w:pPr>
        <w:rPr>
          <w:rFonts w:ascii="Arial" w:hAnsi="Arial" w:cs="Arial"/>
        </w:rPr>
      </w:pPr>
      <w:r w:rsidRPr="00AC695A">
        <w:rPr>
          <w:rFonts w:ascii="Arial" w:hAnsi="Arial" w:cs="Arial"/>
        </w:rPr>
        <w:t>At the same time Virgin Trains lost out to First Group in terms of the recent West Coast rail franchise re-tender, including the management and operation of Stoke-on-Trent Station.  Clearly, as a new operator of the station facility First Group have reviewed the business case, prepared and submitted by Virgin Trains, and whist they remain fully committed to the delivery of the power upgrade in partnership with the LEP they have drawn attention to the likely outputs that can be delivered via this relatively small financial award.</w:t>
      </w:r>
    </w:p>
    <w:p w:rsidR="002E3EDB" w:rsidRPr="00AA343B" w:rsidRDefault="002E3EDB">
      <w:pPr>
        <w:rPr>
          <w:rFonts w:ascii="Arial" w:hAnsi="Arial" w:cs="Arial"/>
          <w:sz w:val="20"/>
          <w:szCs w:val="20"/>
        </w:rPr>
      </w:pPr>
    </w:p>
    <w:p w:rsidR="002E3EDB" w:rsidRPr="005F3F7F" w:rsidRDefault="002E3EDB">
      <w:pPr>
        <w:rPr>
          <w:rFonts w:ascii="Arial" w:hAnsi="Arial" w:cs="Arial"/>
          <w:b/>
        </w:rPr>
      </w:pPr>
      <w:r w:rsidRPr="005F3F7F">
        <w:rPr>
          <w:rFonts w:ascii="Arial" w:hAnsi="Arial" w:cs="Arial"/>
          <w:b/>
        </w:rPr>
        <w:t>Issue</w:t>
      </w:r>
    </w:p>
    <w:p w:rsidR="00171CD3" w:rsidRPr="00AA343B" w:rsidRDefault="00171CD3">
      <w:pPr>
        <w:rPr>
          <w:rFonts w:ascii="Arial" w:hAnsi="Arial" w:cs="Arial"/>
          <w:sz w:val="20"/>
          <w:szCs w:val="20"/>
        </w:rPr>
      </w:pPr>
    </w:p>
    <w:p w:rsidR="00C8159B" w:rsidRPr="00AC695A" w:rsidRDefault="00E62CEC">
      <w:pPr>
        <w:rPr>
          <w:rFonts w:ascii="Arial" w:hAnsi="Arial" w:cs="Arial"/>
        </w:rPr>
      </w:pPr>
      <w:r w:rsidRPr="00AC695A">
        <w:rPr>
          <w:rFonts w:ascii="Arial" w:hAnsi="Arial" w:cs="Arial"/>
        </w:rPr>
        <w:t>The business case submission highlighted that the rail station is currently “at capacity” in terms</w:t>
      </w:r>
      <w:r w:rsidR="002E3EDB" w:rsidRPr="00AC695A">
        <w:rPr>
          <w:rFonts w:ascii="Arial" w:hAnsi="Arial" w:cs="Arial"/>
        </w:rPr>
        <w:t xml:space="preserve"> of its electricity supply.  </w:t>
      </w:r>
      <w:r w:rsidRPr="00AC695A">
        <w:rPr>
          <w:rFonts w:ascii="Arial" w:hAnsi="Arial" w:cs="Arial"/>
        </w:rPr>
        <w:t>Virgin had clear ambitions to provide more facilities within the station by bringing some of the vacant spaces back into use</w:t>
      </w:r>
      <w:r w:rsidR="002E3EDB" w:rsidRPr="00AC695A">
        <w:rPr>
          <w:rFonts w:ascii="Arial" w:hAnsi="Arial" w:cs="Arial"/>
        </w:rPr>
        <w:t xml:space="preserve"> this focussed upon ground floor accommodations</w:t>
      </w:r>
      <w:r w:rsidR="00DD38F5" w:rsidRPr="00AC695A">
        <w:rPr>
          <w:rFonts w:ascii="Arial" w:hAnsi="Arial" w:cs="Arial"/>
        </w:rPr>
        <w:t xml:space="preserve"> which could</w:t>
      </w:r>
      <w:r w:rsidR="002E3EDB" w:rsidRPr="00AC695A">
        <w:rPr>
          <w:rFonts w:ascii="Arial" w:hAnsi="Arial" w:cs="Arial"/>
        </w:rPr>
        <w:t xml:space="preserve"> be renovated for additional retail/ service space for users of the station.</w:t>
      </w:r>
      <w:r w:rsidR="00DD38F5" w:rsidRPr="00AC695A">
        <w:rPr>
          <w:rFonts w:ascii="Arial" w:hAnsi="Arial" w:cs="Arial"/>
        </w:rPr>
        <w:t xml:space="preserve">  This i</w:t>
      </w:r>
      <w:r w:rsidR="005F3F7F" w:rsidRPr="00AC695A">
        <w:rPr>
          <w:rFonts w:ascii="Arial" w:hAnsi="Arial" w:cs="Arial"/>
        </w:rPr>
        <w:t>n</w:t>
      </w:r>
      <w:r w:rsidR="00DD38F5" w:rsidRPr="00AC695A">
        <w:rPr>
          <w:rFonts w:ascii="Arial" w:hAnsi="Arial" w:cs="Arial"/>
        </w:rPr>
        <w:t xml:space="preserve"> turn was anticipated to deliver both the new commercial floorspace</w:t>
      </w:r>
      <w:r w:rsidR="004F2C54" w:rsidRPr="00AC695A">
        <w:rPr>
          <w:rFonts w:ascii="Arial" w:hAnsi="Arial" w:cs="Arial"/>
        </w:rPr>
        <w:t xml:space="preserve"> of 250sqm and private sector investment of circa £750,000</w:t>
      </w:r>
      <w:r w:rsidR="00C8159B" w:rsidRPr="00AC695A">
        <w:rPr>
          <w:rFonts w:ascii="Arial" w:hAnsi="Arial" w:cs="Arial"/>
        </w:rPr>
        <w:t xml:space="preserve"> along with 12 new jobs.  The outputs propose</w:t>
      </w:r>
      <w:r w:rsidR="00333CC2" w:rsidRPr="00AC695A">
        <w:rPr>
          <w:rFonts w:ascii="Arial" w:hAnsi="Arial" w:cs="Arial"/>
        </w:rPr>
        <w:t>d</w:t>
      </w:r>
      <w:r w:rsidR="00C8159B" w:rsidRPr="00AC695A">
        <w:rPr>
          <w:rFonts w:ascii="Arial" w:hAnsi="Arial" w:cs="Arial"/>
        </w:rPr>
        <w:t xml:space="preserve"> by the project that would result following the LEP’s £100,000 investment were set out in the table below.</w:t>
      </w:r>
    </w:p>
    <w:p w:rsidR="00333CC2" w:rsidRPr="00AC695A" w:rsidRDefault="00333CC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564"/>
        <w:gridCol w:w="1417"/>
        <w:gridCol w:w="1843"/>
      </w:tblGrid>
      <w:tr w:rsidR="00333CC2" w:rsidRPr="00AC695A" w:rsidTr="00444B42">
        <w:trPr>
          <w:jc w:val="center"/>
        </w:trPr>
        <w:tc>
          <w:tcPr>
            <w:tcW w:w="1437" w:type="dxa"/>
            <w:shd w:val="clear" w:color="auto" w:fill="B8CCE4"/>
          </w:tcPr>
          <w:p w:rsidR="00333CC2" w:rsidRPr="00AC695A" w:rsidRDefault="00333CC2" w:rsidP="00444B42">
            <w:pPr>
              <w:jc w:val="center"/>
              <w:rPr>
                <w:rFonts w:ascii="Arial" w:eastAsia="Calibri" w:hAnsi="Arial" w:cs="Arial"/>
                <w:b/>
                <w:lang w:eastAsia="en-GB"/>
              </w:rPr>
            </w:pPr>
            <w:r w:rsidRPr="00AC695A">
              <w:rPr>
                <w:rFonts w:ascii="Arial" w:eastAsia="Calibri" w:hAnsi="Arial" w:cs="Arial"/>
                <w:b/>
                <w:lang w:eastAsia="en-GB"/>
              </w:rPr>
              <w:t>Output Type</w:t>
            </w:r>
          </w:p>
        </w:tc>
        <w:tc>
          <w:tcPr>
            <w:tcW w:w="2564" w:type="dxa"/>
            <w:shd w:val="clear" w:color="auto" w:fill="B8CCE4"/>
          </w:tcPr>
          <w:p w:rsidR="00333CC2" w:rsidRPr="00AC695A" w:rsidRDefault="00333CC2" w:rsidP="00444B42">
            <w:pPr>
              <w:jc w:val="center"/>
              <w:rPr>
                <w:rFonts w:ascii="Arial" w:eastAsia="Calibri" w:hAnsi="Arial" w:cs="Arial"/>
                <w:b/>
                <w:lang w:eastAsia="en-GB"/>
              </w:rPr>
            </w:pPr>
            <w:proofErr w:type="gramStart"/>
            <w:r w:rsidRPr="00AC695A">
              <w:rPr>
                <w:rFonts w:ascii="Arial" w:eastAsia="Calibri" w:hAnsi="Arial" w:cs="Arial"/>
                <w:b/>
                <w:lang w:eastAsia="en-GB"/>
              </w:rPr>
              <w:t>Output  Measure</w:t>
            </w:r>
            <w:proofErr w:type="gramEnd"/>
          </w:p>
        </w:tc>
        <w:tc>
          <w:tcPr>
            <w:tcW w:w="1417" w:type="dxa"/>
            <w:shd w:val="clear" w:color="auto" w:fill="B8CCE4"/>
          </w:tcPr>
          <w:p w:rsidR="00333CC2" w:rsidRPr="00AC695A" w:rsidRDefault="00333CC2" w:rsidP="00444B42">
            <w:pPr>
              <w:jc w:val="center"/>
              <w:rPr>
                <w:rFonts w:ascii="Arial" w:eastAsia="Calibri" w:hAnsi="Arial" w:cs="Arial"/>
                <w:b/>
                <w:lang w:eastAsia="en-GB"/>
              </w:rPr>
            </w:pPr>
            <w:r w:rsidRPr="00AC695A">
              <w:rPr>
                <w:rFonts w:ascii="Arial" w:eastAsia="Calibri" w:hAnsi="Arial" w:cs="Arial"/>
                <w:b/>
                <w:lang w:eastAsia="en-GB"/>
              </w:rPr>
              <w:t>Output Target</w:t>
            </w:r>
          </w:p>
        </w:tc>
        <w:tc>
          <w:tcPr>
            <w:tcW w:w="1843" w:type="dxa"/>
            <w:shd w:val="clear" w:color="auto" w:fill="B8CCE4"/>
          </w:tcPr>
          <w:p w:rsidR="00333CC2" w:rsidRPr="00AC695A" w:rsidRDefault="00333CC2" w:rsidP="00444B42">
            <w:pPr>
              <w:jc w:val="center"/>
              <w:rPr>
                <w:rFonts w:ascii="Arial" w:eastAsia="Calibri" w:hAnsi="Arial" w:cs="Arial"/>
                <w:b/>
                <w:lang w:eastAsia="en-GB"/>
              </w:rPr>
            </w:pPr>
            <w:r w:rsidRPr="00AC695A">
              <w:rPr>
                <w:rFonts w:ascii="Arial" w:eastAsia="Calibri" w:hAnsi="Arial" w:cs="Arial"/>
                <w:b/>
                <w:lang w:eastAsia="en-GB"/>
              </w:rPr>
              <w:t>Target Date</w:t>
            </w:r>
          </w:p>
        </w:tc>
      </w:tr>
      <w:tr w:rsidR="00333CC2" w:rsidRPr="00AC695A" w:rsidTr="00444B42">
        <w:trPr>
          <w:jc w:val="center"/>
        </w:trPr>
        <w:tc>
          <w:tcPr>
            <w:tcW w:w="1437" w:type="dxa"/>
            <w:shd w:val="clear" w:color="auto" w:fill="auto"/>
          </w:tcPr>
          <w:p w:rsidR="00333CC2" w:rsidRPr="00AC695A" w:rsidRDefault="00333CC2" w:rsidP="00444B42">
            <w:pPr>
              <w:rPr>
                <w:rFonts w:ascii="Arial" w:eastAsia="Calibri" w:hAnsi="Arial" w:cs="Arial"/>
                <w:lang w:eastAsia="en-GB"/>
              </w:rPr>
            </w:pPr>
            <w:r w:rsidRPr="00AC695A">
              <w:rPr>
                <w:rFonts w:ascii="Arial" w:eastAsia="Calibri" w:hAnsi="Arial" w:cs="Arial"/>
                <w:lang w:eastAsia="en-GB"/>
              </w:rPr>
              <w:t>Financial</w:t>
            </w:r>
          </w:p>
        </w:tc>
        <w:tc>
          <w:tcPr>
            <w:tcW w:w="2564" w:type="dxa"/>
            <w:shd w:val="clear" w:color="auto" w:fill="auto"/>
          </w:tcPr>
          <w:p w:rsidR="00333CC2" w:rsidRPr="00AC695A" w:rsidRDefault="00333CC2" w:rsidP="00444B42">
            <w:pPr>
              <w:rPr>
                <w:rFonts w:ascii="Arial" w:eastAsia="Calibri" w:hAnsi="Arial" w:cs="Arial"/>
                <w:lang w:eastAsia="en-GB"/>
              </w:rPr>
            </w:pPr>
            <w:r w:rsidRPr="00AC695A">
              <w:rPr>
                <w:rFonts w:ascii="Arial" w:eastAsia="Calibri" w:hAnsi="Arial" w:cs="Arial"/>
                <w:lang w:eastAsia="en-GB"/>
              </w:rPr>
              <w:t>Private sector investment resulting from the project investment</w:t>
            </w:r>
          </w:p>
        </w:tc>
        <w:tc>
          <w:tcPr>
            <w:tcW w:w="1417" w:type="dxa"/>
            <w:shd w:val="clear" w:color="auto" w:fill="auto"/>
          </w:tcPr>
          <w:p w:rsidR="00333CC2" w:rsidRPr="00AC695A" w:rsidRDefault="00333CC2" w:rsidP="00444B42">
            <w:pPr>
              <w:rPr>
                <w:rFonts w:ascii="Arial" w:eastAsia="Calibri" w:hAnsi="Arial" w:cs="Arial"/>
                <w:lang w:eastAsia="en-GB"/>
              </w:rPr>
            </w:pPr>
            <w:r w:rsidRPr="00AC695A">
              <w:rPr>
                <w:rFonts w:ascii="Arial" w:eastAsia="Calibri" w:hAnsi="Arial" w:cs="Arial"/>
                <w:lang w:eastAsia="en-GB"/>
              </w:rPr>
              <w:t>£3.22m</w:t>
            </w:r>
          </w:p>
        </w:tc>
        <w:tc>
          <w:tcPr>
            <w:tcW w:w="1843" w:type="dxa"/>
            <w:shd w:val="clear" w:color="auto" w:fill="auto"/>
          </w:tcPr>
          <w:p w:rsidR="00333CC2" w:rsidRPr="00AC695A" w:rsidRDefault="00333CC2" w:rsidP="00444B42">
            <w:pPr>
              <w:rPr>
                <w:rFonts w:ascii="Arial" w:eastAsia="Calibri" w:hAnsi="Arial" w:cs="Arial"/>
                <w:lang w:eastAsia="en-GB"/>
              </w:rPr>
            </w:pPr>
            <w:r w:rsidRPr="00AC695A">
              <w:rPr>
                <w:rFonts w:ascii="Arial" w:eastAsia="Calibri" w:hAnsi="Arial" w:cs="Arial"/>
                <w:lang w:eastAsia="en-GB"/>
              </w:rPr>
              <w:t>March 2021</w:t>
            </w:r>
          </w:p>
        </w:tc>
      </w:tr>
      <w:tr w:rsidR="00333CC2" w:rsidRPr="00AC695A" w:rsidTr="00444B42">
        <w:trPr>
          <w:jc w:val="center"/>
        </w:trPr>
        <w:tc>
          <w:tcPr>
            <w:tcW w:w="1437" w:type="dxa"/>
            <w:shd w:val="clear" w:color="auto" w:fill="auto"/>
          </w:tcPr>
          <w:p w:rsidR="00333CC2" w:rsidRPr="00AC695A" w:rsidRDefault="00333CC2" w:rsidP="00444B42">
            <w:pPr>
              <w:rPr>
                <w:rFonts w:ascii="Arial" w:eastAsia="Calibri" w:hAnsi="Arial" w:cs="Arial"/>
                <w:lang w:eastAsia="en-GB"/>
              </w:rPr>
            </w:pPr>
            <w:r w:rsidRPr="00AC695A">
              <w:rPr>
                <w:rFonts w:ascii="Arial" w:eastAsia="Calibri" w:hAnsi="Arial" w:cs="Arial"/>
                <w:lang w:eastAsia="en-GB"/>
              </w:rPr>
              <w:t>Floor space</w:t>
            </w:r>
          </w:p>
        </w:tc>
        <w:tc>
          <w:tcPr>
            <w:tcW w:w="2564" w:type="dxa"/>
            <w:shd w:val="clear" w:color="auto" w:fill="auto"/>
          </w:tcPr>
          <w:p w:rsidR="00333CC2" w:rsidRPr="00AC695A" w:rsidRDefault="00333CC2" w:rsidP="00444B42">
            <w:pPr>
              <w:rPr>
                <w:rFonts w:ascii="Arial" w:eastAsia="Calibri" w:hAnsi="Arial" w:cs="Arial"/>
                <w:lang w:eastAsia="en-GB"/>
              </w:rPr>
            </w:pPr>
            <w:r w:rsidRPr="00AC695A">
              <w:rPr>
                <w:rFonts w:ascii="Arial" w:eastAsia="Calibri" w:hAnsi="Arial" w:cs="Arial"/>
                <w:lang w:eastAsia="en-GB"/>
              </w:rPr>
              <w:t>New commercial floor space created once the power supply issue has been rectified</w:t>
            </w:r>
          </w:p>
        </w:tc>
        <w:tc>
          <w:tcPr>
            <w:tcW w:w="1417" w:type="dxa"/>
            <w:shd w:val="clear" w:color="auto" w:fill="auto"/>
          </w:tcPr>
          <w:p w:rsidR="00333CC2" w:rsidRPr="00AC695A" w:rsidRDefault="00333CC2" w:rsidP="00444B42">
            <w:pPr>
              <w:rPr>
                <w:rFonts w:ascii="Arial" w:eastAsia="Calibri" w:hAnsi="Arial" w:cs="Arial"/>
                <w:lang w:eastAsia="en-GB"/>
              </w:rPr>
            </w:pPr>
            <w:r w:rsidRPr="00AC695A">
              <w:rPr>
                <w:rFonts w:ascii="Arial" w:eastAsia="Calibri" w:hAnsi="Arial" w:cs="Arial"/>
                <w:lang w:eastAsia="en-GB"/>
              </w:rPr>
              <w:t xml:space="preserve"> 2000</w:t>
            </w:r>
            <w:r w:rsidR="00AA343B" w:rsidRPr="00AC695A">
              <w:rPr>
                <w:rFonts w:ascii="Arial" w:eastAsia="Calibri" w:hAnsi="Arial" w:cs="Arial"/>
                <w:lang w:eastAsia="en-GB"/>
              </w:rPr>
              <w:t xml:space="preserve"> </w:t>
            </w:r>
            <w:proofErr w:type="spellStart"/>
            <w:r w:rsidRPr="00AC695A">
              <w:rPr>
                <w:rFonts w:ascii="Arial" w:eastAsia="Calibri" w:hAnsi="Arial" w:cs="Arial"/>
                <w:lang w:eastAsia="en-GB"/>
              </w:rPr>
              <w:t>sq</w:t>
            </w:r>
            <w:r w:rsidR="00AA343B" w:rsidRPr="00AC695A">
              <w:rPr>
                <w:rFonts w:ascii="Arial" w:eastAsia="Calibri" w:hAnsi="Arial" w:cs="Arial"/>
                <w:lang w:eastAsia="en-GB"/>
              </w:rPr>
              <w:t>.</w:t>
            </w:r>
            <w:r w:rsidRPr="00AC695A">
              <w:rPr>
                <w:rFonts w:ascii="Arial" w:eastAsia="Calibri" w:hAnsi="Arial" w:cs="Arial"/>
                <w:lang w:eastAsia="en-GB"/>
              </w:rPr>
              <w:t>m</w:t>
            </w:r>
            <w:proofErr w:type="spellEnd"/>
            <w:r w:rsidR="00AA343B" w:rsidRPr="00AC695A">
              <w:rPr>
                <w:rFonts w:ascii="Arial" w:eastAsia="Calibri" w:hAnsi="Arial" w:cs="Arial"/>
                <w:lang w:eastAsia="en-GB"/>
              </w:rPr>
              <w:t>.</w:t>
            </w:r>
          </w:p>
        </w:tc>
        <w:tc>
          <w:tcPr>
            <w:tcW w:w="1843" w:type="dxa"/>
            <w:shd w:val="clear" w:color="auto" w:fill="auto"/>
          </w:tcPr>
          <w:p w:rsidR="00333CC2" w:rsidRPr="00AC695A" w:rsidRDefault="00333CC2" w:rsidP="00444B42">
            <w:pPr>
              <w:rPr>
                <w:rFonts w:ascii="Arial" w:eastAsia="Calibri" w:hAnsi="Arial" w:cs="Arial"/>
                <w:lang w:eastAsia="en-GB"/>
              </w:rPr>
            </w:pPr>
            <w:r w:rsidRPr="00AC695A">
              <w:rPr>
                <w:rFonts w:ascii="Arial" w:eastAsia="Calibri" w:hAnsi="Arial" w:cs="Arial"/>
                <w:lang w:eastAsia="en-GB"/>
              </w:rPr>
              <w:t>September 2019</w:t>
            </w:r>
          </w:p>
        </w:tc>
      </w:tr>
      <w:tr w:rsidR="00333CC2" w:rsidRPr="00AC695A" w:rsidTr="00444B42">
        <w:trPr>
          <w:jc w:val="center"/>
        </w:trPr>
        <w:tc>
          <w:tcPr>
            <w:tcW w:w="1437" w:type="dxa"/>
            <w:shd w:val="clear" w:color="auto" w:fill="auto"/>
          </w:tcPr>
          <w:p w:rsidR="00333CC2" w:rsidRPr="00AC695A" w:rsidRDefault="00333CC2" w:rsidP="00444B42">
            <w:pPr>
              <w:rPr>
                <w:rFonts w:ascii="Arial" w:eastAsia="Calibri" w:hAnsi="Arial" w:cs="Arial"/>
                <w:lang w:eastAsia="en-GB"/>
              </w:rPr>
            </w:pPr>
            <w:r w:rsidRPr="00AC695A">
              <w:rPr>
                <w:rFonts w:ascii="Arial" w:eastAsia="Calibri" w:hAnsi="Arial" w:cs="Arial"/>
                <w:lang w:eastAsia="en-GB"/>
              </w:rPr>
              <w:t>Jobs</w:t>
            </w:r>
          </w:p>
        </w:tc>
        <w:tc>
          <w:tcPr>
            <w:tcW w:w="2564" w:type="dxa"/>
            <w:shd w:val="clear" w:color="auto" w:fill="auto"/>
          </w:tcPr>
          <w:p w:rsidR="00333CC2" w:rsidRPr="00AC695A" w:rsidRDefault="00333CC2" w:rsidP="00444B42">
            <w:pPr>
              <w:rPr>
                <w:rFonts w:ascii="Arial" w:eastAsia="Calibri" w:hAnsi="Arial" w:cs="Arial"/>
                <w:lang w:eastAsia="en-GB"/>
              </w:rPr>
            </w:pPr>
            <w:r w:rsidRPr="00AC695A">
              <w:rPr>
                <w:rFonts w:ascii="Arial" w:eastAsia="Calibri" w:hAnsi="Arial" w:cs="Arial"/>
                <w:lang w:eastAsia="en-GB"/>
              </w:rPr>
              <w:t>Based upon the floorspace being created and the types of uses proposed</w:t>
            </w:r>
          </w:p>
        </w:tc>
        <w:tc>
          <w:tcPr>
            <w:tcW w:w="1417" w:type="dxa"/>
            <w:shd w:val="clear" w:color="auto" w:fill="auto"/>
          </w:tcPr>
          <w:p w:rsidR="00333CC2" w:rsidRPr="00AC695A" w:rsidRDefault="00333CC2" w:rsidP="00444B42">
            <w:pPr>
              <w:rPr>
                <w:rFonts w:ascii="Arial" w:eastAsia="Calibri" w:hAnsi="Arial" w:cs="Arial"/>
                <w:lang w:eastAsia="en-GB"/>
              </w:rPr>
            </w:pPr>
            <w:r w:rsidRPr="00AC695A">
              <w:rPr>
                <w:rFonts w:ascii="Arial" w:eastAsia="Calibri" w:hAnsi="Arial" w:cs="Arial"/>
                <w:lang w:eastAsia="en-GB"/>
              </w:rPr>
              <w:t>12 - 20</w:t>
            </w:r>
          </w:p>
        </w:tc>
        <w:tc>
          <w:tcPr>
            <w:tcW w:w="1843" w:type="dxa"/>
            <w:shd w:val="clear" w:color="auto" w:fill="auto"/>
          </w:tcPr>
          <w:p w:rsidR="00333CC2" w:rsidRPr="00AC695A" w:rsidRDefault="00333CC2" w:rsidP="00444B42">
            <w:pPr>
              <w:rPr>
                <w:rFonts w:ascii="Arial" w:eastAsia="Calibri" w:hAnsi="Arial" w:cs="Arial"/>
                <w:lang w:eastAsia="en-GB"/>
              </w:rPr>
            </w:pPr>
            <w:r w:rsidRPr="00AC695A">
              <w:rPr>
                <w:rFonts w:ascii="Arial" w:eastAsia="Calibri" w:hAnsi="Arial" w:cs="Arial"/>
                <w:lang w:eastAsia="en-GB"/>
              </w:rPr>
              <w:t>March 2020</w:t>
            </w:r>
          </w:p>
        </w:tc>
      </w:tr>
    </w:tbl>
    <w:p w:rsidR="00333CC2" w:rsidRPr="00AC695A" w:rsidRDefault="00333CC2">
      <w:pPr>
        <w:rPr>
          <w:rFonts w:ascii="Arial" w:hAnsi="Arial" w:cs="Arial"/>
        </w:rPr>
      </w:pPr>
    </w:p>
    <w:p w:rsidR="00AC695A" w:rsidRPr="00AC695A" w:rsidRDefault="00AC695A">
      <w:pPr>
        <w:rPr>
          <w:rFonts w:ascii="Arial" w:hAnsi="Arial" w:cs="Arial"/>
        </w:rPr>
      </w:pPr>
    </w:p>
    <w:p w:rsidR="00AC695A" w:rsidRPr="00AC695A" w:rsidRDefault="00AC695A">
      <w:pPr>
        <w:rPr>
          <w:rFonts w:ascii="Arial" w:hAnsi="Arial" w:cs="Arial"/>
        </w:rPr>
      </w:pPr>
    </w:p>
    <w:p w:rsidR="00333CC2" w:rsidRPr="00AC695A" w:rsidRDefault="00333CC2">
      <w:pPr>
        <w:rPr>
          <w:rFonts w:ascii="Arial" w:hAnsi="Arial" w:cs="Arial"/>
        </w:rPr>
      </w:pPr>
      <w:r w:rsidRPr="00AC695A">
        <w:rPr>
          <w:rFonts w:ascii="Arial" w:hAnsi="Arial" w:cs="Arial"/>
        </w:rPr>
        <w:t xml:space="preserve">However, at the same time Virgin were exploring the potential re use of the Station’s first floor, currently vacant, and were talking to a student housing operator regarding the future use of this space.  It was intended, through the business case that the student housing accommodation could </w:t>
      </w:r>
      <w:r w:rsidRPr="00AC695A">
        <w:rPr>
          <w:rFonts w:ascii="Arial" w:hAnsi="Arial" w:cs="Arial"/>
        </w:rPr>
        <w:lastRenderedPageBreak/>
        <w:t>be a future phase as although the floorspace could be “made ready” for a commercial use, its use for student accommodation was only in discussion and it was not proposed that in addition to the outputs named above that 40 units of student accommodation would also result from the £100,000 LEP investment.</w:t>
      </w:r>
      <w:r w:rsidR="00CA0353" w:rsidRPr="00AC695A">
        <w:rPr>
          <w:rFonts w:ascii="Arial" w:hAnsi="Arial" w:cs="Arial"/>
        </w:rPr>
        <w:t xml:space="preserve">  This information was incorporated in a further table aimed at capturing the wider outcomes.</w:t>
      </w:r>
    </w:p>
    <w:p w:rsidR="00AA343B" w:rsidRPr="00AC695A" w:rsidRDefault="00AA343B">
      <w:pPr>
        <w:rPr>
          <w:rFonts w:ascii="Arial" w:hAnsi="Arial" w:cs="Arial"/>
        </w:rPr>
      </w:pPr>
    </w:p>
    <w:p w:rsidR="00CA0353" w:rsidRPr="00AC695A" w:rsidRDefault="00CA0353">
      <w:pPr>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250"/>
        <w:gridCol w:w="2283"/>
        <w:gridCol w:w="2295"/>
      </w:tblGrid>
      <w:tr w:rsidR="00CA0353" w:rsidRPr="00AC695A" w:rsidTr="00444B42">
        <w:tc>
          <w:tcPr>
            <w:tcW w:w="2299" w:type="dxa"/>
            <w:shd w:val="clear" w:color="auto" w:fill="B8CCE4"/>
          </w:tcPr>
          <w:p w:rsidR="00CA0353" w:rsidRPr="00AC695A" w:rsidRDefault="00CA0353" w:rsidP="00444B42">
            <w:pPr>
              <w:rPr>
                <w:rFonts w:ascii="Arial" w:eastAsia="Calibri" w:hAnsi="Arial" w:cs="Arial"/>
                <w:lang w:eastAsia="en-GB"/>
              </w:rPr>
            </w:pPr>
            <w:bookmarkStart w:id="1" w:name="_Hlk527449778"/>
            <w:r w:rsidRPr="00AC695A">
              <w:rPr>
                <w:rFonts w:ascii="Arial" w:eastAsia="Calibri" w:hAnsi="Arial" w:cs="Arial"/>
                <w:lang w:eastAsia="en-GB"/>
              </w:rPr>
              <w:t>Investment</w:t>
            </w:r>
          </w:p>
          <w:p w:rsidR="00CA0353" w:rsidRPr="00AC695A" w:rsidRDefault="00CA0353" w:rsidP="00444B42">
            <w:pPr>
              <w:rPr>
                <w:rFonts w:ascii="Arial" w:eastAsia="Calibri" w:hAnsi="Arial" w:cs="Arial"/>
                <w:lang w:eastAsia="en-GB"/>
              </w:rPr>
            </w:pPr>
          </w:p>
        </w:tc>
        <w:tc>
          <w:tcPr>
            <w:tcW w:w="2250" w:type="dxa"/>
            <w:shd w:val="clear" w:color="auto" w:fill="B8CCE4"/>
          </w:tcPr>
          <w:p w:rsidR="00CA0353" w:rsidRPr="00AC695A" w:rsidRDefault="00CA0353" w:rsidP="00444B42">
            <w:pPr>
              <w:rPr>
                <w:rFonts w:ascii="Arial" w:eastAsia="Calibri" w:hAnsi="Arial" w:cs="Arial"/>
                <w:lang w:eastAsia="en-GB"/>
              </w:rPr>
            </w:pPr>
            <w:r w:rsidRPr="00AC695A">
              <w:rPr>
                <w:rFonts w:ascii="Arial" w:eastAsia="Calibri" w:hAnsi="Arial" w:cs="Arial"/>
                <w:lang w:eastAsia="en-GB"/>
              </w:rPr>
              <w:t>Status</w:t>
            </w:r>
          </w:p>
        </w:tc>
        <w:tc>
          <w:tcPr>
            <w:tcW w:w="2283" w:type="dxa"/>
            <w:shd w:val="clear" w:color="auto" w:fill="B8CCE4"/>
          </w:tcPr>
          <w:p w:rsidR="00CA0353" w:rsidRPr="00AC695A" w:rsidRDefault="00CA0353" w:rsidP="00444B42">
            <w:pPr>
              <w:rPr>
                <w:rFonts w:ascii="Arial" w:eastAsia="Calibri" w:hAnsi="Arial" w:cs="Arial"/>
                <w:lang w:eastAsia="en-GB"/>
              </w:rPr>
            </w:pPr>
            <w:r w:rsidRPr="00AC695A">
              <w:rPr>
                <w:rFonts w:ascii="Arial" w:eastAsia="Calibri" w:hAnsi="Arial" w:cs="Arial"/>
                <w:lang w:eastAsia="en-GB"/>
              </w:rPr>
              <w:t>Floorspace created</w:t>
            </w:r>
          </w:p>
        </w:tc>
        <w:tc>
          <w:tcPr>
            <w:tcW w:w="2295" w:type="dxa"/>
            <w:shd w:val="clear" w:color="auto" w:fill="B8CCE4"/>
          </w:tcPr>
          <w:p w:rsidR="00CA0353" w:rsidRPr="00AC695A" w:rsidRDefault="00CA0353" w:rsidP="00444B42">
            <w:pPr>
              <w:rPr>
                <w:rFonts w:ascii="Arial" w:eastAsia="Calibri" w:hAnsi="Arial" w:cs="Arial"/>
                <w:lang w:eastAsia="en-GB"/>
              </w:rPr>
            </w:pPr>
            <w:r w:rsidRPr="00AC695A">
              <w:rPr>
                <w:rFonts w:ascii="Arial" w:eastAsia="Calibri" w:hAnsi="Arial" w:cs="Arial"/>
                <w:lang w:eastAsia="en-GB"/>
              </w:rPr>
              <w:t>Job opportunities</w:t>
            </w:r>
          </w:p>
        </w:tc>
      </w:tr>
      <w:tr w:rsidR="00CA0353" w:rsidRPr="00AC695A" w:rsidTr="00444B42">
        <w:tc>
          <w:tcPr>
            <w:tcW w:w="2299" w:type="dxa"/>
            <w:shd w:val="clear" w:color="auto" w:fill="auto"/>
          </w:tcPr>
          <w:p w:rsidR="00CA0353" w:rsidRPr="00AC695A" w:rsidRDefault="00CA0353" w:rsidP="00444B42">
            <w:pPr>
              <w:rPr>
                <w:rFonts w:ascii="Arial" w:eastAsia="Calibri" w:hAnsi="Arial" w:cs="Arial"/>
                <w:lang w:eastAsia="en-GB"/>
              </w:rPr>
            </w:pPr>
            <w:r w:rsidRPr="00AC695A">
              <w:rPr>
                <w:rFonts w:ascii="Arial" w:eastAsia="Calibri" w:hAnsi="Arial" w:cs="Arial"/>
                <w:lang w:eastAsia="en-GB"/>
              </w:rPr>
              <w:t>Retail Units</w:t>
            </w:r>
          </w:p>
        </w:tc>
        <w:tc>
          <w:tcPr>
            <w:tcW w:w="2250" w:type="dxa"/>
            <w:shd w:val="clear" w:color="auto" w:fill="auto"/>
          </w:tcPr>
          <w:p w:rsidR="00CA0353" w:rsidRPr="00AC695A" w:rsidRDefault="00CA0353" w:rsidP="00444B42">
            <w:pPr>
              <w:rPr>
                <w:rFonts w:ascii="Arial" w:eastAsia="Calibri" w:hAnsi="Arial" w:cs="Arial"/>
                <w:lang w:eastAsia="en-GB"/>
              </w:rPr>
            </w:pPr>
            <w:r w:rsidRPr="00AC695A">
              <w:rPr>
                <w:rFonts w:ascii="Arial" w:eastAsia="Calibri" w:hAnsi="Arial" w:cs="Arial"/>
                <w:lang w:eastAsia="en-GB"/>
              </w:rPr>
              <w:t>In discussion</w:t>
            </w:r>
          </w:p>
        </w:tc>
        <w:tc>
          <w:tcPr>
            <w:tcW w:w="2283" w:type="dxa"/>
            <w:shd w:val="clear" w:color="auto" w:fill="auto"/>
          </w:tcPr>
          <w:p w:rsidR="00CA0353" w:rsidRPr="00AC695A" w:rsidRDefault="00CA0353" w:rsidP="00444B42">
            <w:pPr>
              <w:rPr>
                <w:rFonts w:ascii="Arial" w:eastAsia="Calibri" w:hAnsi="Arial" w:cs="Arial"/>
                <w:lang w:eastAsia="en-GB"/>
              </w:rPr>
            </w:pPr>
            <w:r w:rsidRPr="00AC695A">
              <w:rPr>
                <w:rFonts w:ascii="Arial" w:eastAsia="Calibri" w:hAnsi="Arial" w:cs="Arial"/>
                <w:lang w:eastAsia="en-GB"/>
              </w:rPr>
              <w:t>250sqm</w:t>
            </w:r>
          </w:p>
        </w:tc>
        <w:tc>
          <w:tcPr>
            <w:tcW w:w="2295" w:type="dxa"/>
            <w:shd w:val="clear" w:color="auto" w:fill="auto"/>
          </w:tcPr>
          <w:p w:rsidR="00CA0353" w:rsidRPr="00AC695A" w:rsidRDefault="00CA0353" w:rsidP="00444B42">
            <w:pPr>
              <w:rPr>
                <w:rFonts w:ascii="Arial" w:eastAsia="Calibri" w:hAnsi="Arial" w:cs="Arial"/>
                <w:lang w:eastAsia="en-GB"/>
              </w:rPr>
            </w:pPr>
            <w:r w:rsidRPr="00AC695A">
              <w:rPr>
                <w:rFonts w:ascii="Arial" w:eastAsia="Calibri" w:hAnsi="Arial" w:cs="Arial"/>
                <w:lang w:eastAsia="en-GB"/>
              </w:rPr>
              <w:t>12 Jobs</w:t>
            </w:r>
          </w:p>
        </w:tc>
      </w:tr>
      <w:tr w:rsidR="00CA0353" w:rsidRPr="00AC695A" w:rsidTr="00444B42">
        <w:tc>
          <w:tcPr>
            <w:tcW w:w="2299" w:type="dxa"/>
            <w:shd w:val="clear" w:color="auto" w:fill="auto"/>
          </w:tcPr>
          <w:p w:rsidR="00CA0353" w:rsidRPr="00AC695A" w:rsidRDefault="00CA0353" w:rsidP="00444B42">
            <w:pPr>
              <w:rPr>
                <w:rFonts w:ascii="Arial" w:eastAsia="Calibri" w:hAnsi="Arial" w:cs="Arial"/>
                <w:lang w:eastAsia="en-GB"/>
              </w:rPr>
            </w:pPr>
            <w:proofErr w:type="spellStart"/>
            <w:r w:rsidRPr="00AC695A">
              <w:rPr>
                <w:rFonts w:ascii="Arial" w:eastAsia="Calibri" w:hAnsi="Arial" w:cs="Arial"/>
                <w:lang w:eastAsia="en-GB"/>
              </w:rPr>
              <w:t>Ist</w:t>
            </w:r>
            <w:proofErr w:type="spellEnd"/>
            <w:r w:rsidRPr="00AC695A">
              <w:rPr>
                <w:rFonts w:ascii="Arial" w:eastAsia="Calibri" w:hAnsi="Arial" w:cs="Arial"/>
                <w:lang w:eastAsia="en-GB"/>
              </w:rPr>
              <w:t xml:space="preserve"> Floor refurbishment and occupation</w:t>
            </w:r>
          </w:p>
        </w:tc>
        <w:tc>
          <w:tcPr>
            <w:tcW w:w="2250" w:type="dxa"/>
            <w:shd w:val="clear" w:color="auto" w:fill="auto"/>
          </w:tcPr>
          <w:p w:rsidR="00CA0353" w:rsidRPr="00AC695A" w:rsidRDefault="00CA0353" w:rsidP="00444B42">
            <w:pPr>
              <w:rPr>
                <w:rFonts w:ascii="Arial" w:eastAsia="Calibri" w:hAnsi="Arial" w:cs="Arial"/>
                <w:lang w:eastAsia="en-GB"/>
              </w:rPr>
            </w:pPr>
            <w:r w:rsidRPr="00AC695A">
              <w:rPr>
                <w:rFonts w:ascii="Arial" w:eastAsia="Calibri" w:hAnsi="Arial" w:cs="Arial"/>
                <w:lang w:eastAsia="en-GB"/>
              </w:rPr>
              <w:t>In discussion</w:t>
            </w:r>
          </w:p>
        </w:tc>
        <w:tc>
          <w:tcPr>
            <w:tcW w:w="2283" w:type="dxa"/>
            <w:shd w:val="clear" w:color="auto" w:fill="auto"/>
          </w:tcPr>
          <w:p w:rsidR="00CA0353" w:rsidRPr="00AC695A" w:rsidRDefault="00CA0353" w:rsidP="00444B42">
            <w:pPr>
              <w:rPr>
                <w:rFonts w:ascii="Arial" w:eastAsia="Calibri" w:hAnsi="Arial" w:cs="Arial"/>
                <w:lang w:eastAsia="en-GB"/>
              </w:rPr>
            </w:pPr>
            <w:r w:rsidRPr="00AC695A">
              <w:rPr>
                <w:rFonts w:ascii="Arial" w:eastAsia="Calibri" w:hAnsi="Arial" w:cs="Arial"/>
                <w:lang w:eastAsia="en-GB"/>
              </w:rPr>
              <w:t>2,000sqm</w:t>
            </w:r>
          </w:p>
        </w:tc>
        <w:tc>
          <w:tcPr>
            <w:tcW w:w="2295" w:type="dxa"/>
            <w:shd w:val="clear" w:color="auto" w:fill="auto"/>
          </w:tcPr>
          <w:p w:rsidR="00CA0353" w:rsidRPr="00AC695A" w:rsidRDefault="00CA0353" w:rsidP="00444B42">
            <w:pPr>
              <w:rPr>
                <w:rFonts w:ascii="Arial" w:eastAsia="Calibri" w:hAnsi="Arial" w:cs="Arial"/>
                <w:lang w:eastAsia="en-GB"/>
              </w:rPr>
            </w:pPr>
            <w:r w:rsidRPr="00AC695A">
              <w:rPr>
                <w:rFonts w:ascii="Arial" w:eastAsia="Calibri" w:hAnsi="Arial" w:cs="Arial"/>
                <w:lang w:eastAsia="en-GB"/>
              </w:rPr>
              <w:t>25 – 30 student accommodation units</w:t>
            </w:r>
          </w:p>
        </w:tc>
      </w:tr>
      <w:bookmarkEnd w:id="1"/>
    </w:tbl>
    <w:p w:rsidR="00CA0353" w:rsidRPr="00AC695A" w:rsidRDefault="00CA0353">
      <w:pPr>
        <w:rPr>
          <w:rFonts w:ascii="Arial" w:hAnsi="Arial" w:cs="Arial"/>
        </w:rPr>
      </w:pPr>
    </w:p>
    <w:p w:rsidR="00333CC2" w:rsidRPr="00AC695A" w:rsidRDefault="00333CC2">
      <w:pPr>
        <w:rPr>
          <w:rFonts w:ascii="Arial" w:hAnsi="Arial" w:cs="Arial"/>
        </w:rPr>
      </w:pPr>
    </w:p>
    <w:p w:rsidR="00333CC2" w:rsidRPr="00AC695A" w:rsidRDefault="00333CC2">
      <w:pPr>
        <w:rPr>
          <w:rFonts w:ascii="Arial" w:hAnsi="Arial" w:cs="Arial"/>
        </w:rPr>
      </w:pPr>
      <w:r w:rsidRPr="00AC695A">
        <w:rPr>
          <w:rFonts w:ascii="Arial" w:hAnsi="Arial" w:cs="Arial"/>
        </w:rPr>
        <w:t>Unfortunately</w:t>
      </w:r>
      <w:r w:rsidR="00AC695A">
        <w:rPr>
          <w:rFonts w:ascii="Arial" w:hAnsi="Arial" w:cs="Arial"/>
        </w:rPr>
        <w:t>,</w:t>
      </w:r>
      <w:r w:rsidRPr="00AC695A">
        <w:rPr>
          <w:rFonts w:ascii="Arial" w:hAnsi="Arial" w:cs="Arial"/>
        </w:rPr>
        <w:t xml:space="preserve"> through the appraisal process the student accommodation had been identified as an output and then incorporated within the legal agreement between the LEP and Virgin Trains.</w:t>
      </w:r>
    </w:p>
    <w:p w:rsidR="00C8159B" w:rsidRPr="00AC695A" w:rsidRDefault="00333CC2">
      <w:pPr>
        <w:rPr>
          <w:rFonts w:ascii="Arial" w:hAnsi="Arial" w:cs="Arial"/>
        </w:rPr>
      </w:pPr>
      <w:r w:rsidRPr="00AC695A">
        <w:rPr>
          <w:rFonts w:ascii="Arial" w:hAnsi="Arial" w:cs="Arial"/>
        </w:rPr>
        <w:t xml:space="preserve">First Group have clearly reviewed this legal agreement and in addition to taking both structural and listed building which has confirmed that the student accommodation cannot be deliver as part of this proposal and an alternative use </w:t>
      </w:r>
      <w:r w:rsidR="00CA0353" w:rsidRPr="00AC695A">
        <w:rPr>
          <w:rFonts w:ascii="Arial" w:hAnsi="Arial" w:cs="Arial"/>
        </w:rPr>
        <w:t xml:space="preserve">for the first floor </w:t>
      </w:r>
      <w:r w:rsidRPr="00AC695A">
        <w:rPr>
          <w:rFonts w:ascii="Arial" w:hAnsi="Arial" w:cs="Arial"/>
        </w:rPr>
        <w:t xml:space="preserve">will have to be progressed. </w:t>
      </w:r>
    </w:p>
    <w:p w:rsidR="00AA343B" w:rsidRPr="00AC695A" w:rsidRDefault="00AA343B">
      <w:pPr>
        <w:rPr>
          <w:rFonts w:ascii="Arial" w:hAnsi="Arial" w:cs="Arial"/>
        </w:rPr>
      </w:pPr>
    </w:p>
    <w:p w:rsidR="00AA343B" w:rsidRPr="00AC695A" w:rsidRDefault="00AA343B" w:rsidP="00AA343B">
      <w:pPr>
        <w:pStyle w:val="NoSpacing"/>
        <w:rPr>
          <w:rFonts w:ascii="Arial" w:hAnsi="Arial" w:cs="Arial"/>
        </w:rPr>
      </w:pPr>
      <w:r w:rsidRPr="00AC695A">
        <w:rPr>
          <w:rFonts w:ascii="Arial" w:hAnsi="Arial" w:cs="Arial"/>
        </w:rPr>
        <w:t>First Direct have confirmed “</w:t>
      </w:r>
      <w:r w:rsidRPr="00AC695A">
        <w:rPr>
          <w:rFonts w:ascii="Arial" w:hAnsi="Arial" w:cs="Arial"/>
          <w:i/>
        </w:rPr>
        <w:t xml:space="preserve">We want the station buildings to be used for commercial use, generating employment and economic growth.  We believe the first floor also has potential for educational purposes. </w:t>
      </w:r>
      <w:proofErr w:type="gramStart"/>
      <w:r w:rsidRPr="00AC695A">
        <w:rPr>
          <w:rFonts w:ascii="Arial" w:hAnsi="Arial" w:cs="Arial"/>
          <w:i/>
        </w:rPr>
        <w:t>However</w:t>
      </w:r>
      <w:proofErr w:type="gramEnd"/>
      <w:r w:rsidRPr="00AC695A">
        <w:rPr>
          <w:rFonts w:ascii="Arial" w:hAnsi="Arial" w:cs="Arial"/>
          <w:i/>
        </w:rPr>
        <w:t xml:space="preserve"> the ultimate use will have to be determined by applications from commercial and enterprise users when the space is put to the market</w:t>
      </w:r>
      <w:r w:rsidRPr="00AC695A">
        <w:rPr>
          <w:rFonts w:ascii="Arial" w:hAnsi="Arial" w:cs="Arial"/>
        </w:rPr>
        <w:t xml:space="preserve">”.  In addition, the LEP funding is now viewed as valuable investment in supporting the City Council’s Transforming Cities Fund proposals aiming this significant capital investment to be secured It is therefore proposed that the application progresses with the commercial floorspace and jobs outputs as identified.  </w:t>
      </w:r>
    </w:p>
    <w:p w:rsidR="00C8159B" w:rsidRPr="00AC695A" w:rsidRDefault="00C8159B" w:rsidP="00C8159B">
      <w:pPr>
        <w:ind w:left="360"/>
        <w:rPr>
          <w:rFonts w:ascii="Arial" w:eastAsia="Times New Roman" w:hAnsi="Arial" w:cs="Arial"/>
          <w:lang w:eastAsia="en-GB"/>
        </w:rPr>
      </w:pPr>
    </w:p>
    <w:p w:rsidR="00C8159B" w:rsidRPr="00AC695A" w:rsidRDefault="00AA343B" w:rsidP="00CA0353">
      <w:pPr>
        <w:rPr>
          <w:rFonts w:ascii="Arial" w:eastAsia="Times New Roman" w:hAnsi="Arial" w:cs="Arial"/>
          <w:lang w:eastAsia="en-GB"/>
        </w:rPr>
      </w:pPr>
      <w:r w:rsidRPr="00AC695A">
        <w:rPr>
          <w:rFonts w:ascii="Arial" w:eastAsia="Times New Roman" w:hAnsi="Arial" w:cs="Arial"/>
          <w:lang w:eastAsia="en-GB"/>
        </w:rPr>
        <w:t>The Stoke-on-Trent Station Power U</w:t>
      </w:r>
      <w:r w:rsidR="00FE6EB1" w:rsidRPr="00AC695A">
        <w:rPr>
          <w:rFonts w:ascii="Arial" w:eastAsia="Times New Roman" w:hAnsi="Arial" w:cs="Arial"/>
          <w:lang w:eastAsia="en-GB"/>
        </w:rPr>
        <w:t>pgrade project will stimulate and enable significant new investment to be made within the facility.  The creation of new commercial floorspace within the station, the investm</w:t>
      </w:r>
      <w:r w:rsidR="005838AA" w:rsidRPr="00AC695A">
        <w:rPr>
          <w:rFonts w:ascii="Arial" w:eastAsia="Times New Roman" w:hAnsi="Arial" w:cs="Arial"/>
          <w:lang w:eastAsia="en-GB"/>
        </w:rPr>
        <w:t>ent that this will result in</w:t>
      </w:r>
      <w:r w:rsidR="00FE6EB1" w:rsidRPr="00AC695A">
        <w:rPr>
          <w:rFonts w:ascii="Arial" w:eastAsia="Times New Roman" w:hAnsi="Arial" w:cs="Arial"/>
          <w:lang w:eastAsia="en-GB"/>
        </w:rPr>
        <w:t xml:space="preserve">, along with </w:t>
      </w:r>
      <w:r w:rsidR="005838AA" w:rsidRPr="00AC695A">
        <w:rPr>
          <w:rFonts w:ascii="Arial" w:eastAsia="Times New Roman" w:hAnsi="Arial" w:cs="Arial"/>
          <w:lang w:eastAsia="en-GB"/>
        </w:rPr>
        <w:t>the new jobs that will result still offer very good value for the £100,000 of Growth Deal funding awarded to the project.</w:t>
      </w:r>
    </w:p>
    <w:p w:rsidR="00FE6EB1" w:rsidRPr="00AC695A" w:rsidRDefault="00FE6EB1" w:rsidP="00CA0353">
      <w:pPr>
        <w:rPr>
          <w:rFonts w:ascii="Arial" w:eastAsia="Times New Roman" w:hAnsi="Arial" w:cs="Arial"/>
          <w:lang w:eastAsia="en-GB"/>
        </w:rPr>
      </w:pPr>
    </w:p>
    <w:p w:rsidR="000E7207" w:rsidRDefault="00AC695A" w:rsidP="00AC695A">
      <w:pPr>
        <w:rPr>
          <w:rFonts w:ascii="Arial" w:eastAsia="Times New Roman" w:hAnsi="Arial" w:cs="Arial"/>
          <w:lang w:eastAsia="en-GB"/>
        </w:rPr>
      </w:pPr>
      <w:r w:rsidRPr="00AC695A">
        <w:rPr>
          <w:rFonts w:ascii="Arial" w:eastAsia="Times New Roman" w:hAnsi="Arial" w:cs="Arial"/>
          <w:b/>
          <w:lang w:eastAsia="en-GB"/>
        </w:rPr>
        <w:t>Recommendation</w:t>
      </w:r>
      <w:r>
        <w:rPr>
          <w:rFonts w:ascii="Arial" w:eastAsia="Times New Roman" w:hAnsi="Arial" w:cs="Arial"/>
          <w:b/>
          <w:lang w:eastAsia="en-GB"/>
        </w:rPr>
        <w:t xml:space="preserve">: </w:t>
      </w:r>
      <w:r w:rsidRPr="00AC695A">
        <w:rPr>
          <w:rFonts w:ascii="Arial" w:eastAsia="Times New Roman" w:hAnsi="Arial" w:cs="Arial"/>
          <w:lang w:eastAsia="en-GB"/>
        </w:rPr>
        <w:t>Th</w:t>
      </w:r>
      <w:r>
        <w:rPr>
          <w:rFonts w:ascii="Arial" w:eastAsia="Times New Roman" w:hAnsi="Arial" w:cs="Arial"/>
          <w:lang w:eastAsia="en-GB"/>
        </w:rPr>
        <w:t>a</w:t>
      </w:r>
      <w:r w:rsidRPr="00AC695A">
        <w:rPr>
          <w:rFonts w:ascii="Arial" w:eastAsia="Times New Roman" w:hAnsi="Arial" w:cs="Arial"/>
          <w:lang w:eastAsia="en-GB"/>
        </w:rPr>
        <w:t xml:space="preserve">t </w:t>
      </w:r>
      <w:r w:rsidR="000E7207">
        <w:rPr>
          <w:rFonts w:ascii="Arial" w:eastAsia="Times New Roman" w:hAnsi="Arial" w:cs="Arial"/>
          <w:lang w:eastAsia="en-GB"/>
        </w:rPr>
        <w:t>Board Members note the content of the report and agree to continue to support the scheme based upon the proposed jobs and commercial floorspace outputs offered.</w:t>
      </w:r>
    </w:p>
    <w:p w:rsidR="000E7207" w:rsidRDefault="000E7207" w:rsidP="00AC695A">
      <w:pPr>
        <w:rPr>
          <w:rFonts w:ascii="Arial" w:eastAsia="Times New Roman" w:hAnsi="Arial" w:cs="Arial"/>
          <w:lang w:eastAsia="en-GB"/>
        </w:rPr>
      </w:pPr>
    </w:p>
    <w:p w:rsidR="000E7207" w:rsidRDefault="000E7207" w:rsidP="00AC695A">
      <w:pPr>
        <w:rPr>
          <w:rFonts w:ascii="Arial" w:eastAsia="Times New Roman" w:hAnsi="Arial" w:cs="Arial"/>
          <w:lang w:eastAsia="en-GB"/>
        </w:rPr>
      </w:pPr>
    </w:p>
    <w:p w:rsidR="00AC695A" w:rsidRPr="00AC695A" w:rsidRDefault="000E7207" w:rsidP="00AC695A">
      <w:pPr>
        <w:rPr>
          <w:rFonts w:ascii="Arial" w:eastAsia="Times New Roman" w:hAnsi="Arial" w:cs="Arial"/>
          <w:lang w:eastAsia="en-GB"/>
        </w:rPr>
      </w:pPr>
      <w:r>
        <w:rPr>
          <w:rFonts w:ascii="Arial" w:eastAsia="Times New Roman" w:hAnsi="Arial" w:cs="Arial"/>
          <w:lang w:eastAsia="en-GB"/>
        </w:rPr>
        <w:t xml:space="preserve">Author: Mark Connell;  Strategic Funding &amp; Partnerships Manager, Stoke on Trent Council </w:t>
      </w:r>
      <w:hyperlink r:id="rId7" w:history="1">
        <w:r w:rsidRPr="00680F6C">
          <w:rPr>
            <w:rStyle w:val="Hyperlink"/>
            <w:rFonts w:ascii="Arial" w:eastAsia="Times New Roman" w:hAnsi="Arial" w:cs="Arial"/>
            <w:lang w:eastAsia="en-GB"/>
          </w:rPr>
          <w:t>mark.connell@stoke.gov.uk</w:t>
        </w:r>
      </w:hyperlink>
      <w:r>
        <w:rPr>
          <w:rFonts w:ascii="Arial" w:eastAsia="Times New Roman" w:hAnsi="Arial" w:cs="Arial"/>
          <w:lang w:eastAsia="en-GB"/>
        </w:rPr>
        <w:t xml:space="preserve"> </w:t>
      </w:r>
    </w:p>
    <w:p w:rsidR="00C8159B" w:rsidRPr="00A95D66" w:rsidRDefault="00C8159B">
      <w:pPr>
        <w:rPr>
          <w:rFonts w:ascii="Arial" w:hAnsi="Arial" w:cs="Arial"/>
        </w:rPr>
      </w:pPr>
    </w:p>
    <w:sectPr w:rsidR="00C8159B" w:rsidRPr="00A95D66" w:rsidSect="00AA343B">
      <w:headerReference w:type="default" r:id="rId8"/>
      <w:pgSz w:w="11906" w:h="16838"/>
      <w:pgMar w:top="1985"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EFC" w:rsidRDefault="00671EFC" w:rsidP="00210105">
      <w:r>
        <w:separator/>
      </w:r>
    </w:p>
  </w:endnote>
  <w:endnote w:type="continuationSeparator" w:id="0">
    <w:p w:rsidR="00671EFC" w:rsidRDefault="00671EFC" w:rsidP="0021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EFC" w:rsidRDefault="00671EFC" w:rsidP="00210105">
      <w:r>
        <w:separator/>
      </w:r>
    </w:p>
  </w:footnote>
  <w:footnote w:type="continuationSeparator" w:id="0">
    <w:p w:rsidR="00671EFC" w:rsidRDefault="00671EFC" w:rsidP="0021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05" w:rsidRDefault="00210105" w:rsidP="005F3F7F">
    <w:pPr>
      <w:pStyle w:val="Header"/>
      <w:jc w:val="right"/>
    </w:pPr>
    <w:r>
      <w:rPr>
        <w:noProof/>
        <w:lang w:eastAsia="en-GB"/>
      </w:rPr>
      <w:drawing>
        <wp:inline distT="0" distB="0" distL="0" distR="0" wp14:anchorId="2D56B8DD" wp14:editId="72FEB0F4">
          <wp:extent cx="2904744"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 It Stoke Staf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4744" cy="576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52B1"/>
    <w:multiLevelType w:val="hybridMultilevel"/>
    <w:tmpl w:val="0EC60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FB4818"/>
    <w:multiLevelType w:val="hybridMultilevel"/>
    <w:tmpl w:val="8F52C332"/>
    <w:lvl w:ilvl="0" w:tplc="6850274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305567"/>
    <w:multiLevelType w:val="hybridMultilevel"/>
    <w:tmpl w:val="2FDA1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5739AB"/>
    <w:multiLevelType w:val="multilevel"/>
    <w:tmpl w:val="42BCA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386ED1"/>
    <w:multiLevelType w:val="hybridMultilevel"/>
    <w:tmpl w:val="144CF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DB3D60"/>
    <w:multiLevelType w:val="hybridMultilevel"/>
    <w:tmpl w:val="AD226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05"/>
    <w:rsid w:val="00002709"/>
    <w:rsid w:val="00015125"/>
    <w:rsid w:val="00054F3A"/>
    <w:rsid w:val="000848EB"/>
    <w:rsid w:val="000D2049"/>
    <w:rsid w:val="000E7207"/>
    <w:rsid w:val="00135230"/>
    <w:rsid w:val="00171CD3"/>
    <w:rsid w:val="00202401"/>
    <w:rsid w:val="00210105"/>
    <w:rsid w:val="0028138B"/>
    <w:rsid w:val="002C1549"/>
    <w:rsid w:val="002E3EDB"/>
    <w:rsid w:val="00313A78"/>
    <w:rsid w:val="00322771"/>
    <w:rsid w:val="003255AB"/>
    <w:rsid w:val="00333CC2"/>
    <w:rsid w:val="003B6B01"/>
    <w:rsid w:val="00420C8B"/>
    <w:rsid w:val="0046633A"/>
    <w:rsid w:val="004D0028"/>
    <w:rsid w:val="004F2C54"/>
    <w:rsid w:val="00566575"/>
    <w:rsid w:val="005838AA"/>
    <w:rsid w:val="005B20F9"/>
    <w:rsid w:val="005B3A4E"/>
    <w:rsid w:val="005F3F7F"/>
    <w:rsid w:val="00671EFC"/>
    <w:rsid w:val="006B43C1"/>
    <w:rsid w:val="00776174"/>
    <w:rsid w:val="00787B6B"/>
    <w:rsid w:val="007C586C"/>
    <w:rsid w:val="007C7986"/>
    <w:rsid w:val="00800386"/>
    <w:rsid w:val="00812771"/>
    <w:rsid w:val="008369B5"/>
    <w:rsid w:val="008C552B"/>
    <w:rsid w:val="008D4A8F"/>
    <w:rsid w:val="0091373C"/>
    <w:rsid w:val="009F4B3C"/>
    <w:rsid w:val="00A379F0"/>
    <w:rsid w:val="00A95D66"/>
    <w:rsid w:val="00AA343B"/>
    <w:rsid w:val="00AC695A"/>
    <w:rsid w:val="00AF0863"/>
    <w:rsid w:val="00AF6944"/>
    <w:rsid w:val="00B00240"/>
    <w:rsid w:val="00B008F5"/>
    <w:rsid w:val="00B131C6"/>
    <w:rsid w:val="00B22F52"/>
    <w:rsid w:val="00B47F44"/>
    <w:rsid w:val="00B70139"/>
    <w:rsid w:val="00B76504"/>
    <w:rsid w:val="00BC7B30"/>
    <w:rsid w:val="00C37296"/>
    <w:rsid w:val="00C44393"/>
    <w:rsid w:val="00C5144F"/>
    <w:rsid w:val="00C62160"/>
    <w:rsid w:val="00C7793A"/>
    <w:rsid w:val="00C8159B"/>
    <w:rsid w:val="00CA0353"/>
    <w:rsid w:val="00CD4D38"/>
    <w:rsid w:val="00CE1956"/>
    <w:rsid w:val="00D041FF"/>
    <w:rsid w:val="00D37DE5"/>
    <w:rsid w:val="00DD38F5"/>
    <w:rsid w:val="00DD67D1"/>
    <w:rsid w:val="00DE7737"/>
    <w:rsid w:val="00E62CEC"/>
    <w:rsid w:val="00EF7955"/>
    <w:rsid w:val="00F864B7"/>
    <w:rsid w:val="00FE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D12427-2E10-4605-9E75-631E2AB5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F4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B3A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9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105"/>
    <w:pPr>
      <w:tabs>
        <w:tab w:val="center" w:pos="4513"/>
        <w:tab w:val="right" w:pos="9026"/>
      </w:tabs>
    </w:pPr>
  </w:style>
  <w:style w:type="character" w:customStyle="1" w:styleId="HeaderChar">
    <w:name w:val="Header Char"/>
    <w:basedOn w:val="DefaultParagraphFont"/>
    <w:link w:val="Header"/>
    <w:uiPriority w:val="99"/>
    <w:rsid w:val="00210105"/>
  </w:style>
  <w:style w:type="paragraph" w:styleId="Footer">
    <w:name w:val="footer"/>
    <w:basedOn w:val="Normal"/>
    <w:link w:val="FooterChar"/>
    <w:uiPriority w:val="99"/>
    <w:unhideWhenUsed/>
    <w:rsid w:val="00210105"/>
    <w:pPr>
      <w:tabs>
        <w:tab w:val="center" w:pos="4513"/>
        <w:tab w:val="right" w:pos="9026"/>
      </w:tabs>
    </w:pPr>
  </w:style>
  <w:style w:type="character" w:customStyle="1" w:styleId="FooterChar">
    <w:name w:val="Footer Char"/>
    <w:basedOn w:val="DefaultParagraphFont"/>
    <w:link w:val="Footer"/>
    <w:uiPriority w:val="99"/>
    <w:rsid w:val="00210105"/>
  </w:style>
  <w:style w:type="paragraph" w:styleId="BalloonText">
    <w:name w:val="Balloon Text"/>
    <w:basedOn w:val="Normal"/>
    <w:link w:val="BalloonTextChar"/>
    <w:uiPriority w:val="99"/>
    <w:semiHidden/>
    <w:unhideWhenUsed/>
    <w:rsid w:val="00210105"/>
    <w:rPr>
      <w:rFonts w:ascii="Tahoma" w:hAnsi="Tahoma" w:cs="Tahoma"/>
      <w:sz w:val="16"/>
      <w:szCs w:val="16"/>
    </w:rPr>
  </w:style>
  <w:style w:type="character" w:customStyle="1" w:styleId="BalloonTextChar">
    <w:name w:val="Balloon Text Char"/>
    <w:basedOn w:val="DefaultParagraphFont"/>
    <w:link w:val="BalloonText"/>
    <w:uiPriority w:val="99"/>
    <w:semiHidden/>
    <w:rsid w:val="00210105"/>
    <w:rPr>
      <w:rFonts w:ascii="Tahoma" w:hAnsi="Tahoma" w:cs="Tahoma"/>
      <w:sz w:val="16"/>
      <w:szCs w:val="16"/>
    </w:rPr>
  </w:style>
  <w:style w:type="paragraph" w:styleId="ListParagraph">
    <w:name w:val="List Paragraph"/>
    <w:basedOn w:val="Normal"/>
    <w:uiPriority w:val="34"/>
    <w:qFormat/>
    <w:rsid w:val="00B47F44"/>
    <w:pPr>
      <w:spacing w:after="200" w:line="276" w:lineRule="auto"/>
      <w:ind w:left="720"/>
      <w:contextualSpacing/>
    </w:pPr>
  </w:style>
  <w:style w:type="character" w:customStyle="1" w:styleId="Heading1Char">
    <w:name w:val="Heading 1 Char"/>
    <w:basedOn w:val="DefaultParagraphFont"/>
    <w:link w:val="Heading1"/>
    <w:uiPriority w:val="9"/>
    <w:rsid w:val="005B3A4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EF79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795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F795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4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343B"/>
    <w:pPr>
      <w:spacing w:after="0" w:line="240" w:lineRule="auto"/>
    </w:pPr>
    <w:rPr>
      <w:rFonts w:ascii="Calibri" w:hAnsi="Calibri" w:cs="Times New Roman"/>
    </w:rPr>
  </w:style>
  <w:style w:type="character" w:styleId="Hyperlink">
    <w:name w:val="Hyperlink"/>
    <w:basedOn w:val="DefaultParagraphFont"/>
    <w:uiPriority w:val="99"/>
    <w:unhideWhenUsed/>
    <w:rsid w:val="000E7207"/>
    <w:rPr>
      <w:color w:val="0000FF" w:themeColor="hyperlink"/>
      <w:u w:val="single"/>
    </w:rPr>
  </w:style>
  <w:style w:type="character" w:styleId="UnresolvedMention">
    <w:name w:val="Unresolved Mention"/>
    <w:basedOn w:val="DefaultParagraphFont"/>
    <w:uiPriority w:val="99"/>
    <w:semiHidden/>
    <w:unhideWhenUsed/>
    <w:rsid w:val="000E7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77655">
      <w:bodyDiv w:val="1"/>
      <w:marLeft w:val="0"/>
      <w:marRight w:val="0"/>
      <w:marTop w:val="0"/>
      <w:marBottom w:val="0"/>
      <w:divBdr>
        <w:top w:val="none" w:sz="0" w:space="0" w:color="auto"/>
        <w:left w:val="none" w:sz="0" w:space="0" w:color="auto"/>
        <w:bottom w:val="none" w:sz="0" w:space="0" w:color="auto"/>
        <w:right w:val="none" w:sz="0" w:space="0" w:color="auto"/>
      </w:divBdr>
    </w:div>
    <w:div w:id="8473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connell@stok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Miller</dc:creator>
  <cp:lastModifiedBy>Hobbins, Tom (Corporate)</cp:lastModifiedBy>
  <cp:revision>2</cp:revision>
  <dcterms:created xsi:type="dcterms:W3CDTF">2019-12-17T10:30:00Z</dcterms:created>
  <dcterms:modified xsi:type="dcterms:W3CDTF">2019-12-17T10:30:00Z</dcterms:modified>
</cp:coreProperties>
</file>