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C79" w:rsidRPr="00743245" w:rsidRDefault="00077C79" w:rsidP="00077C79">
      <w:pPr>
        <w:ind w:left="6480" w:firstLine="720"/>
        <w:rPr>
          <w:rFonts w:ascii="Verdana" w:hAnsi="Verdana"/>
          <w:b/>
          <w:sz w:val="22"/>
        </w:rPr>
      </w:pPr>
      <w:r w:rsidRPr="00743245">
        <w:rPr>
          <w:rFonts w:ascii="Verdana" w:hAnsi="Verdana"/>
          <w:b/>
          <w:sz w:val="22"/>
        </w:rPr>
        <w:t xml:space="preserve">Item </w:t>
      </w:r>
      <w:r w:rsidR="008779B6">
        <w:rPr>
          <w:rFonts w:ascii="Verdana" w:hAnsi="Verdana"/>
          <w:b/>
          <w:sz w:val="22"/>
        </w:rPr>
        <w:t>11i</w:t>
      </w:r>
    </w:p>
    <w:p w:rsidR="00077C79" w:rsidRPr="00743245" w:rsidRDefault="00077C79" w:rsidP="00077C79">
      <w:pPr>
        <w:jc w:val="center"/>
        <w:rPr>
          <w:rFonts w:ascii="Verdana" w:hAnsi="Verdana"/>
          <w:b/>
          <w:sz w:val="22"/>
        </w:rPr>
      </w:pPr>
      <w:r w:rsidRPr="00743245">
        <w:rPr>
          <w:rFonts w:ascii="Verdana" w:hAnsi="Verdana"/>
          <w:b/>
          <w:sz w:val="22"/>
        </w:rPr>
        <w:t>STOKE-ON-TRENT AND STAFFORDSHIRE</w:t>
      </w:r>
    </w:p>
    <w:p w:rsidR="00077C79" w:rsidRPr="00743245" w:rsidRDefault="00077C79" w:rsidP="00077C79">
      <w:pPr>
        <w:jc w:val="center"/>
        <w:rPr>
          <w:rFonts w:ascii="Verdana" w:hAnsi="Verdana"/>
          <w:b/>
          <w:sz w:val="22"/>
        </w:rPr>
      </w:pPr>
      <w:r w:rsidRPr="00743245">
        <w:rPr>
          <w:rFonts w:ascii="Verdana" w:hAnsi="Verdana"/>
          <w:b/>
          <w:sz w:val="22"/>
        </w:rPr>
        <w:t>LOCAL ENTERPRISE PARTNERSHIP</w:t>
      </w:r>
    </w:p>
    <w:p w:rsidR="00077C79" w:rsidRDefault="00077C79" w:rsidP="00077C79">
      <w:pPr>
        <w:jc w:val="center"/>
        <w:rPr>
          <w:rFonts w:ascii="Verdana" w:hAnsi="Verdana"/>
          <w:b/>
          <w:sz w:val="22"/>
        </w:rPr>
      </w:pPr>
      <w:r w:rsidRPr="00743245">
        <w:rPr>
          <w:rFonts w:ascii="Verdana" w:hAnsi="Verdana"/>
          <w:b/>
          <w:sz w:val="22"/>
        </w:rPr>
        <w:t xml:space="preserve">EXECUTIVE </w:t>
      </w:r>
      <w:r w:rsidR="00835CD6">
        <w:rPr>
          <w:rFonts w:ascii="Verdana" w:hAnsi="Verdana"/>
          <w:b/>
          <w:sz w:val="22"/>
        </w:rPr>
        <w:t>GROUP</w:t>
      </w:r>
      <w:r w:rsidRPr="00743245">
        <w:rPr>
          <w:rFonts w:ascii="Verdana" w:hAnsi="Verdana"/>
          <w:b/>
          <w:sz w:val="22"/>
        </w:rPr>
        <w:t xml:space="preserve"> MEETING</w:t>
      </w:r>
    </w:p>
    <w:p w:rsidR="00004E20" w:rsidRDefault="00004E20" w:rsidP="00077C79">
      <w:pPr>
        <w:jc w:val="center"/>
        <w:rPr>
          <w:rFonts w:ascii="Verdana" w:hAnsi="Verdana"/>
          <w:b/>
          <w:sz w:val="22"/>
        </w:rPr>
      </w:pPr>
      <w:r>
        <w:rPr>
          <w:rFonts w:ascii="Verdana" w:hAnsi="Verdana"/>
          <w:b/>
          <w:sz w:val="22"/>
        </w:rPr>
        <w:t>1</w:t>
      </w:r>
      <w:r w:rsidR="008779B6">
        <w:rPr>
          <w:rFonts w:ascii="Verdana" w:hAnsi="Verdana"/>
          <w:b/>
          <w:sz w:val="22"/>
        </w:rPr>
        <w:t>9</w:t>
      </w:r>
      <w:r w:rsidRPr="00004E20">
        <w:rPr>
          <w:rFonts w:ascii="Verdana" w:hAnsi="Verdana"/>
          <w:b/>
          <w:sz w:val="22"/>
          <w:vertAlign w:val="superscript"/>
        </w:rPr>
        <w:t>th</w:t>
      </w:r>
      <w:r>
        <w:rPr>
          <w:rFonts w:ascii="Verdana" w:hAnsi="Verdana"/>
          <w:b/>
          <w:sz w:val="22"/>
        </w:rPr>
        <w:t xml:space="preserve"> </w:t>
      </w:r>
      <w:r w:rsidR="008779B6">
        <w:rPr>
          <w:rFonts w:ascii="Verdana" w:hAnsi="Verdana"/>
          <w:b/>
          <w:sz w:val="22"/>
        </w:rPr>
        <w:t>September</w:t>
      </w:r>
      <w:r>
        <w:rPr>
          <w:rFonts w:ascii="Verdana" w:hAnsi="Verdana"/>
          <w:b/>
          <w:sz w:val="22"/>
        </w:rPr>
        <w:t xml:space="preserve"> 2019</w:t>
      </w:r>
    </w:p>
    <w:p w:rsidR="008779B6" w:rsidRPr="007F1126" w:rsidRDefault="008779B6" w:rsidP="008779B6">
      <w:pPr>
        <w:jc w:val="center"/>
        <w:rPr>
          <w:rFonts w:ascii="Verdana" w:hAnsi="Verdana"/>
          <w:b/>
          <w:sz w:val="22"/>
        </w:rPr>
      </w:pPr>
      <w:r>
        <w:rPr>
          <w:rFonts w:ascii="Verdana" w:hAnsi="Verdana"/>
          <w:b/>
          <w:sz w:val="22"/>
          <w:highlight w:val="yellow"/>
        </w:rPr>
        <w:t>Restricted</w:t>
      </w:r>
      <w:r w:rsidRPr="007C7BA6">
        <w:rPr>
          <w:rFonts w:ascii="Verdana" w:hAnsi="Verdana"/>
          <w:b/>
          <w:sz w:val="22"/>
          <w:highlight w:val="yellow"/>
        </w:rPr>
        <w:t xml:space="preserve"> – due to </w:t>
      </w:r>
      <w:r>
        <w:rPr>
          <w:rFonts w:ascii="Verdana" w:hAnsi="Verdana"/>
          <w:b/>
          <w:sz w:val="22"/>
          <w:highlight w:val="yellow"/>
        </w:rPr>
        <w:t>the confidential detail relat</w:t>
      </w:r>
      <w:r>
        <w:rPr>
          <w:rFonts w:ascii="Verdana" w:hAnsi="Verdana"/>
          <w:b/>
          <w:sz w:val="22"/>
          <w:highlight w:val="yellow"/>
        </w:rPr>
        <w:t xml:space="preserve">ing to named businesses </w:t>
      </w:r>
      <w:r w:rsidRPr="007C7BA6">
        <w:rPr>
          <w:rFonts w:ascii="Verdana" w:hAnsi="Verdana"/>
          <w:b/>
          <w:sz w:val="22"/>
          <w:highlight w:val="yellow"/>
        </w:rPr>
        <w:t xml:space="preserve">and financial </w:t>
      </w:r>
      <w:r>
        <w:rPr>
          <w:rFonts w:ascii="Verdana" w:hAnsi="Verdana"/>
          <w:b/>
          <w:sz w:val="22"/>
          <w:highlight w:val="yellow"/>
        </w:rPr>
        <w:t>detail included</w:t>
      </w:r>
      <w:r w:rsidRPr="007C7BA6">
        <w:rPr>
          <w:rFonts w:ascii="Verdana" w:hAnsi="Verdana"/>
          <w:b/>
          <w:sz w:val="22"/>
          <w:highlight w:val="yellow"/>
        </w:rPr>
        <w:t>)</w:t>
      </w:r>
    </w:p>
    <w:p w:rsidR="00077C79" w:rsidRPr="00743245" w:rsidRDefault="00077C79" w:rsidP="00077C79">
      <w:pPr>
        <w:jc w:val="center"/>
        <w:rPr>
          <w:rFonts w:ascii="Verdana" w:hAnsi="Verdana"/>
          <w:b/>
          <w:sz w:val="22"/>
        </w:rPr>
      </w:pPr>
      <w:r w:rsidRPr="00743245">
        <w:rPr>
          <w:rFonts w:ascii="Verdana" w:hAnsi="Verdana"/>
          <w:b/>
          <w:sz w:val="22"/>
        </w:rPr>
        <w:t xml:space="preserve">Report of </w:t>
      </w:r>
      <w:r w:rsidR="00700652">
        <w:rPr>
          <w:rFonts w:ascii="Verdana" w:hAnsi="Verdana"/>
          <w:b/>
          <w:sz w:val="22"/>
        </w:rPr>
        <w:t>Philip Atkins</w:t>
      </w:r>
      <w:r>
        <w:rPr>
          <w:rFonts w:ascii="Verdana" w:hAnsi="Verdana"/>
          <w:b/>
          <w:sz w:val="22"/>
        </w:rPr>
        <w:t>,</w:t>
      </w:r>
      <w:r w:rsidR="00700652">
        <w:rPr>
          <w:rFonts w:ascii="Verdana" w:hAnsi="Verdana"/>
          <w:b/>
          <w:sz w:val="22"/>
        </w:rPr>
        <w:t xml:space="preserve"> Leader,</w:t>
      </w:r>
      <w:r>
        <w:rPr>
          <w:rFonts w:ascii="Verdana" w:hAnsi="Verdana"/>
          <w:b/>
          <w:sz w:val="22"/>
        </w:rPr>
        <w:t xml:space="preserve"> Staffordshire County Council </w:t>
      </w:r>
    </w:p>
    <w:p w:rsidR="00077C79" w:rsidRDefault="00077C79" w:rsidP="00077C79">
      <w:pPr>
        <w:jc w:val="center"/>
        <w:rPr>
          <w:rFonts w:ascii="Verdana" w:hAnsi="Verdana"/>
          <w:b/>
          <w:sz w:val="22"/>
        </w:rPr>
      </w:pPr>
      <w:r>
        <w:rPr>
          <w:rFonts w:ascii="Verdana" w:hAnsi="Verdana"/>
          <w:b/>
          <w:sz w:val="22"/>
        </w:rPr>
        <w:t xml:space="preserve">I54 South Staffordshire – Enterprise Zone Update   </w:t>
      </w:r>
    </w:p>
    <w:p w:rsidR="00956CEB" w:rsidRPr="003C12CB" w:rsidRDefault="00956CEB" w:rsidP="00956CEB">
      <w:pPr>
        <w:pStyle w:val="ListParagraph"/>
        <w:numPr>
          <w:ilvl w:val="0"/>
          <w:numId w:val="1"/>
        </w:numPr>
        <w:rPr>
          <w:rFonts w:ascii="Verdana" w:hAnsi="Verdana"/>
          <w:b/>
          <w:sz w:val="22"/>
        </w:rPr>
      </w:pPr>
      <w:r w:rsidRPr="003C12CB">
        <w:rPr>
          <w:rFonts w:ascii="Verdana" w:hAnsi="Verdana"/>
          <w:b/>
          <w:sz w:val="22"/>
        </w:rPr>
        <w:t>Background</w:t>
      </w:r>
    </w:p>
    <w:p w:rsidR="00862A65" w:rsidRPr="003C12CB" w:rsidRDefault="00862A65" w:rsidP="00862A65">
      <w:pPr>
        <w:pStyle w:val="ListParagraph"/>
        <w:ind w:left="360"/>
        <w:rPr>
          <w:rFonts w:ascii="Verdana" w:hAnsi="Verdana"/>
          <w:b/>
          <w:sz w:val="22"/>
        </w:rPr>
      </w:pPr>
    </w:p>
    <w:p w:rsidR="00956CEB" w:rsidRPr="003C12CB" w:rsidRDefault="00956CEB" w:rsidP="00862A65">
      <w:pPr>
        <w:pStyle w:val="ListParagraph"/>
        <w:numPr>
          <w:ilvl w:val="1"/>
          <w:numId w:val="1"/>
        </w:numPr>
        <w:rPr>
          <w:rFonts w:ascii="Verdana" w:hAnsi="Verdana"/>
          <w:sz w:val="22"/>
        </w:rPr>
      </w:pPr>
      <w:r w:rsidRPr="003C12CB">
        <w:rPr>
          <w:rFonts w:ascii="Verdana" w:hAnsi="Verdana"/>
          <w:sz w:val="22"/>
        </w:rPr>
        <w:t>The i54 South Staffordshire</w:t>
      </w:r>
      <w:r w:rsidR="00862A65" w:rsidRPr="003C12CB">
        <w:rPr>
          <w:rFonts w:ascii="Verdana" w:hAnsi="Verdana"/>
          <w:sz w:val="22"/>
        </w:rPr>
        <w:t xml:space="preserve"> development</w:t>
      </w:r>
      <w:r w:rsidRPr="003C12CB">
        <w:rPr>
          <w:rFonts w:ascii="Verdana" w:hAnsi="Verdana"/>
          <w:sz w:val="22"/>
        </w:rPr>
        <w:t xml:space="preserve"> </w:t>
      </w:r>
      <w:r w:rsidR="00862A65" w:rsidRPr="003C12CB">
        <w:rPr>
          <w:rFonts w:ascii="Verdana" w:hAnsi="Verdana"/>
          <w:sz w:val="22"/>
        </w:rPr>
        <w:t>is a key</w:t>
      </w:r>
      <w:r w:rsidRPr="003C12CB">
        <w:rPr>
          <w:rFonts w:ascii="Verdana" w:hAnsi="Verdana"/>
          <w:sz w:val="22"/>
        </w:rPr>
        <w:t xml:space="preserve"> part of the </w:t>
      </w:r>
      <w:r w:rsidR="00862A65" w:rsidRPr="003C12CB">
        <w:rPr>
          <w:rFonts w:ascii="Verdana" w:hAnsi="Verdana"/>
          <w:sz w:val="22"/>
        </w:rPr>
        <w:t>Black Country Enterprise Zone, forming part of a collection of sites known as “Wolverhampton North</w:t>
      </w:r>
      <w:r w:rsidR="00004E20">
        <w:rPr>
          <w:rFonts w:ascii="Verdana" w:hAnsi="Verdana"/>
          <w:sz w:val="22"/>
        </w:rPr>
        <w:t xml:space="preserve"> which became operational in April 2012.</w:t>
      </w:r>
    </w:p>
    <w:p w:rsidR="00862A65" w:rsidRPr="003C12CB" w:rsidRDefault="00862A65" w:rsidP="00862A65">
      <w:pPr>
        <w:pStyle w:val="ListParagraph"/>
        <w:rPr>
          <w:rFonts w:ascii="Verdana" w:hAnsi="Verdana"/>
          <w:sz w:val="22"/>
        </w:rPr>
      </w:pPr>
    </w:p>
    <w:p w:rsidR="00862A65" w:rsidRPr="003C12CB" w:rsidRDefault="00862A65" w:rsidP="00862A65">
      <w:pPr>
        <w:pStyle w:val="ListParagraph"/>
        <w:numPr>
          <w:ilvl w:val="1"/>
          <w:numId w:val="1"/>
        </w:numPr>
        <w:rPr>
          <w:rFonts w:ascii="Verdana" w:hAnsi="Verdana"/>
          <w:sz w:val="22"/>
        </w:rPr>
      </w:pPr>
      <w:r w:rsidRPr="003C12CB">
        <w:rPr>
          <w:rFonts w:ascii="Verdana" w:hAnsi="Verdana"/>
          <w:sz w:val="22"/>
        </w:rPr>
        <w:t>Through a collaboration agreement between Staffordshire County Council, City of Wolverhampton Council and South Staffordshire Council signed in 2013, there was agreement that any uplift in business rates from the site would be used to repay the borrowing incurred by partners in funding and delivery of the access to the site and the servicing and development of the site to enable it to be occupied by end users.</w:t>
      </w:r>
    </w:p>
    <w:p w:rsidR="00862A65" w:rsidRPr="003C12CB" w:rsidRDefault="00862A65" w:rsidP="00862A65">
      <w:pPr>
        <w:pStyle w:val="ListParagraph"/>
        <w:rPr>
          <w:rFonts w:ascii="Verdana" w:hAnsi="Verdana"/>
          <w:sz w:val="22"/>
        </w:rPr>
      </w:pPr>
    </w:p>
    <w:p w:rsidR="00862A65" w:rsidRPr="003C12CB" w:rsidRDefault="00862A65" w:rsidP="00862A65">
      <w:pPr>
        <w:pStyle w:val="ListParagraph"/>
        <w:numPr>
          <w:ilvl w:val="1"/>
          <w:numId w:val="1"/>
        </w:numPr>
        <w:rPr>
          <w:rFonts w:ascii="Verdana" w:hAnsi="Verdana"/>
          <w:sz w:val="22"/>
        </w:rPr>
      </w:pPr>
      <w:r w:rsidRPr="003C12CB">
        <w:rPr>
          <w:rFonts w:ascii="Verdana" w:hAnsi="Verdana"/>
          <w:sz w:val="22"/>
        </w:rPr>
        <w:t xml:space="preserve">The </w:t>
      </w:r>
      <w:r w:rsidR="002F02AE" w:rsidRPr="003C12CB">
        <w:rPr>
          <w:rFonts w:ascii="Verdana" w:hAnsi="Verdana"/>
          <w:sz w:val="22"/>
        </w:rPr>
        <w:t xml:space="preserve">infrastructure works </w:t>
      </w:r>
      <w:r w:rsidR="00004E20">
        <w:rPr>
          <w:rFonts w:ascii="Verdana" w:hAnsi="Verdana"/>
          <w:sz w:val="22"/>
        </w:rPr>
        <w:t xml:space="preserve">to service and access the site </w:t>
      </w:r>
      <w:r w:rsidR="002F02AE" w:rsidRPr="003C12CB">
        <w:rPr>
          <w:rFonts w:ascii="Verdana" w:hAnsi="Verdana"/>
          <w:sz w:val="22"/>
        </w:rPr>
        <w:t xml:space="preserve">were materially completed in 2015. </w:t>
      </w:r>
    </w:p>
    <w:p w:rsidR="003C12CB" w:rsidRPr="003C12CB" w:rsidRDefault="003C12CB" w:rsidP="002F02AE">
      <w:pPr>
        <w:pStyle w:val="ListParagraph"/>
        <w:rPr>
          <w:rFonts w:ascii="Verdana" w:hAnsi="Verdana"/>
          <w:sz w:val="22"/>
        </w:rPr>
      </w:pPr>
    </w:p>
    <w:p w:rsidR="002F02AE" w:rsidRPr="003C12CB" w:rsidRDefault="002F02AE" w:rsidP="002F02AE">
      <w:pPr>
        <w:pStyle w:val="ListParagraph"/>
        <w:numPr>
          <w:ilvl w:val="0"/>
          <w:numId w:val="1"/>
        </w:numPr>
        <w:rPr>
          <w:rFonts w:ascii="Verdana" w:hAnsi="Verdana"/>
          <w:b/>
          <w:sz w:val="22"/>
        </w:rPr>
      </w:pPr>
      <w:r w:rsidRPr="003C12CB">
        <w:rPr>
          <w:rFonts w:ascii="Verdana" w:hAnsi="Verdana"/>
          <w:b/>
          <w:sz w:val="22"/>
        </w:rPr>
        <w:t xml:space="preserve">Delivery of site </w:t>
      </w:r>
    </w:p>
    <w:p w:rsidR="002533BF" w:rsidRPr="003C12CB" w:rsidRDefault="002533BF" w:rsidP="002533BF">
      <w:pPr>
        <w:pStyle w:val="ListParagraph"/>
        <w:ind w:left="360"/>
        <w:rPr>
          <w:rFonts w:ascii="Verdana" w:hAnsi="Verdana"/>
          <w:b/>
          <w:sz w:val="22"/>
        </w:rPr>
      </w:pPr>
    </w:p>
    <w:p w:rsidR="002533BF" w:rsidRPr="00851F6E" w:rsidRDefault="00851F6E" w:rsidP="002533BF">
      <w:pPr>
        <w:pStyle w:val="ListParagraph"/>
        <w:numPr>
          <w:ilvl w:val="1"/>
          <w:numId w:val="1"/>
        </w:numPr>
        <w:rPr>
          <w:rFonts w:ascii="Verdana" w:hAnsi="Verdana"/>
          <w:sz w:val="22"/>
          <w:szCs w:val="24"/>
        </w:rPr>
      </w:pPr>
      <w:r w:rsidRPr="00851F6E">
        <w:rPr>
          <w:rFonts w:ascii="Verdana" w:hAnsi="Verdana" w:cs="Calibri"/>
          <w:iCs/>
          <w:sz w:val="22"/>
          <w:szCs w:val="24"/>
        </w:rPr>
        <w:t>Following the partners’ original investment and since 2013, significant economic outcomes have been delivered at i54 South Staffordshire and are set out in further detail below</w:t>
      </w:r>
      <w:r w:rsidR="002533BF" w:rsidRPr="00851F6E">
        <w:rPr>
          <w:rFonts w:ascii="Verdana" w:hAnsi="Verdana"/>
          <w:sz w:val="22"/>
          <w:szCs w:val="24"/>
        </w:rPr>
        <w:t xml:space="preserve">. </w:t>
      </w:r>
    </w:p>
    <w:p w:rsidR="00EA5B91" w:rsidRPr="003C12CB" w:rsidRDefault="00EA5B91" w:rsidP="00EA5B91">
      <w:pPr>
        <w:pStyle w:val="ListParagraph"/>
        <w:rPr>
          <w:rFonts w:ascii="Verdana" w:hAnsi="Verdana"/>
          <w:sz w:val="22"/>
        </w:rPr>
      </w:pPr>
    </w:p>
    <w:p w:rsidR="00EA5B91" w:rsidRDefault="00EA5B91" w:rsidP="002533BF">
      <w:pPr>
        <w:pStyle w:val="ListParagraph"/>
        <w:numPr>
          <w:ilvl w:val="1"/>
          <w:numId w:val="1"/>
        </w:numPr>
        <w:rPr>
          <w:rFonts w:ascii="Verdana" w:hAnsi="Verdana"/>
          <w:sz w:val="22"/>
        </w:rPr>
      </w:pPr>
      <w:r w:rsidRPr="003C12CB">
        <w:rPr>
          <w:rFonts w:ascii="Verdana" w:hAnsi="Verdana"/>
          <w:sz w:val="22"/>
        </w:rPr>
        <w:t>Of the total developable area of the site (148.4 acres) some 13</w:t>
      </w:r>
      <w:r w:rsidR="00004E20">
        <w:rPr>
          <w:rFonts w:ascii="Verdana" w:hAnsi="Verdana"/>
          <w:sz w:val="22"/>
        </w:rPr>
        <w:t>6</w:t>
      </w:r>
      <w:r w:rsidRPr="003C12CB">
        <w:rPr>
          <w:rFonts w:ascii="Verdana" w:hAnsi="Verdana"/>
          <w:sz w:val="22"/>
        </w:rPr>
        <w:t>.</w:t>
      </w:r>
      <w:r w:rsidR="00004E20">
        <w:rPr>
          <w:rFonts w:ascii="Verdana" w:hAnsi="Verdana"/>
          <w:sz w:val="22"/>
        </w:rPr>
        <w:t>1</w:t>
      </w:r>
      <w:r w:rsidRPr="003C12CB">
        <w:rPr>
          <w:rFonts w:ascii="Verdana" w:hAnsi="Verdana"/>
          <w:sz w:val="22"/>
        </w:rPr>
        <w:t xml:space="preserve"> acres have been developed out</w:t>
      </w:r>
      <w:r w:rsidR="00004E20">
        <w:rPr>
          <w:rFonts w:ascii="Verdana" w:hAnsi="Verdana"/>
          <w:sz w:val="22"/>
        </w:rPr>
        <w:t xml:space="preserve"> </w:t>
      </w:r>
      <w:r w:rsidR="00565AB5">
        <w:rPr>
          <w:rFonts w:ascii="Verdana" w:hAnsi="Verdana"/>
          <w:sz w:val="22"/>
        </w:rPr>
        <w:t xml:space="preserve">or </w:t>
      </w:r>
      <w:r w:rsidR="00145D87">
        <w:rPr>
          <w:rFonts w:ascii="Verdana" w:hAnsi="Verdana"/>
          <w:sz w:val="22"/>
        </w:rPr>
        <w:t xml:space="preserve">are </w:t>
      </w:r>
      <w:r w:rsidR="00565AB5">
        <w:rPr>
          <w:rFonts w:ascii="Verdana" w:hAnsi="Verdana"/>
          <w:sz w:val="22"/>
        </w:rPr>
        <w:t>committed</w:t>
      </w:r>
      <w:r w:rsidRPr="003C12CB">
        <w:rPr>
          <w:rFonts w:ascii="Verdana" w:hAnsi="Verdana"/>
          <w:sz w:val="22"/>
        </w:rPr>
        <w:t xml:space="preserve">, with a total developed floor area </w:t>
      </w:r>
      <w:r w:rsidR="00BC6002" w:rsidRPr="003C12CB">
        <w:rPr>
          <w:rFonts w:ascii="Verdana" w:hAnsi="Verdana"/>
          <w:sz w:val="22"/>
        </w:rPr>
        <w:t xml:space="preserve">of </w:t>
      </w:r>
      <w:r w:rsidR="00C9308B">
        <w:rPr>
          <w:rFonts w:ascii="Verdana" w:hAnsi="Verdana"/>
          <w:sz w:val="22"/>
        </w:rPr>
        <w:t>245,954</w:t>
      </w:r>
      <w:r w:rsidRPr="003C12CB">
        <w:rPr>
          <w:rFonts w:ascii="Verdana" w:hAnsi="Verdana"/>
          <w:sz w:val="22"/>
        </w:rPr>
        <w:t xml:space="preserve"> square metres</w:t>
      </w:r>
      <w:r w:rsidR="00C9308B">
        <w:rPr>
          <w:rFonts w:ascii="Verdana" w:hAnsi="Verdana"/>
          <w:sz w:val="22"/>
        </w:rPr>
        <w:t xml:space="preserve"> </w:t>
      </w:r>
      <w:r w:rsidRPr="003C12CB">
        <w:rPr>
          <w:rFonts w:ascii="Verdana" w:hAnsi="Verdana"/>
          <w:sz w:val="22"/>
        </w:rPr>
        <w:t xml:space="preserve"> of the total anticipated floor area on the site of </w:t>
      </w:r>
      <w:r w:rsidR="00145D87">
        <w:rPr>
          <w:rFonts w:ascii="Verdana" w:hAnsi="Verdana"/>
          <w:sz w:val="22"/>
        </w:rPr>
        <w:t xml:space="preserve">circa </w:t>
      </w:r>
      <w:r w:rsidRPr="003C12CB">
        <w:rPr>
          <w:rFonts w:ascii="Verdana" w:hAnsi="Verdana"/>
          <w:sz w:val="22"/>
        </w:rPr>
        <w:t>26</w:t>
      </w:r>
      <w:r w:rsidR="00C9308B">
        <w:rPr>
          <w:rFonts w:ascii="Verdana" w:hAnsi="Verdana"/>
          <w:sz w:val="22"/>
        </w:rPr>
        <w:t>7</w:t>
      </w:r>
      <w:r w:rsidRPr="003C12CB">
        <w:rPr>
          <w:rFonts w:ascii="Verdana" w:hAnsi="Verdana"/>
          <w:sz w:val="22"/>
        </w:rPr>
        <w:t>,</w:t>
      </w:r>
      <w:r w:rsidR="00145D87">
        <w:rPr>
          <w:rFonts w:ascii="Verdana" w:hAnsi="Verdana"/>
          <w:sz w:val="22"/>
        </w:rPr>
        <w:t>8</w:t>
      </w:r>
      <w:r w:rsidRPr="003C12CB">
        <w:rPr>
          <w:rFonts w:ascii="Verdana" w:hAnsi="Verdana"/>
          <w:sz w:val="22"/>
        </w:rPr>
        <w:t>00 square metres.</w:t>
      </w:r>
    </w:p>
    <w:p w:rsidR="00004E20" w:rsidRPr="00004E20" w:rsidRDefault="00004E20" w:rsidP="00004E20">
      <w:pPr>
        <w:pStyle w:val="ListParagraph"/>
        <w:rPr>
          <w:rFonts w:ascii="Verdana" w:hAnsi="Verdana"/>
          <w:sz w:val="22"/>
        </w:rPr>
      </w:pPr>
    </w:p>
    <w:p w:rsidR="00004E20" w:rsidRPr="003C12CB" w:rsidRDefault="00004E20" w:rsidP="002533BF">
      <w:pPr>
        <w:pStyle w:val="ListParagraph"/>
        <w:numPr>
          <w:ilvl w:val="1"/>
          <w:numId w:val="1"/>
        </w:numPr>
        <w:rPr>
          <w:rFonts w:ascii="Verdana" w:hAnsi="Verdana"/>
          <w:sz w:val="22"/>
        </w:rPr>
      </w:pPr>
      <w:r>
        <w:rPr>
          <w:rFonts w:ascii="Verdana" w:hAnsi="Verdana"/>
          <w:sz w:val="22"/>
        </w:rPr>
        <w:t xml:space="preserve">The most recent plot to come forward is Plot C which is being brought forward by Morris </w:t>
      </w:r>
      <w:r w:rsidR="00BE3207">
        <w:rPr>
          <w:rFonts w:ascii="Verdana" w:hAnsi="Verdana"/>
          <w:sz w:val="22"/>
        </w:rPr>
        <w:t>Site Machinery</w:t>
      </w:r>
      <w:r>
        <w:rPr>
          <w:rFonts w:ascii="Verdana" w:hAnsi="Verdana"/>
          <w:sz w:val="22"/>
        </w:rPr>
        <w:t xml:space="preserve">, a company which is focused on construction technologies and lighting. </w:t>
      </w:r>
      <w:r w:rsidR="00565AB5">
        <w:rPr>
          <w:rFonts w:ascii="Verdana" w:hAnsi="Verdana"/>
          <w:sz w:val="22"/>
        </w:rPr>
        <w:t xml:space="preserve">The company expect construction </w:t>
      </w:r>
      <w:r w:rsidR="00565AB5">
        <w:rPr>
          <w:rFonts w:ascii="Verdana" w:hAnsi="Verdana"/>
          <w:sz w:val="22"/>
        </w:rPr>
        <w:lastRenderedPageBreak/>
        <w:t xml:space="preserve">of a 60,000 </w:t>
      </w:r>
      <w:proofErr w:type="spellStart"/>
      <w:r w:rsidR="00565AB5">
        <w:rPr>
          <w:rFonts w:ascii="Verdana" w:hAnsi="Verdana"/>
          <w:sz w:val="22"/>
        </w:rPr>
        <w:t>sq</w:t>
      </w:r>
      <w:proofErr w:type="spellEnd"/>
      <w:r w:rsidR="00565AB5">
        <w:rPr>
          <w:rFonts w:ascii="Verdana" w:hAnsi="Verdana"/>
          <w:sz w:val="22"/>
        </w:rPr>
        <w:t xml:space="preserve"> ft unit to start on site in October 2019 with completion of the premises due in July 2020.</w:t>
      </w:r>
    </w:p>
    <w:p w:rsidR="00EA5B91" w:rsidRPr="003C12CB" w:rsidRDefault="00EA5B91" w:rsidP="00EA5B91">
      <w:pPr>
        <w:pStyle w:val="ListParagraph"/>
        <w:rPr>
          <w:rFonts w:ascii="Verdana" w:hAnsi="Verdana"/>
          <w:sz w:val="22"/>
        </w:rPr>
      </w:pPr>
    </w:p>
    <w:p w:rsidR="00EA5B91" w:rsidRPr="003C12CB" w:rsidRDefault="00EA5B91" w:rsidP="002533BF">
      <w:pPr>
        <w:pStyle w:val="ListParagraph"/>
        <w:numPr>
          <w:ilvl w:val="1"/>
          <w:numId w:val="1"/>
        </w:numPr>
        <w:rPr>
          <w:rFonts w:ascii="Verdana" w:hAnsi="Verdana"/>
          <w:sz w:val="22"/>
        </w:rPr>
      </w:pPr>
      <w:r w:rsidRPr="003C12CB">
        <w:rPr>
          <w:rFonts w:ascii="Verdana" w:hAnsi="Verdana"/>
          <w:sz w:val="22"/>
        </w:rPr>
        <w:t xml:space="preserve">Detailed employment figures for each occupier are set out below, and to date </w:t>
      </w:r>
      <w:r w:rsidR="00C9308B">
        <w:rPr>
          <w:rFonts w:ascii="Verdana" w:hAnsi="Verdana"/>
          <w:sz w:val="22"/>
        </w:rPr>
        <w:t xml:space="preserve">around </w:t>
      </w:r>
      <w:r w:rsidRPr="003C12CB">
        <w:rPr>
          <w:rFonts w:ascii="Verdana" w:hAnsi="Verdana"/>
          <w:sz w:val="22"/>
        </w:rPr>
        <w:t>27</w:t>
      </w:r>
      <w:r w:rsidR="00C23347">
        <w:rPr>
          <w:rFonts w:ascii="Verdana" w:hAnsi="Verdana"/>
          <w:sz w:val="22"/>
        </w:rPr>
        <w:t>5</w:t>
      </w:r>
      <w:r w:rsidRPr="003C12CB">
        <w:rPr>
          <w:rFonts w:ascii="Verdana" w:hAnsi="Verdana"/>
          <w:sz w:val="22"/>
        </w:rPr>
        <w:t xml:space="preserve">0 FTE jobs are on site, </w:t>
      </w:r>
      <w:r w:rsidR="00791E50">
        <w:rPr>
          <w:rFonts w:ascii="Verdana" w:hAnsi="Verdana"/>
          <w:sz w:val="22"/>
        </w:rPr>
        <w:t>with further</w:t>
      </w:r>
      <w:r w:rsidRPr="003C12CB">
        <w:rPr>
          <w:rFonts w:ascii="Verdana" w:hAnsi="Verdana"/>
          <w:sz w:val="22"/>
        </w:rPr>
        <w:t xml:space="preserve"> jobs expected on </w:t>
      </w:r>
      <w:r w:rsidR="00791E50">
        <w:rPr>
          <w:rFonts w:ascii="Verdana" w:hAnsi="Verdana"/>
          <w:sz w:val="22"/>
        </w:rPr>
        <w:t xml:space="preserve">the </w:t>
      </w:r>
      <w:r w:rsidRPr="003C12CB">
        <w:rPr>
          <w:rFonts w:ascii="Verdana" w:hAnsi="Verdana"/>
          <w:sz w:val="22"/>
        </w:rPr>
        <w:t>site when it is fully built out.</w:t>
      </w:r>
    </w:p>
    <w:p w:rsidR="00EA5B91" w:rsidRPr="003C12CB" w:rsidRDefault="00EA5B91" w:rsidP="00EA5B91">
      <w:pPr>
        <w:pStyle w:val="ListParagraph"/>
        <w:rPr>
          <w:rFonts w:ascii="Verdana" w:hAnsi="Verdana"/>
          <w:sz w:val="22"/>
        </w:rPr>
      </w:pPr>
    </w:p>
    <w:p w:rsidR="00EA5B91" w:rsidRPr="003C12CB" w:rsidRDefault="00061F7C" w:rsidP="002533BF">
      <w:pPr>
        <w:pStyle w:val="ListParagraph"/>
        <w:numPr>
          <w:ilvl w:val="1"/>
          <w:numId w:val="1"/>
        </w:numPr>
        <w:rPr>
          <w:rFonts w:ascii="Verdana" w:hAnsi="Verdana"/>
          <w:sz w:val="22"/>
        </w:rPr>
      </w:pPr>
      <w:r w:rsidRPr="003C12CB">
        <w:rPr>
          <w:rFonts w:ascii="Verdana" w:hAnsi="Verdana"/>
          <w:sz w:val="22"/>
        </w:rPr>
        <w:t>When fully built out, the site is anticipated to have levered in private sector investment in excess of £1 billion.</w:t>
      </w:r>
    </w:p>
    <w:p w:rsidR="00A84A2D" w:rsidRPr="003C12CB" w:rsidRDefault="00A84A2D" w:rsidP="00A84A2D">
      <w:pPr>
        <w:pStyle w:val="ListParagraph"/>
        <w:rPr>
          <w:rFonts w:ascii="Verdana" w:hAnsi="Verdana"/>
          <w:sz w:val="22"/>
        </w:rPr>
      </w:pPr>
    </w:p>
    <w:p w:rsidR="00061F7C" w:rsidRPr="003C12CB" w:rsidRDefault="00061F7C" w:rsidP="00061F7C">
      <w:pPr>
        <w:rPr>
          <w:rFonts w:ascii="Verdana" w:hAnsi="Verdana"/>
          <w:b/>
          <w:sz w:val="22"/>
        </w:rPr>
      </w:pPr>
      <w:r w:rsidRPr="003C12CB">
        <w:rPr>
          <w:rFonts w:ascii="Verdana" w:hAnsi="Verdana"/>
          <w:b/>
          <w:sz w:val="22"/>
        </w:rPr>
        <w:t>Table 1 – Key Site Information – i54 South Staffordshire</w:t>
      </w:r>
    </w:p>
    <w:tbl>
      <w:tblPr>
        <w:tblStyle w:val="TableGrid"/>
        <w:tblW w:w="8902" w:type="dxa"/>
        <w:tblInd w:w="-147" w:type="dxa"/>
        <w:tblLayout w:type="fixed"/>
        <w:tblLook w:val="04A0" w:firstRow="1" w:lastRow="0" w:firstColumn="1" w:lastColumn="0" w:noHBand="0" w:noVBand="1"/>
      </w:tblPr>
      <w:tblGrid>
        <w:gridCol w:w="1065"/>
        <w:gridCol w:w="742"/>
        <w:gridCol w:w="1283"/>
        <w:gridCol w:w="1276"/>
        <w:gridCol w:w="1134"/>
        <w:gridCol w:w="1843"/>
        <w:gridCol w:w="1559"/>
      </w:tblGrid>
      <w:tr w:rsidR="00004E20" w:rsidRPr="00AF1FA2" w:rsidTr="00004E20">
        <w:tc>
          <w:tcPr>
            <w:tcW w:w="1065" w:type="dxa"/>
            <w:vAlign w:val="center"/>
          </w:tcPr>
          <w:p w:rsidR="00004E20" w:rsidRPr="00AF1FA2" w:rsidRDefault="00004E20" w:rsidP="002533BF">
            <w:pPr>
              <w:jc w:val="center"/>
              <w:rPr>
                <w:sz w:val="20"/>
                <w:szCs w:val="20"/>
              </w:rPr>
            </w:pPr>
            <w:r>
              <w:rPr>
                <w:sz w:val="20"/>
                <w:szCs w:val="20"/>
              </w:rPr>
              <w:t>Site</w:t>
            </w:r>
            <w:r w:rsidRPr="00AF1FA2">
              <w:rPr>
                <w:sz w:val="20"/>
                <w:szCs w:val="20"/>
              </w:rPr>
              <w:t>/ Plot</w:t>
            </w:r>
          </w:p>
        </w:tc>
        <w:tc>
          <w:tcPr>
            <w:tcW w:w="4435" w:type="dxa"/>
            <w:gridSpan w:val="4"/>
            <w:vAlign w:val="center"/>
          </w:tcPr>
          <w:p w:rsidR="00004E20" w:rsidRDefault="00004E20" w:rsidP="002533BF">
            <w:pPr>
              <w:jc w:val="center"/>
              <w:rPr>
                <w:sz w:val="20"/>
                <w:szCs w:val="20"/>
              </w:rPr>
            </w:pPr>
            <w:r>
              <w:rPr>
                <w:sz w:val="20"/>
                <w:szCs w:val="20"/>
              </w:rPr>
              <w:t>Key Deliverables</w:t>
            </w:r>
          </w:p>
        </w:tc>
        <w:tc>
          <w:tcPr>
            <w:tcW w:w="1843" w:type="dxa"/>
            <w:vAlign w:val="center"/>
          </w:tcPr>
          <w:p w:rsidR="00004E20" w:rsidRPr="00AF1FA2" w:rsidRDefault="00004E20" w:rsidP="002533BF">
            <w:pPr>
              <w:jc w:val="center"/>
              <w:rPr>
                <w:sz w:val="20"/>
                <w:szCs w:val="20"/>
              </w:rPr>
            </w:pPr>
            <w:r>
              <w:rPr>
                <w:sz w:val="20"/>
                <w:szCs w:val="20"/>
              </w:rPr>
              <w:t>Project / Occupier</w:t>
            </w:r>
          </w:p>
        </w:tc>
        <w:tc>
          <w:tcPr>
            <w:tcW w:w="1559" w:type="dxa"/>
            <w:vAlign w:val="center"/>
          </w:tcPr>
          <w:p w:rsidR="00004E20" w:rsidRPr="00AF1FA2" w:rsidRDefault="00004E20" w:rsidP="002533BF">
            <w:pPr>
              <w:jc w:val="center"/>
              <w:rPr>
                <w:sz w:val="20"/>
                <w:szCs w:val="20"/>
              </w:rPr>
            </w:pPr>
            <w:r>
              <w:rPr>
                <w:sz w:val="20"/>
                <w:szCs w:val="20"/>
              </w:rPr>
              <w:t xml:space="preserve">Status </w:t>
            </w:r>
          </w:p>
        </w:tc>
      </w:tr>
      <w:tr w:rsidR="00004E20" w:rsidTr="00004E20">
        <w:tc>
          <w:tcPr>
            <w:tcW w:w="1065" w:type="dxa"/>
          </w:tcPr>
          <w:p w:rsidR="00004E20" w:rsidRDefault="00004E20" w:rsidP="002533BF">
            <w:pPr>
              <w:jc w:val="both"/>
            </w:pPr>
          </w:p>
        </w:tc>
        <w:tc>
          <w:tcPr>
            <w:tcW w:w="742" w:type="dxa"/>
          </w:tcPr>
          <w:p w:rsidR="00004E20" w:rsidRPr="00037EB8" w:rsidRDefault="00004E20" w:rsidP="002533BF">
            <w:pPr>
              <w:jc w:val="center"/>
              <w:rPr>
                <w:sz w:val="18"/>
                <w:szCs w:val="18"/>
              </w:rPr>
            </w:pPr>
            <w:r w:rsidRPr="00037EB8">
              <w:rPr>
                <w:sz w:val="18"/>
                <w:szCs w:val="18"/>
              </w:rPr>
              <w:t>Acres</w:t>
            </w:r>
          </w:p>
        </w:tc>
        <w:tc>
          <w:tcPr>
            <w:tcW w:w="1283" w:type="dxa"/>
          </w:tcPr>
          <w:p w:rsidR="00004E20" w:rsidRPr="00037EB8" w:rsidRDefault="00004E20" w:rsidP="002533BF">
            <w:pPr>
              <w:jc w:val="center"/>
              <w:rPr>
                <w:sz w:val="18"/>
                <w:szCs w:val="18"/>
              </w:rPr>
            </w:pPr>
            <w:r w:rsidRPr="00037EB8">
              <w:rPr>
                <w:sz w:val="18"/>
                <w:szCs w:val="18"/>
              </w:rPr>
              <w:t>Floor Area (M</w:t>
            </w:r>
            <w:r w:rsidRPr="00037EB8">
              <w:rPr>
                <w:sz w:val="18"/>
                <w:szCs w:val="18"/>
                <w:vertAlign w:val="superscript"/>
              </w:rPr>
              <w:t>2</w:t>
            </w:r>
            <w:r w:rsidRPr="00037EB8">
              <w:rPr>
                <w:sz w:val="18"/>
                <w:szCs w:val="18"/>
              </w:rPr>
              <w:t>)</w:t>
            </w:r>
          </w:p>
        </w:tc>
        <w:tc>
          <w:tcPr>
            <w:tcW w:w="1276" w:type="dxa"/>
          </w:tcPr>
          <w:p w:rsidR="00004E20" w:rsidRPr="00037EB8" w:rsidRDefault="00004E20" w:rsidP="002533BF">
            <w:pPr>
              <w:jc w:val="center"/>
              <w:rPr>
                <w:sz w:val="18"/>
                <w:szCs w:val="18"/>
              </w:rPr>
            </w:pPr>
            <w:r w:rsidRPr="00037EB8">
              <w:rPr>
                <w:sz w:val="18"/>
                <w:szCs w:val="18"/>
              </w:rPr>
              <w:t>Jobs FTE</w:t>
            </w:r>
          </w:p>
        </w:tc>
        <w:tc>
          <w:tcPr>
            <w:tcW w:w="1134" w:type="dxa"/>
          </w:tcPr>
          <w:p w:rsidR="00004E20" w:rsidRPr="00037EB8" w:rsidRDefault="00004E20" w:rsidP="002533BF">
            <w:pPr>
              <w:jc w:val="center"/>
              <w:rPr>
                <w:sz w:val="18"/>
                <w:szCs w:val="18"/>
              </w:rPr>
            </w:pPr>
            <w:r>
              <w:rPr>
                <w:sz w:val="18"/>
                <w:szCs w:val="18"/>
              </w:rPr>
              <w:t>Investment Value (£m’s)</w:t>
            </w:r>
          </w:p>
        </w:tc>
        <w:tc>
          <w:tcPr>
            <w:tcW w:w="1843" w:type="dxa"/>
          </w:tcPr>
          <w:p w:rsidR="00004E20" w:rsidRDefault="00004E20" w:rsidP="002533BF">
            <w:pPr>
              <w:jc w:val="both"/>
            </w:pPr>
          </w:p>
        </w:tc>
        <w:tc>
          <w:tcPr>
            <w:tcW w:w="1559" w:type="dxa"/>
          </w:tcPr>
          <w:p w:rsidR="00004E20" w:rsidRDefault="00004E20" w:rsidP="002533BF">
            <w:pPr>
              <w:jc w:val="both"/>
            </w:pPr>
          </w:p>
        </w:tc>
      </w:tr>
      <w:tr w:rsidR="00004E20" w:rsidTr="00004E20">
        <w:tc>
          <w:tcPr>
            <w:tcW w:w="1065" w:type="dxa"/>
            <w:shd w:val="clear" w:color="auto" w:fill="FFC000"/>
          </w:tcPr>
          <w:p w:rsidR="00004E20" w:rsidRPr="00492781" w:rsidRDefault="00004E20" w:rsidP="002533BF">
            <w:pPr>
              <w:jc w:val="both"/>
              <w:rPr>
                <w:sz w:val="20"/>
                <w:szCs w:val="20"/>
              </w:rPr>
            </w:pPr>
            <w:r>
              <w:rPr>
                <w:sz w:val="20"/>
                <w:szCs w:val="20"/>
              </w:rPr>
              <w:t>i</w:t>
            </w:r>
            <w:r w:rsidRPr="00492781">
              <w:rPr>
                <w:sz w:val="20"/>
                <w:szCs w:val="20"/>
              </w:rPr>
              <w:t>54</w:t>
            </w:r>
          </w:p>
        </w:tc>
        <w:tc>
          <w:tcPr>
            <w:tcW w:w="742" w:type="dxa"/>
            <w:shd w:val="clear" w:color="auto" w:fill="FFC000"/>
          </w:tcPr>
          <w:p w:rsidR="00004E20" w:rsidRDefault="00004E20" w:rsidP="002533BF">
            <w:pPr>
              <w:jc w:val="both"/>
            </w:pPr>
          </w:p>
        </w:tc>
        <w:tc>
          <w:tcPr>
            <w:tcW w:w="1283" w:type="dxa"/>
            <w:shd w:val="clear" w:color="auto" w:fill="FFC000"/>
          </w:tcPr>
          <w:p w:rsidR="00004E20" w:rsidRDefault="00004E20" w:rsidP="002533BF">
            <w:pPr>
              <w:jc w:val="both"/>
            </w:pPr>
          </w:p>
        </w:tc>
        <w:tc>
          <w:tcPr>
            <w:tcW w:w="1276" w:type="dxa"/>
            <w:shd w:val="clear" w:color="auto" w:fill="FFC000"/>
          </w:tcPr>
          <w:p w:rsidR="00004E20" w:rsidRDefault="00004E20" w:rsidP="002533BF">
            <w:pPr>
              <w:jc w:val="both"/>
            </w:pPr>
          </w:p>
        </w:tc>
        <w:tc>
          <w:tcPr>
            <w:tcW w:w="1134" w:type="dxa"/>
            <w:shd w:val="clear" w:color="auto" w:fill="FFC000"/>
          </w:tcPr>
          <w:p w:rsidR="00004E20" w:rsidRDefault="00004E20" w:rsidP="002533BF">
            <w:pPr>
              <w:jc w:val="both"/>
            </w:pPr>
          </w:p>
        </w:tc>
        <w:tc>
          <w:tcPr>
            <w:tcW w:w="1843" w:type="dxa"/>
            <w:shd w:val="clear" w:color="auto" w:fill="FFC000"/>
          </w:tcPr>
          <w:p w:rsidR="00004E20" w:rsidRDefault="00004E20" w:rsidP="002533BF">
            <w:pPr>
              <w:jc w:val="both"/>
            </w:pPr>
          </w:p>
        </w:tc>
        <w:tc>
          <w:tcPr>
            <w:tcW w:w="1559" w:type="dxa"/>
            <w:shd w:val="clear" w:color="auto" w:fill="FFC000"/>
          </w:tcPr>
          <w:p w:rsidR="00004E20" w:rsidRDefault="00004E20" w:rsidP="002533BF">
            <w:pPr>
              <w:jc w:val="both"/>
            </w:pPr>
          </w:p>
        </w:tc>
      </w:tr>
      <w:tr w:rsidR="00004E20" w:rsidRPr="00762764" w:rsidTr="00004E20">
        <w:tc>
          <w:tcPr>
            <w:tcW w:w="1065" w:type="dxa"/>
          </w:tcPr>
          <w:p w:rsidR="00004E20" w:rsidRPr="00762764" w:rsidRDefault="00004E20" w:rsidP="002533BF">
            <w:pPr>
              <w:jc w:val="both"/>
              <w:rPr>
                <w:sz w:val="16"/>
                <w:szCs w:val="16"/>
              </w:rPr>
            </w:pPr>
            <w:r w:rsidRPr="00762764">
              <w:rPr>
                <w:sz w:val="16"/>
                <w:szCs w:val="16"/>
              </w:rPr>
              <w:t>1E7</w:t>
            </w:r>
          </w:p>
        </w:tc>
        <w:tc>
          <w:tcPr>
            <w:tcW w:w="742" w:type="dxa"/>
          </w:tcPr>
          <w:p w:rsidR="00004E20" w:rsidRPr="00762764" w:rsidRDefault="00004E20" w:rsidP="002533BF">
            <w:pPr>
              <w:jc w:val="center"/>
              <w:rPr>
                <w:sz w:val="16"/>
                <w:szCs w:val="16"/>
              </w:rPr>
            </w:pPr>
            <w:r w:rsidRPr="00762764">
              <w:rPr>
                <w:sz w:val="16"/>
                <w:szCs w:val="16"/>
              </w:rPr>
              <w:t>10.90</w:t>
            </w:r>
          </w:p>
        </w:tc>
        <w:tc>
          <w:tcPr>
            <w:tcW w:w="1283" w:type="dxa"/>
          </w:tcPr>
          <w:p w:rsidR="00004E20" w:rsidRPr="00762764" w:rsidRDefault="00004E20" w:rsidP="002533BF">
            <w:pPr>
              <w:jc w:val="center"/>
              <w:rPr>
                <w:sz w:val="16"/>
                <w:szCs w:val="16"/>
              </w:rPr>
            </w:pPr>
            <w:r w:rsidRPr="00762764">
              <w:rPr>
                <w:sz w:val="16"/>
                <w:szCs w:val="16"/>
              </w:rPr>
              <w:t>20,475</w:t>
            </w:r>
          </w:p>
        </w:tc>
        <w:tc>
          <w:tcPr>
            <w:tcW w:w="1276" w:type="dxa"/>
          </w:tcPr>
          <w:p w:rsidR="00004E20" w:rsidRPr="00762764" w:rsidRDefault="00004E20" w:rsidP="002533BF">
            <w:pPr>
              <w:jc w:val="center"/>
              <w:rPr>
                <w:sz w:val="16"/>
                <w:szCs w:val="16"/>
              </w:rPr>
            </w:pPr>
            <w:r>
              <w:rPr>
                <w:sz w:val="16"/>
                <w:szCs w:val="16"/>
              </w:rPr>
              <w:t>459</w:t>
            </w:r>
          </w:p>
        </w:tc>
        <w:tc>
          <w:tcPr>
            <w:tcW w:w="1134" w:type="dxa"/>
          </w:tcPr>
          <w:p w:rsidR="00004E20" w:rsidRPr="00762764" w:rsidRDefault="00004E20" w:rsidP="002533BF">
            <w:pPr>
              <w:jc w:val="both"/>
              <w:rPr>
                <w:sz w:val="16"/>
                <w:szCs w:val="16"/>
              </w:rPr>
            </w:pPr>
            <w:r>
              <w:rPr>
                <w:sz w:val="16"/>
                <w:szCs w:val="16"/>
              </w:rPr>
              <w:t>20</w:t>
            </w:r>
          </w:p>
        </w:tc>
        <w:tc>
          <w:tcPr>
            <w:tcW w:w="1843" w:type="dxa"/>
          </w:tcPr>
          <w:p w:rsidR="00004E20" w:rsidRPr="00762764" w:rsidRDefault="00004E20" w:rsidP="002533BF">
            <w:pPr>
              <w:jc w:val="both"/>
              <w:rPr>
                <w:sz w:val="16"/>
                <w:szCs w:val="16"/>
              </w:rPr>
            </w:pPr>
            <w:r w:rsidRPr="00762764">
              <w:rPr>
                <w:sz w:val="16"/>
                <w:szCs w:val="16"/>
              </w:rPr>
              <w:t>Moog</w:t>
            </w:r>
          </w:p>
        </w:tc>
        <w:tc>
          <w:tcPr>
            <w:tcW w:w="1559" w:type="dxa"/>
            <w:shd w:val="clear" w:color="auto" w:fill="92D050"/>
          </w:tcPr>
          <w:p w:rsidR="00004E20" w:rsidRPr="00762764" w:rsidRDefault="00004E20" w:rsidP="002533BF">
            <w:pPr>
              <w:jc w:val="both"/>
              <w:rPr>
                <w:sz w:val="16"/>
                <w:szCs w:val="16"/>
              </w:rPr>
            </w:pPr>
            <w:r w:rsidRPr="00762764">
              <w:rPr>
                <w:sz w:val="16"/>
                <w:szCs w:val="16"/>
              </w:rPr>
              <w:t>Operating</w:t>
            </w:r>
          </w:p>
        </w:tc>
      </w:tr>
      <w:tr w:rsidR="00004E20" w:rsidRPr="00762764" w:rsidTr="00004E20">
        <w:tc>
          <w:tcPr>
            <w:tcW w:w="1065" w:type="dxa"/>
          </w:tcPr>
          <w:p w:rsidR="00004E20" w:rsidRPr="00762764" w:rsidRDefault="00004E20" w:rsidP="002533BF">
            <w:pPr>
              <w:jc w:val="both"/>
              <w:rPr>
                <w:sz w:val="16"/>
                <w:szCs w:val="16"/>
              </w:rPr>
            </w:pPr>
            <w:r w:rsidRPr="00762764">
              <w:rPr>
                <w:sz w:val="16"/>
                <w:szCs w:val="16"/>
              </w:rPr>
              <w:t>1E6</w:t>
            </w:r>
          </w:p>
        </w:tc>
        <w:tc>
          <w:tcPr>
            <w:tcW w:w="742" w:type="dxa"/>
          </w:tcPr>
          <w:p w:rsidR="00004E20" w:rsidRPr="00762764" w:rsidRDefault="00004E20" w:rsidP="002533BF">
            <w:pPr>
              <w:jc w:val="center"/>
              <w:rPr>
                <w:sz w:val="16"/>
                <w:szCs w:val="16"/>
              </w:rPr>
            </w:pPr>
            <w:r w:rsidRPr="00762764">
              <w:rPr>
                <w:sz w:val="16"/>
                <w:szCs w:val="16"/>
              </w:rPr>
              <w:t>2.62</w:t>
            </w:r>
          </w:p>
        </w:tc>
        <w:tc>
          <w:tcPr>
            <w:tcW w:w="1283" w:type="dxa"/>
          </w:tcPr>
          <w:p w:rsidR="00004E20" w:rsidRPr="00762764" w:rsidRDefault="00004E20" w:rsidP="002533BF">
            <w:pPr>
              <w:jc w:val="center"/>
              <w:rPr>
                <w:sz w:val="16"/>
                <w:szCs w:val="16"/>
              </w:rPr>
            </w:pPr>
            <w:r w:rsidRPr="00762764">
              <w:rPr>
                <w:sz w:val="16"/>
                <w:szCs w:val="16"/>
              </w:rPr>
              <w:t>3,715</w:t>
            </w:r>
          </w:p>
        </w:tc>
        <w:tc>
          <w:tcPr>
            <w:tcW w:w="1276" w:type="dxa"/>
          </w:tcPr>
          <w:p w:rsidR="00004E20" w:rsidRPr="00762764" w:rsidRDefault="00004E20" w:rsidP="002533BF">
            <w:pPr>
              <w:jc w:val="center"/>
              <w:rPr>
                <w:sz w:val="16"/>
                <w:szCs w:val="16"/>
              </w:rPr>
            </w:pPr>
            <w:r>
              <w:rPr>
                <w:sz w:val="16"/>
                <w:szCs w:val="16"/>
              </w:rPr>
              <w:t>263</w:t>
            </w:r>
          </w:p>
        </w:tc>
        <w:tc>
          <w:tcPr>
            <w:tcW w:w="1134" w:type="dxa"/>
          </w:tcPr>
          <w:p w:rsidR="00004E20" w:rsidRPr="00762764" w:rsidRDefault="00004E20" w:rsidP="002533BF">
            <w:pPr>
              <w:jc w:val="both"/>
              <w:rPr>
                <w:sz w:val="16"/>
                <w:szCs w:val="16"/>
              </w:rPr>
            </w:pPr>
            <w:r>
              <w:rPr>
                <w:sz w:val="16"/>
                <w:szCs w:val="16"/>
              </w:rPr>
              <w:t>8</w:t>
            </w:r>
          </w:p>
        </w:tc>
        <w:tc>
          <w:tcPr>
            <w:tcW w:w="1843" w:type="dxa"/>
          </w:tcPr>
          <w:p w:rsidR="00004E20" w:rsidRPr="00762764" w:rsidRDefault="00004E20" w:rsidP="002533BF">
            <w:pPr>
              <w:jc w:val="both"/>
              <w:rPr>
                <w:sz w:val="16"/>
                <w:szCs w:val="16"/>
              </w:rPr>
            </w:pPr>
            <w:r w:rsidRPr="00762764">
              <w:rPr>
                <w:sz w:val="16"/>
                <w:szCs w:val="16"/>
              </w:rPr>
              <w:t>Eurofins</w:t>
            </w:r>
          </w:p>
        </w:tc>
        <w:tc>
          <w:tcPr>
            <w:tcW w:w="1559" w:type="dxa"/>
            <w:shd w:val="clear" w:color="auto" w:fill="92D050"/>
          </w:tcPr>
          <w:p w:rsidR="00004E20" w:rsidRPr="00762764" w:rsidRDefault="00004E20" w:rsidP="002533BF">
            <w:pPr>
              <w:jc w:val="both"/>
              <w:rPr>
                <w:sz w:val="16"/>
                <w:szCs w:val="16"/>
              </w:rPr>
            </w:pPr>
            <w:r w:rsidRPr="00762764">
              <w:rPr>
                <w:sz w:val="16"/>
                <w:szCs w:val="16"/>
              </w:rPr>
              <w:t>Operating</w:t>
            </w:r>
          </w:p>
        </w:tc>
      </w:tr>
      <w:tr w:rsidR="00004E20" w:rsidRPr="00762764" w:rsidTr="00004E20">
        <w:tc>
          <w:tcPr>
            <w:tcW w:w="1065" w:type="dxa"/>
          </w:tcPr>
          <w:p w:rsidR="00004E20" w:rsidRPr="00762764" w:rsidRDefault="00004E20" w:rsidP="002533BF">
            <w:pPr>
              <w:jc w:val="both"/>
              <w:rPr>
                <w:sz w:val="16"/>
                <w:szCs w:val="16"/>
              </w:rPr>
            </w:pPr>
            <w:r w:rsidRPr="00762764">
              <w:rPr>
                <w:sz w:val="16"/>
                <w:szCs w:val="16"/>
              </w:rPr>
              <w:t>1E6</w:t>
            </w:r>
          </w:p>
        </w:tc>
        <w:tc>
          <w:tcPr>
            <w:tcW w:w="742" w:type="dxa"/>
          </w:tcPr>
          <w:p w:rsidR="00004E20" w:rsidRPr="00762764" w:rsidRDefault="00004E20" w:rsidP="002533BF">
            <w:pPr>
              <w:jc w:val="center"/>
              <w:rPr>
                <w:sz w:val="16"/>
                <w:szCs w:val="16"/>
              </w:rPr>
            </w:pPr>
            <w:r w:rsidRPr="00762764">
              <w:rPr>
                <w:sz w:val="16"/>
                <w:szCs w:val="16"/>
              </w:rPr>
              <w:t>4.44</w:t>
            </w:r>
          </w:p>
        </w:tc>
        <w:tc>
          <w:tcPr>
            <w:tcW w:w="1283" w:type="dxa"/>
          </w:tcPr>
          <w:p w:rsidR="00004E20" w:rsidRPr="00762764" w:rsidRDefault="00004E20" w:rsidP="002533BF">
            <w:pPr>
              <w:jc w:val="center"/>
              <w:rPr>
                <w:sz w:val="16"/>
                <w:szCs w:val="16"/>
              </w:rPr>
            </w:pPr>
            <w:r w:rsidRPr="00762764">
              <w:rPr>
                <w:sz w:val="16"/>
                <w:szCs w:val="16"/>
              </w:rPr>
              <w:t>6,598</w:t>
            </w:r>
          </w:p>
        </w:tc>
        <w:tc>
          <w:tcPr>
            <w:tcW w:w="1276" w:type="dxa"/>
          </w:tcPr>
          <w:p w:rsidR="00004E20" w:rsidRPr="00762764" w:rsidRDefault="00004E20" w:rsidP="002533BF">
            <w:pPr>
              <w:jc w:val="center"/>
              <w:rPr>
                <w:sz w:val="16"/>
                <w:szCs w:val="16"/>
              </w:rPr>
            </w:pPr>
            <w:r>
              <w:rPr>
                <w:sz w:val="16"/>
                <w:szCs w:val="16"/>
              </w:rPr>
              <w:t>8</w:t>
            </w:r>
            <w:r w:rsidR="005150B7">
              <w:rPr>
                <w:sz w:val="16"/>
                <w:szCs w:val="16"/>
              </w:rPr>
              <w:t>7</w:t>
            </w:r>
          </w:p>
        </w:tc>
        <w:tc>
          <w:tcPr>
            <w:tcW w:w="1134" w:type="dxa"/>
          </w:tcPr>
          <w:p w:rsidR="00004E20" w:rsidRPr="00762764" w:rsidRDefault="00004E20" w:rsidP="002533BF">
            <w:pPr>
              <w:jc w:val="both"/>
              <w:rPr>
                <w:sz w:val="16"/>
                <w:szCs w:val="16"/>
              </w:rPr>
            </w:pPr>
            <w:r>
              <w:rPr>
                <w:sz w:val="16"/>
                <w:szCs w:val="16"/>
              </w:rPr>
              <w:t>8</w:t>
            </w:r>
          </w:p>
        </w:tc>
        <w:tc>
          <w:tcPr>
            <w:tcW w:w="1843" w:type="dxa"/>
          </w:tcPr>
          <w:p w:rsidR="00004E20" w:rsidRPr="00762764" w:rsidRDefault="00004E20" w:rsidP="002533BF">
            <w:pPr>
              <w:jc w:val="both"/>
              <w:rPr>
                <w:sz w:val="16"/>
                <w:szCs w:val="16"/>
              </w:rPr>
            </w:pPr>
            <w:r w:rsidRPr="00762764">
              <w:rPr>
                <w:sz w:val="16"/>
                <w:szCs w:val="16"/>
              </w:rPr>
              <w:t>ISP</w:t>
            </w:r>
          </w:p>
        </w:tc>
        <w:tc>
          <w:tcPr>
            <w:tcW w:w="1559" w:type="dxa"/>
            <w:shd w:val="clear" w:color="auto" w:fill="92D050"/>
          </w:tcPr>
          <w:p w:rsidR="00004E20" w:rsidRPr="00762764" w:rsidRDefault="00004E20" w:rsidP="002533BF">
            <w:pPr>
              <w:jc w:val="both"/>
              <w:rPr>
                <w:sz w:val="16"/>
                <w:szCs w:val="16"/>
              </w:rPr>
            </w:pPr>
            <w:r w:rsidRPr="00762764">
              <w:rPr>
                <w:sz w:val="16"/>
                <w:szCs w:val="16"/>
              </w:rPr>
              <w:t>Operating</w:t>
            </w:r>
          </w:p>
        </w:tc>
      </w:tr>
      <w:tr w:rsidR="00004E20" w:rsidRPr="00762764" w:rsidTr="00004E20">
        <w:tc>
          <w:tcPr>
            <w:tcW w:w="1065" w:type="dxa"/>
          </w:tcPr>
          <w:p w:rsidR="00004E20" w:rsidRPr="00762764" w:rsidRDefault="00004E20" w:rsidP="002533BF">
            <w:pPr>
              <w:jc w:val="both"/>
              <w:rPr>
                <w:sz w:val="16"/>
                <w:szCs w:val="16"/>
              </w:rPr>
            </w:pPr>
            <w:r w:rsidRPr="00762764">
              <w:rPr>
                <w:sz w:val="16"/>
                <w:szCs w:val="16"/>
              </w:rPr>
              <w:t>1E6</w:t>
            </w:r>
          </w:p>
        </w:tc>
        <w:tc>
          <w:tcPr>
            <w:tcW w:w="742" w:type="dxa"/>
          </w:tcPr>
          <w:p w:rsidR="00004E20" w:rsidRPr="00762764" w:rsidRDefault="00004E20" w:rsidP="002533BF">
            <w:pPr>
              <w:jc w:val="center"/>
              <w:rPr>
                <w:sz w:val="16"/>
                <w:szCs w:val="16"/>
              </w:rPr>
            </w:pPr>
            <w:r w:rsidRPr="00762764">
              <w:rPr>
                <w:sz w:val="16"/>
                <w:szCs w:val="16"/>
              </w:rPr>
              <w:t>7.70</w:t>
            </w:r>
          </w:p>
        </w:tc>
        <w:tc>
          <w:tcPr>
            <w:tcW w:w="1283" w:type="dxa"/>
          </w:tcPr>
          <w:p w:rsidR="00004E20" w:rsidRPr="00762764" w:rsidRDefault="00004E20" w:rsidP="002533BF">
            <w:pPr>
              <w:jc w:val="center"/>
              <w:rPr>
                <w:sz w:val="16"/>
                <w:szCs w:val="16"/>
              </w:rPr>
            </w:pPr>
            <w:r>
              <w:rPr>
                <w:sz w:val="16"/>
                <w:szCs w:val="16"/>
              </w:rPr>
              <w:t>12,</w:t>
            </w:r>
            <w:r w:rsidR="005150B7">
              <w:rPr>
                <w:sz w:val="16"/>
                <w:szCs w:val="16"/>
              </w:rPr>
              <w:t>600</w:t>
            </w:r>
          </w:p>
        </w:tc>
        <w:tc>
          <w:tcPr>
            <w:tcW w:w="1276" w:type="dxa"/>
          </w:tcPr>
          <w:p w:rsidR="00004E20" w:rsidRPr="00386B05" w:rsidRDefault="00004E20" w:rsidP="002533BF">
            <w:pPr>
              <w:jc w:val="center"/>
              <w:rPr>
                <w:i/>
                <w:sz w:val="16"/>
                <w:szCs w:val="16"/>
              </w:rPr>
            </w:pPr>
            <w:r w:rsidRPr="00386B05">
              <w:rPr>
                <w:i/>
                <w:sz w:val="16"/>
                <w:szCs w:val="16"/>
              </w:rPr>
              <w:t>1</w:t>
            </w:r>
            <w:r w:rsidR="005150B7">
              <w:rPr>
                <w:i/>
                <w:sz w:val="16"/>
                <w:szCs w:val="16"/>
              </w:rPr>
              <w:t>68</w:t>
            </w:r>
          </w:p>
        </w:tc>
        <w:tc>
          <w:tcPr>
            <w:tcW w:w="1134" w:type="dxa"/>
          </w:tcPr>
          <w:p w:rsidR="00004E20" w:rsidRPr="00762764" w:rsidRDefault="00004E20" w:rsidP="002533BF">
            <w:pPr>
              <w:jc w:val="both"/>
              <w:rPr>
                <w:sz w:val="16"/>
                <w:szCs w:val="16"/>
              </w:rPr>
            </w:pPr>
            <w:r>
              <w:rPr>
                <w:sz w:val="16"/>
                <w:szCs w:val="16"/>
              </w:rPr>
              <w:t>9</w:t>
            </w:r>
          </w:p>
        </w:tc>
        <w:tc>
          <w:tcPr>
            <w:tcW w:w="1843" w:type="dxa"/>
          </w:tcPr>
          <w:p w:rsidR="00004E20" w:rsidRPr="00762764" w:rsidRDefault="00004E20" w:rsidP="002533BF">
            <w:pPr>
              <w:jc w:val="both"/>
              <w:rPr>
                <w:sz w:val="16"/>
                <w:szCs w:val="16"/>
              </w:rPr>
            </w:pPr>
            <w:r w:rsidRPr="00762764">
              <w:rPr>
                <w:sz w:val="16"/>
                <w:szCs w:val="16"/>
              </w:rPr>
              <w:t>ERA</w:t>
            </w:r>
            <w:r>
              <w:rPr>
                <w:sz w:val="16"/>
                <w:szCs w:val="16"/>
              </w:rPr>
              <w:t xml:space="preserve"> </w:t>
            </w:r>
          </w:p>
        </w:tc>
        <w:tc>
          <w:tcPr>
            <w:tcW w:w="1559" w:type="dxa"/>
            <w:shd w:val="clear" w:color="auto" w:fill="92D050"/>
          </w:tcPr>
          <w:p w:rsidR="00004E20" w:rsidRPr="00762764" w:rsidRDefault="00004E20" w:rsidP="002533BF">
            <w:pPr>
              <w:jc w:val="both"/>
              <w:rPr>
                <w:sz w:val="16"/>
                <w:szCs w:val="16"/>
              </w:rPr>
            </w:pPr>
            <w:r>
              <w:rPr>
                <w:sz w:val="16"/>
                <w:szCs w:val="16"/>
              </w:rPr>
              <w:t>Operating</w:t>
            </w:r>
          </w:p>
        </w:tc>
      </w:tr>
      <w:tr w:rsidR="00004E20" w:rsidRPr="00762764" w:rsidTr="00004E20">
        <w:tc>
          <w:tcPr>
            <w:tcW w:w="1065" w:type="dxa"/>
          </w:tcPr>
          <w:p w:rsidR="00004E20" w:rsidRPr="00762764" w:rsidRDefault="00004E20" w:rsidP="002533BF">
            <w:pPr>
              <w:jc w:val="both"/>
              <w:rPr>
                <w:sz w:val="16"/>
                <w:szCs w:val="16"/>
              </w:rPr>
            </w:pPr>
            <w:r w:rsidRPr="00762764">
              <w:rPr>
                <w:sz w:val="16"/>
                <w:szCs w:val="16"/>
              </w:rPr>
              <w:t>1E3</w:t>
            </w:r>
          </w:p>
        </w:tc>
        <w:tc>
          <w:tcPr>
            <w:tcW w:w="742" w:type="dxa"/>
          </w:tcPr>
          <w:p w:rsidR="00004E20" w:rsidRPr="00762764" w:rsidRDefault="00004E20" w:rsidP="002533BF">
            <w:pPr>
              <w:jc w:val="center"/>
              <w:rPr>
                <w:sz w:val="16"/>
                <w:szCs w:val="16"/>
              </w:rPr>
            </w:pPr>
            <w:r w:rsidRPr="00762764">
              <w:rPr>
                <w:sz w:val="16"/>
                <w:szCs w:val="16"/>
              </w:rPr>
              <w:t>3.0</w:t>
            </w:r>
          </w:p>
        </w:tc>
        <w:tc>
          <w:tcPr>
            <w:tcW w:w="1283" w:type="dxa"/>
          </w:tcPr>
          <w:p w:rsidR="00004E20" w:rsidRPr="00762764" w:rsidRDefault="00004E20" w:rsidP="002533BF">
            <w:pPr>
              <w:jc w:val="center"/>
              <w:rPr>
                <w:sz w:val="16"/>
                <w:szCs w:val="16"/>
              </w:rPr>
            </w:pPr>
            <w:r>
              <w:rPr>
                <w:sz w:val="16"/>
                <w:szCs w:val="16"/>
              </w:rPr>
              <w:t>4,</w:t>
            </w:r>
            <w:r w:rsidR="00CC3C3F">
              <w:rPr>
                <w:sz w:val="16"/>
                <w:szCs w:val="16"/>
              </w:rPr>
              <w:t>100</w:t>
            </w:r>
          </w:p>
        </w:tc>
        <w:tc>
          <w:tcPr>
            <w:tcW w:w="1276" w:type="dxa"/>
          </w:tcPr>
          <w:p w:rsidR="00004E20" w:rsidRPr="00386B05" w:rsidRDefault="005150B7" w:rsidP="002533BF">
            <w:pPr>
              <w:jc w:val="center"/>
              <w:rPr>
                <w:i/>
                <w:sz w:val="16"/>
                <w:szCs w:val="16"/>
              </w:rPr>
            </w:pPr>
            <w:r>
              <w:rPr>
                <w:i/>
                <w:sz w:val="16"/>
                <w:szCs w:val="16"/>
              </w:rPr>
              <w:t>64</w:t>
            </w:r>
          </w:p>
        </w:tc>
        <w:tc>
          <w:tcPr>
            <w:tcW w:w="1134" w:type="dxa"/>
          </w:tcPr>
          <w:p w:rsidR="00004E20" w:rsidRPr="00762764" w:rsidRDefault="00004E20" w:rsidP="002533BF">
            <w:pPr>
              <w:jc w:val="both"/>
              <w:rPr>
                <w:sz w:val="16"/>
                <w:szCs w:val="16"/>
              </w:rPr>
            </w:pPr>
            <w:r>
              <w:rPr>
                <w:sz w:val="16"/>
                <w:szCs w:val="16"/>
              </w:rPr>
              <w:t>10</w:t>
            </w:r>
          </w:p>
        </w:tc>
        <w:tc>
          <w:tcPr>
            <w:tcW w:w="1843" w:type="dxa"/>
          </w:tcPr>
          <w:p w:rsidR="00004E20" w:rsidRPr="00762764" w:rsidRDefault="00CC3C3F" w:rsidP="002533BF">
            <w:pPr>
              <w:jc w:val="both"/>
              <w:rPr>
                <w:sz w:val="16"/>
                <w:szCs w:val="16"/>
              </w:rPr>
            </w:pPr>
            <w:r>
              <w:rPr>
                <w:sz w:val="16"/>
                <w:szCs w:val="16"/>
              </w:rPr>
              <w:t>Atlas Copco</w:t>
            </w:r>
          </w:p>
        </w:tc>
        <w:tc>
          <w:tcPr>
            <w:tcW w:w="1559" w:type="dxa"/>
            <w:shd w:val="clear" w:color="auto" w:fill="92D050"/>
          </w:tcPr>
          <w:p w:rsidR="00004E20" w:rsidRPr="00762764" w:rsidRDefault="00004E20" w:rsidP="002533BF">
            <w:pPr>
              <w:jc w:val="both"/>
              <w:rPr>
                <w:sz w:val="16"/>
                <w:szCs w:val="16"/>
              </w:rPr>
            </w:pPr>
            <w:r>
              <w:rPr>
                <w:sz w:val="16"/>
                <w:szCs w:val="16"/>
              </w:rPr>
              <w:t>Operating</w:t>
            </w:r>
          </w:p>
        </w:tc>
      </w:tr>
      <w:tr w:rsidR="00004E20" w:rsidRPr="00762764" w:rsidTr="00004E20">
        <w:tc>
          <w:tcPr>
            <w:tcW w:w="1065" w:type="dxa"/>
          </w:tcPr>
          <w:p w:rsidR="00004E20" w:rsidRPr="00762764" w:rsidRDefault="00004E20" w:rsidP="002533BF">
            <w:pPr>
              <w:jc w:val="both"/>
              <w:rPr>
                <w:sz w:val="16"/>
                <w:szCs w:val="16"/>
              </w:rPr>
            </w:pPr>
            <w:r w:rsidRPr="00762764">
              <w:rPr>
                <w:sz w:val="16"/>
                <w:szCs w:val="16"/>
              </w:rPr>
              <w:t>1E4</w:t>
            </w:r>
          </w:p>
        </w:tc>
        <w:tc>
          <w:tcPr>
            <w:tcW w:w="742" w:type="dxa"/>
          </w:tcPr>
          <w:p w:rsidR="00004E20" w:rsidRPr="00762764" w:rsidRDefault="00004E20" w:rsidP="002533BF">
            <w:pPr>
              <w:jc w:val="center"/>
              <w:rPr>
                <w:sz w:val="16"/>
                <w:szCs w:val="16"/>
              </w:rPr>
            </w:pPr>
            <w:r w:rsidRPr="00762764">
              <w:rPr>
                <w:sz w:val="16"/>
                <w:szCs w:val="16"/>
              </w:rPr>
              <w:t>4.0</w:t>
            </w:r>
          </w:p>
        </w:tc>
        <w:tc>
          <w:tcPr>
            <w:tcW w:w="1283" w:type="dxa"/>
          </w:tcPr>
          <w:p w:rsidR="00004E20" w:rsidRPr="005044A9" w:rsidRDefault="00004E20" w:rsidP="002533BF">
            <w:pPr>
              <w:jc w:val="center"/>
              <w:rPr>
                <w:i/>
                <w:sz w:val="16"/>
                <w:szCs w:val="16"/>
              </w:rPr>
            </w:pPr>
            <w:r w:rsidRPr="005044A9">
              <w:rPr>
                <w:i/>
                <w:sz w:val="16"/>
                <w:szCs w:val="16"/>
              </w:rPr>
              <w:t>6,950</w:t>
            </w:r>
          </w:p>
        </w:tc>
        <w:tc>
          <w:tcPr>
            <w:tcW w:w="1276" w:type="dxa"/>
          </w:tcPr>
          <w:p w:rsidR="00004E20" w:rsidRPr="007A1CD7" w:rsidRDefault="00004E20" w:rsidP="002533BF">
            <w:pPr>
              <w:jc w:val="center"/>
              <w:rPr>
                <w:i/>
                <w:sz w:val="16"/>
                <w:szCs w:val="16"/>
              </w:rPr>
            </w:pPr>
            <w:r w:rsidRPr="007A1CD7">
              <w:rPr>
                <w:i/>
                <w:sz w:val="16"/>
                <w:szCs w:val="16"/>
              </w:rPr>
              <w:t>150</w:t>
            </w:r>
          </w:p>
        </w:tc>
        <w:tc>
          <w:tcPr>
            <w:tcW w:w="1134" w:type="dxa"/>
          </w:tcPr>
          <w:p w:rsidR="00004E20" w:rsidRPr="00762764" w:rsidRDefault="00004E20" w:rsidP="002533BF">
            <w:pPr>
              <w:jc w:val="both"/>
              <w:rPr>
                <w:sz w:val="16"/>
                <w:szCs w:val="16"/>
              </w:rPr>
            </w:pPr>
            <w:r>
              <w:rPr>
                <w:sz w:val="16"/>
                <w:szCs w:val="16"/>
              </w:rPr>
              <w:t>12</w:t>
            </w:r>
          </w:p>
        </w:tc>
        <w:tc>
          <w:tcPr>
            <w:tcW w:w="1843" w:type="dxa"/>
          </w:tcPr>
          <w:p w:rsidR="00004E20" w:rsidRPr="00762764" w:rsidRDefault="00004E20" w:rsidP="002533BF">
            <w:pPr>
              <w:jc w:val="both"/>
              <w:rPr>
                <w:sz w:val="16"/>
                <w:szCs w:val="16"/>
              </w:rPr>
            </w:pPr>
            <w:r w:rsidRPr="00762764">
              <w:rPr>
                <w:sz w:val="16"/>
                <w:szCs w:val="16"/>
              </w:rPr>
              <w:t>Plot 2 (E)</w:t>
            </w:r>
          </w:p>
        </w:tc>
        <w:tc>
          <w:tcPr>
            <w:tcW w:w="1559" w:type="dxa"/>
          </w:tcPr>
          <w:p w:rsidR="00004E20" w:rsidRPr="00762764" w:rsidRDefault="00004E20" w:rsidP="002533BF">
            <w:pPr>
              <w:jc w:val="both"/>
              <w:rPr>
                <w:sz w:val="16"/>
                <w:szCs w:val="16"/>
              </w:rPr>
            </w:pPr>
            <w:r w:rsidRPr="00762764">
              <w:rPr>
                <w:sz w:val="16"/>
                <w:szCs w:val="16"/>
              </w:rPr>
              <w:t>Market</w:t>
            </w:r>
          </w:p>
        </w:tc>
      </w:tr>
      <w:tr w:rsidR="00004E20" w:rsidRPr="00762764" w:rsidTr="00004E20">
        <w:tc>
          <w:tcPr>
            <w:tcW w:w="1065" w:type="dxa"/>
          </w:tcPr>
          <w:p w:rsidR="00004E20" w:rsidRPr="00762764" w:rsidRDefault="00004E20" w:rsidP="002533BF">
            <w:pPr>
              <w:jc w:val="both"/>
              <w:rPr>
                <w:sz w:val="16"/>
                <w:szCs w:val="16"/>
              </w:rPr>
            </w:pPr>
            <w:r w:rsidRPr="00762764">
              <w:rPr>
                <w:sz w:val="16"/>
                <w:szCs w:val="16"/>
              </w:rPr>
              <w:t>1E5</w:t>
            </w:r>
          </w:p>
        </w:tc>
        <w:tc>
          <w:tcPr>
            <w:tcW w:w="742" w:type="dxa"/>
          </w:tcPr>
          <w:p w:rsidR="00004E20" w:rsidRPr="00762764" w:rsidRDefault="00004E20" w:rsidP="002533BF">
            <w:pPr>
              <w:jc w:val="center"/>
              <w:rPr>
                <w:sz w:val="16"/>
                <w:szCs w:val="16"/>
              </w:rPr>
            </w:pPr>
            <w:r w:rsidRPr="00762764">
              <w:rPr>
                <w:sz w:val="16"/>
                <w:szCs w:val="16"/>
              </w:rPr>
              <w:t>8.25</w:t>
            </w:r>
          </w:p>
        </w:tc>
        <w:tc>
          <w:tcPr>
            <w:tcW w:w="1283" w:type="dxa"/>
          </w:tcPr>
          <w:p w:rsidR="00004E20" w:rsidRPr="005044A9" w:rsidRDefault="00004E20" w:rsidP="002533BF">
            <w:pPr>
              <w:jc w:val="center"/>
              <w:rPr>
                <w:i/>
                <w:sz w:val="16"/>
                <w:szCs w:val="16"/>
              </w:rPr>
            </w:pPr>
            <w:r w:rsidRPr="005044A9">
              <w:rPr>
                <w:i/>
                <w:sz w:val="16"/>
                <w:szCs w:val="16"/>
              </w:rPr>
              <w:t>14,864</w:t>
            </w:r>
          </w:p>
        </w:tc>
        <w:tc>
          <w:tcPr>
            <w:tcW w:w="1276" w:type="dxa"/>
          </w:tcPr>
          <w:p w:rsidR="00004E20" w:rsidRPr="007A1CD7" w:rsidRDefault="00004E20" w:rsidP="002533BF">
            <w:pPr>
              <w:jc w:val="center"/>
              <w:rPr>
                <w:i/>
                <w:sz w:val="16"/>
                <w:szCs w:val="16"/>
              </w:rPr>
            </w:pPr>
            <w:r w:rsidRPr="007A1CD7">
              <w:rPr>
                <w:i/>
                <w:sz w:val="16"/>
                <w:szCs w:val="16"/>
              </w:rPr>
              <w:t>300</w:t>
            </w:r>
          </w:p>
        </w:tc>
        <w:tc>
          <w:tcPr>
            <w:tcW w:w="1134" w:type="dxa"/>
          </w:tcPr>
          <w:p w:rsidR="00004E20" w:rsidRPr="00762764" w:rsidRDefault="00004E20" w:rsidP="002533BF">
            <w:pPr>
              <w:jc w:val="both"/>
              <w:rPr>
                <w:sz w:val="16"/>
                <w:szCs w:val="16"/>
              </w:rPr>
            </w:pPr>
            <w:r>
              <w:rPr>
                <w:sz w:val="16"/>
                <w:szCs w:val="16"/>
              </w:rPr>
              <w:t>20</w:t>
            </w:r>
          </w:p>
        </w:tc>
        <w:tc>
          <w:tcPr>
            <w:tcW w:w="1843" w:type="dxa"/>
          </w:tcPr>
          <w:p w:rsidR="00004E20" w:rsidRPr="00762764" w:rsidRDefault="00004E20" w:rsidP="002533BF">
            <w:pPr>
              <w:jc w:val="both"/>
              <w:rPr>
                <w:sz w:val="16"/>
                <w:szCs w:val="16"/>
              </w:rPr>
            </w:pPr>
            <w:r w:rsidRPr="00762764">
              <w:rPr>
                <w:sz w:val="16"/>
                <w:szCs w:val="16"/>
              </w:rPr>
              <w:t>Plot 3 (</w:t>
            </w:r>
            <w:r>
              <w:rPr>
                <w:sz w:val="16"/>
                <w:szCs w:val="16"/>
              </w:rPr>
              <w:t>D</w:t>
            </w:r>
            <w:r w:rsidRPr="00762764">
              <w:rPr>
                <w:sz w:val="16"/>
                <w:szCs w:val="16"/>
              </w:rPr>
              <w:t>)</w:t>
            </w:r>
          </w:p>
        </w:tc>
        <w:tc>
          <w:tcPr>
            <w:tcW w:w="1559" w:type="dxa"/>
          </w:tcPr>
          <w:p w:rsidR="00004E20" w:rsidRPr="00762764" w:rsidRDefault="00004E20" w:rsidP="002533BF">
            <w:pPr>
              <w:jc w:val="both"/>
              <w:rPr>
                <w:sz w:val="16"/>
                <w:szCs w:val="16"/>
              </w:rPr>
            </w:pPr>
            <w:r w:rsidRPr="00762764">
              <w:rPr>
                <w:sz w:val="16"/>
                <w:szCs w:val="16"/>
              </w:rPr>
              <w:t>Market</w:t>
            </w:r>
          </w:p>
        </w:tc>
      </w:tr>
      <w:tr w:rsidR="00004E20" w:rsidRPr="00762764" w:rsidTr="00CC3C3F">
        <w:tc>
          <w:tcPr>
            <w:tcW w:w="1065" w:type="dxa"/>
          </w:tcPr>
          <w:p w:rsidR="00004E20" w:rsidRPr="00762764" w:rsidRDefault="00004E20" w:rsidP="002533BF">
            <w:pPr>
              <w:jc w:val="both"/>
              <w:rPr>
                <w:sz w:val="16"/>
                <w:szCs w:val="16"/>
              </w:rPr>
            </w:pPr>
            <w:r w:rsidRPr="00762764">
              <w:rPr>
                <w:sz w:val="16"/>
                <w:szCs w:val="16"/>
              </w:rPr>
              <w:t>1E2</w:t>
            </w:r>
          </w:p>
        </w:tc>
        <w:tc>
          <w:tcPr>
            <w:tcW w:w="742" w:type="dxa"/>
          </w:tcPr>
          <w:p w:rsidR="00004E20" w:rsidRPr="00762764" w:rsidRDefault="00004E20" w:rsidP="002533BF">
            <w:pPr>
              <w:jc w:val="center"/>
              <w:rPr>
                <w:sz w:val="16"/>
                <w:szCs w:val="16"/>
              </w:rPr>
            </w:pPr>
            <w:r w:rsidRPr="00762764">
              <w:rPr>
                <w:sz w:val="16"/>
                <w:szCs w:val="16"/>
              </w:rPr>
              <w:t>3.2</w:t>
            </w:r>
          </w:p>
        </w:tc>
        <w:tc>
          <w:tcPr>
            <w:tcW w:w="1283" w:type="dxa"/>
          </w:tcPr>
          <w:p w:rsidR="00004E20" w:rsidRPr="005044A9" w:rsidRDefault="00CC3C3F" w:rsidP="002533BF">
            <w:pPr>
              <w:jc w:val="center"/>
              <w:rPr>
                <w:i/>
                <w:sz w:val="16"/>
                <w:szCs w:val="16"/>
              </w:rPr>
            </w:pPr>
            <w:r>
              <w:rPr>
                <w:i/>
                <w:sz w:val="16"/>
                <w:szCs w:val="16"/>
              </w:rPr>
              <w:t>6,100</w:t>
            </w:r>
          </w:p>
        </w:tc>
        <w:tc>
          <w:tcPr>
            <w:tcW w:w="1276" w:type="dxa"/>
          </w:tcPr>
          <w:p w:rsidR="00004E20" w:rsidRPr="007A1CD7" w:rsidRDefault="00CC3C3F" w:rsidP="002533BF">
            <w:pPr>
              <w:jc w:val="center"/>
              <w:rPr>
                <w:i/>
                <w:sz w:val="16"/>
                <w:szCs w:val="16"/>
              </w:rPr>
            </w:pPr>
            <w:r>
              <w:rPr>
                <w:i/>
                <w:sz w:val="16"/>
                <w:szCs w:val="16"/>
              </w:rPr>
              <w:t>6</w:t>
            </w:r>
            <w:r w:rsidR="00004E20">
              <w:rPr>
                <w:i/>
                <w:sz w:val="16"/>
                <w:szCs w:val="16"/>
              </w:rPr>
              <w:t>0</w:t>
            </w:r>
          </w:p>
        </w:tc>
        <w:tc>
          <w:tcPr>
            <w:tcW w:w="1134" w:type="dxa"/>
          </w:tcPr>
          <w:p w:rsidR="00004E20" w:rsidRPr="00762764" w:rsidRDefault="00004E20" w:rsidP="002533BF">
            <w:pPr>
              <w:jc w:val="both"/>
              <w:rPr>
                <w:sz w:val="16"/>
                <w:szCs w:val="16"/>
              </w:rPr>
            </w:pPr>
            <w:r>
              <w:rPr>
                <w:sz w:val="16"/>
                <w:szCs w:val="16"/>
              </w:rPr>
              <w:t>5</w:t>
            </w:r>
          </w:p>
        </w:tc>
        <w:tc>
          <w:tcPr>
            <w:tcW w:w="1843" w:type="dxa"/>
          </w:tcPr>
          <w:p w:rsidR="00004E20" w:rsidRPr="00762764" w:rsidRDefault="00004E20" w:rsidP="002533BF">
            <w:pPr>
              <w:jc w:val="both"/>
              <w:rPr>
                <w:sz w:val="16"/>
                <w:szCs w:val="16"/>
              </w:rPr>
            </w:pPr>
            <w:r>
              <w:rPr>
                <w:sz w:val="16"/>
                <w:szCs w:val="16"/>
              </w:rPr>
              <w:t xml:space="preserve">Morris </w:t>
            </w:r>
            <w:r w:rsidR="00CC3C3F">
              <w:rPr>
                <w:sz w:val="16"/>
                <w:szCs w:val="16"/>
              </w:rPr>
              <w:t>Site Machinery</w:t>
            </w:r>
          </w:p>
        </w:tc>
        <w:tc>
          <w:tcPr>
            <w:tcW w:w="1559" w:type="dxa"/>
            <w:shd w:val="clear" w:color="auto" w:fill="FFC000"/>
          </w:tcPr>
          <w:p w:rsidR="00004E20" w:rsidRPr="00762764" w:rsidRDefault="00CC3C3F" w:rsidP="002533BF">
            <w:pPr>
              <w:jc w:val="both"/>
              <w:rPr>
                <w:sz w:val="16"/>
                <w:szCs w:val="16"/>
              </w:rPr>
            </w:pPr>
            <w:r>
              <w:rPr>
                <w:sz w:val="16"/>
                <w:szCs w:val="16"/>
              </w:rPr>
              <w:t xml:space="preserve">In </w:t>
            </w:r>
            <w:proofErr w:type="spellStart"/>
            <w:r>
              <w:rPr>
                <w:sz w:val="16"/>
                <w:szCs w:val="16"/>
              </w:rPr>
              <w:t>Legals</w:t>
            </w:r>
            <w:proofErr w:type="spellEnd"/>
          </w:p>
        </w:tc>
      </w:tr>
      <w:tr w:rsidR="00004E20" w:rsidRPr="00762764" w:rsidTr="00004E20">
        <w:tc>
          <w:tcPr>
            <w:tcW w:w="1065" w:type="dxa"/>
          </w:tcPr>
          <w:p w:rsidR="00004E20" w:rsidRPr="00762764" w:rsidRDefault="00004E20" w:rsidP="002533BF">
            <w:pPr>
              <w:jc w:val="both"/>
              <w:rPr>
                <w:sz w:val="16"/>
                <w:szCs w:val="16"/>
              </w:rPr>
            </w:pPr>
            <w:r w:rsidRPr="00762764">
              <w:rPr>
                <w:sz w:val="16"/>
                <w:szCs w:val="16"/>
              </w:rPr>
              <w:t>1E1</w:t>
            </w:r>
          </w:p>
        </w:tc>
        <w:tc>
          <w:tcPr>
            <w:tcW w:w="742" w:type="dxa"/>
            <w:vMerge w:val="restart"/>
            <w:vAlign w:val="center"/>
          </w:tcPr>
          <w:p w:rsidR="00004E20" w:rsidRPr="00762764" w:rsidRDefault="00004E20" w:rsidP="002533BF">
            <w:pPr>
              <w:jc w:val="center"/>
              <w:rPr>
                <w:sz w:val="16"/>
                <w:szCs w:val="16"/>
              </w:rPr>
            </w:pPr>
            <w:r w:rsidRPr="00762764">
              <w:rPr>
                <w:sz w:val="16"/>
                <w:szCs w:val="16"/>
              </w:rPr>
              <w:t>104.24</w:t>
            </w:r>
          </w:p>
        </w:tc>
        <w:tc>
          <w:tcPr>
            <w:tcW w:w="1283" w:type="dxa"/>
            <w:vMerge w:val="restart"/>
            <w:vAlign w:val="center"/>
          </w:tcPr>
          <w:p w:rsidR="00004E20" w:rsidRPr="005044A9" w:rsidRDefault="00CC3C3F" w:rsidP="002533BF">
            <w:pPr>
              <w:jc w:val="center"/>
              <w:rPr>
                <w:i/>
                <w:sz w:val="16"/>
                <w:szCs w:val="16"/>
              </w:rPr>
            </w:pPr>
            <w:r>
              <w:rPr>
                <w:i/>
                <w:sz w:val="16"/>
                <w:szCs w:val="16"/>
              </w:rPr>
              <w:t>192,366</w:t>
            </w:r>
          </w:p>
        </w:tc>
        <w:tc>
          <w:tcPr>
            <w:tcW w:w="1276" w:type="dxa"/>
            <w:vMerge w:val="restart"/>
            <w:vAlign w:val="center"/>
          </w:tcPr>
          <w:p w:rsidR="00004E20" w:rsidRPr="00FE09C5" w:rsidRDefault="00004E20" w:rsidP="002533BF">
            <w:pPr>
              <w:jc w:val="center"/>
              <w:rPr>
                <w:i/>
                <w:sz w:val="16"/>
                <w:szCs w:val="16"/>
              </w:rPr>
            </w:pPr>
            <w:r>
              <w:rPr>
                <w:i/>
                <w:sz w:val="16"/>
                <w:szCs w:val="16"/>
              </w:rPr>
              <w:t>2,700</w:t>
            </w:r>
          </w:p>
        </w:tc>
        <w:tc>
          <w:tcPr>
            <w:tcW w:w="1134" w:type="dxa"/>
          </w:tcPr>
          <w:p w:rsidR="00004E20" w:rsidRPr="00762764" w:rsidRDefault="00004E20" w:rsidP="002533BF">
            <w:pPr>
              <w:jc w:val="both"/>
              <w:rPr>
                <w:sz w:val="16"/>
                <w:szCs w:val="16"/>
              </w:rPr>
            </w:pPr>
            <w:r>
              <w:rPr>
                <w:sz w:val="16"/>
                <w:szCs w:val="16"/>
              </w:rPr>
              <w:t>500</w:t>
            </w:r>
          </w:p>
        </w:tc>
        <w:tc>
          <w:tcPr>
            <w:tcW w:w="1843" w:type="dxa"/>
          </w:tcPr>
          <w:p w:rsidR="00004E20" w:rsidRPr="00762764" w:rsidRDefault="00004E20" w:rsidP="002533BF">
            <w:pPr>
              <w:jc w:val="both"/>
              <w:rPr>
                <w:sz w:val="16"/>
                <w:szCs w:val="16"/>
              </w:rPr>
            </w:pPr>
            <w:r w:rsidRPr="00762764">
              <w:rPr>
                <w:sz w:val="16"/>
                <w:szCs w:val="16"/>
              </w:rPr>
              <w:t>JLR (Module 1/1a)</w:t>
            </w:r>
          </w:p>
        </w:tc>
        <w:tc>
          <w:tcPr>
            <w:tcW w:w="1559" w:type="dxa"/>
            <w:shd w:val="clear" w:color="auto" w:fill="92D050"/>
          </w:tcPr>
          <w:p w:rsidR="00004E20" w:rsidRPr="00762764" w:rsidRDefault="00004E20" w:rsidP="002533BF">
            <w:pPr>
              <w:jc w:val="both"/>
              <w:rPr>
                <w:sz w:val="16"/>
                <w:szCs w:val="16"/>
              </w:rPr>
            </w:pPr>
            <w:r w:rsidRPr="00762764">
              <w:rPr>
                <w:sz w:val="16"/>
                <w:szCs w:val="16"/>
              </w:rPr>
              <w:t>Operating</w:t>
            </w:r>
          </w:p>
        </w:tc>
      </w:tr>
      <w:tr w:rsidR="00004E20" w:rsidRPr="00762764" w:rsidTr="00004E20">
        <w:tc>
          <w:tcPr>
            <w:tcW w:w="1065" w:type="dxa"/>
          </w:tcPr>
          <w:p w:rsidR="00004E20" w:rsidRPr="00762764" w:rsidRDefault="00004E20" w:rsidP="002533BF">
            <w:pPr>
              <w:jc w:val="both"/>
              <w:rPr>
                <w:sz w:val="16"/>
                <w:szCs w:val="16"/>
              </w:rPr>
            </w:pPr>
            <w:r w:rsidRPr="00762764">
              <w:rPr>
                <w:sz w:val="16"/>
                <w:szCs w:val="16"/>
              </w:rPr>
              <w:t>1E8</w:t>
            </w:r>
          </w:p>
        </w:tc>
        <w:tc>
          <w:tcPr>
            <w:tcW w:w="742" w:type="dxa"/>
            <w:vMerge/>
          </w:tcPr>
          <w:p w:rsidR="00004E20" w:rsidRPr="00762764" w:rsidRDefault="00004E20" w:rsidP="002533BF">
            <w:pPr>
              <w:jc w:val="both"/>
              <w:rPr>
                <w:sz w:val="16"/>
                <w:szCs w:val="16"/>
              </w:rPr>
            </w:pPr>
          </w:p>
        </w:tc>
        <w:tc>
          <w:tcPr>
            <w:tcW w:w="1283" w:type="dxa"/>
            <w:vMerge/>
          </w:tcPr>
          <w:p w:rsidR="00004E20" w:rsidRPr="00762764" w:rsidRDefault="00004E20" w:rsidP="002533BF">
            <w:pPr>
              <w:jc w:val="both"/>
              <w:rPr>
                <w:sz w:val="16"/>
                <w:szCs w:val="16"/>
              </w:rPr>
            </w:pPr>
          </w:p>
        </w:tc>
        <w:tc>
          <w:tcPr>
            <w:tcW w:w="1276" w:type="dxa"/>
            <w:vMerge/>
          </w:tcPr>
          <w:p w:rsidR="00004E20" w:rsidRPr="00762764" w:rsidRDefault="00004E20" w:rsidP="002533BF">
            <w:pPr>
              <w:jc w:val="both"/>
              <w:rPr>
                <w:sz w:val="16"/>
                <w:szCs w:val="16"/>
              </w:rPr>
            </w:pPr>
          </w:p>
        </w:tc>
        <w:tc>
          <w:tcPr>
            <w:tcW w:w="1134" w:type="dxa"/>
          </w:tcPr>
          <w:p w:rsidR="00004E20" w:rsidRPr="00762764" w:rsidRDefault="00004E20" w:rsidP="002533BF">
            <w:pPr>
              <w:jc w:val="both"/>
              <w:rPr>
                <w:sz w:val="16"/>
                <w:szCs w:val="16"/>
              </w:rPr>
            </w:pPr>
            <w:r>
              <w:rPr>
                <w:sz w:val="16"/>
                <w:szCs w:val="16"/>
              </w:rPr>
              <w:t>450</w:t>
            </w:r>
          </w:p>
        </w:tc>
        <w:tc>
          <w:tcPr>
            <w:tcW w:w="1843" w:type="dxa"/>
          </w:tcPr>
          <w:p w:rsidR="00004E20" w:rsidRPr="00762764" w:rsidRDefault="00004E20" w:rsidP="002533BF">
            <w:pPr>
              <w:jc w:val="both"/>
              <w:rPr>
                <w:sz w:val="16"/>
                <w:szCs w:val="16"/>
              </w:rPr>
            </w:pPr>
            <w:r w:rsidRPr="00762764">
              <w:rPr>
                <w:sz w:val="16"/>
                <w:szCs w:val="16"/>
              </w:rPr>
              <w:t>JLR (Module 4)</w:t>
            </w:r>
          </w:p>
        </w:tc>
        <w:tc>
          <w:tcPr>
            <w:tcW w:w="1559" w:type="dxa"/>
            <w:shd w:val="clear" w:color="auto" w:fill="92D050"/>
          </w:tcPr>
          <w:p w:rsidR="00004E20" w:rsidRPr="00762764" w:rsidRDefault="00004E20" w:rsidP="002533BF">
            <w:pPr>
              <w:rPr>
                <w:sz w:val="16"/>
                <w:szCs w:val="16"/>
              </w:rPr>
            </w:pPr>
            <w:r>
              <w:rPr>
                <w:sz w:val="16"/>
                <w:szCs w:val="16"/>
              </w:rPr>
              <w:t>Test &amp; Commission</w:t>
            </w:r>
          </w:p>
        </w:tc>
      </w:tr>
    </w:tbl>
    <w:p w:rsidR="00EA5B91" w:rsidRDefault="00EA5B91" w:rsidP="00407C61">
      <w:pPr>
        <w:spacing w:after="0"/>
        <w:rPr>
          <w:sz w:val="20"/>
          <w:szCs w:val="20"/>
        </w:rPr>
      </w:pPr>
      <w:r>
        <w:rPr>
          <w:sz w:val="20"/>
          <w:szCs w:val="20"/>
        </w:rPr>
        <w:t>Source: City of Wolverhampton Council</w:t>
      </w:r>
    </w:p>
    <w:p w:rsidR="00EA5B91" w:rsidRDefault="00EA5B91" w:rsidP="00407C61">
      <w:pPr>
        <w:spacing w:after="0"/>
        <w:rPr>
          <w:sz w:val="20"/>
          <w:szCs w:val="20"/>
        </w:rPr>
      </w:pPr>
      <w:r>
        <w:rPr>
          <w:sz w:val="20"/>
          <w:szCs w:val="20"/>
        </w:rPr>
        <w:t>Note</w:t>
      </w:r>
      <w:r w:rsidR="00835CD6">
        <w:rPr>
          <w:sz w:val="20"/>
          <w:szCs w:val="20"/>
        </w:rPr>
        <w:t>:</w:t>
      </w:r>
      <w:r>
        <w:rPr>
          <w:sz w:val="20"/>
          <w:szCs w:val="20"/>
        </w:rPr>
        <w:t xml:space="preserve"> Entries in </w:t>
      </w:r>
      <w:r w:rsidRPr="00DD09D6">
        <w:rPr>
          <w:i/>
          <w:sz w:val="20"/>
          <w:szCs w:val="20"/>
        </w:rPr>
        <w:t>italics</w:t>
      </w:r>
      <w:r>
        <w:rPr>
          <w:sz w:val="20"/>
          <w:szCs w:val="20"/>
        </w:rPr>
        <w:t xml:space="preserve"> are estimates at this stage</w:t>
      </w:r>
    </w:p>
    <w:p w:rsidR="00407C61" w:rsidRPr="00EA5B91" w:rsidRDefault="00407C61" w:rsidP="00407C61">
      <w:pPr>
        <w:spacing w:after="0"/>
        <w:rPr>
          <w:sz w:val="20"/>
          <w:szCs w:val="20"/>
        </w:rPr>
      </w:pPr>
    </w:p>
    <w:p w:rsidR="002F02AE" w:rsidRPr="003C12CB" w:rsidRDefault="005528A5" w:rsidP="002F02AE">
      <w:pPr>
        <w:pStyle w:val="ListParagraph"/>
        <w:numPr>
          <w:ilvl w:val="0"/>
          <w:numId w:val="1"/>
        </w:numPr>
        <w:rPr>
          <w:rFonts w:ascii="Verdana" w:hAnsi="Verdana"/>
          <w:b/>
          <w:sz w:val="22"/>
        </w:rPr>
      </w:pPr>
      <w:r w:rsidRPr="003C12CB">
        <w:rPr>
          <w:rFonts w:ascii="Verdana" w:hAnsi="Verdana"/>
          <w:b/>
          <w:sz w:val="22"/>
        </w:rPr>
        <w:t>Financial overview</w:t>
      </w:r>
    </w:p>
    <w:p w:rsidR="005528A5" w:rsidRPr="003C12CB" w:rsidRDefault="005528A5" w:rsidP="005528A5">
      <w:pPr>
        <w:pStyle w:val="ListParagraph"/>
        <w:ind w:left="360"/>
        <w:rPr>
          <w:rFonts w:ascii="Verdana" w:hAnsi="Verdana"/>
          <w:b/>
          <w:sz w:val="22"/>
        </w:rPr>
      </w:pPr>
    </w:p>
    <w:p w:rsidR="00565AB5" w:rsidRDefault="00565AB5" w:rsidP="00565AB5">
      <w:pPr>
        <w:pStyle w:val="ListParagraph"/>
        <w:numPr>
          <w:ilvl w:val="1"/>
          <w:numId w:val="1"/>
        </w:numPr>
        <w:rPr>
          <w:rFonts w:ascii="Verdana" w:hAnsi="Verdana"/>
          <w:sz w:val="22"/>
        </w:rPr>
      </w:pPr>
      <w:r w:rsidRPr="00565AB5">
        <w:rPr>
          <w:rFonts w:ascii="Verdana" w:hAnsi="Verdana" w:cs="Arial"/>
          <w:sz w:val="22"/>
        </w:rPr>
        <w:t>The final spend on the Enterprise Zone scheme was £56.5m which has been funded from a combination of capital receipts, grants, other funding, and borrowing which is being repaid from additional business rates generated from the site. The latest forecasts estimate that the outstanding debt will be repaid in 202</w:t>
      </w:r>
      <w:r w:rsidR="00141D95">
        <w:rPr>
          <w:rFonts w:ascii="Verdana" w:hAnsi="Verdana" w:cs="Arial"/>
          <w:sz w:val="22"/>
        </w:rPr>
        <w:t>5</w:t>
      </w:r>
      <w:r w:rsidRPr="00565AB5">
        <w:rPr>
          <w:rFonts w:ascii="Verdana" w:hAnsi="Verdana" w:cs="Arial"/>
          <w:sz w:val="22"/>
        </w:rPr>
        <w:t>/2</w:t>
      </w:r>
      <w:r w:rsidR="00141D95">
        <w:rPr>
          <w:rFonts w:ascii="Verdana" w:hAnsi="Verdana" w:cs="Arial"/>
          <w:sz w:val="22"/>
        </w:rPr>
        <w:t>6</w:t>
      </w:r>
      <w:r w:rsidRPr="00565AB5">
        <w:rPr>
          <w:rFonts w:cs="Arial"/>
          <w:sz w:val="22"/>
        </w:rPr>
        <w:t xml:space="preserve">. </w:t>
      </w:r>
      <w:r w:rsidR="00C23347" w:rsidRPr="00565AB5">
        <w:rPr>
          <w:rFonts w:ascii="Verdana" w:hAnsi="Verdana"/>
          <w:sz w:val="22"/>
        </w:rPr>
        <w:t xml:space="preserve"> </w:t>
      </w:r>
    </w:p>
    <w:p w:rsidR="00565AB5" w:rsidRDefault="00565AB5" w:rsidP="00565AB5">
      <w:pPr>
        <w:pStyle w:val="ListParagraph"/>
        <w:rPr>
          <w:rFonts w:ascii="Verdana" w:hAnsi="Verdana"/>
          <w:sz w:val="22"/>
        </w:rPr>
      </w:pPr>
    </w:p>
    <w:p w:rsidR="00565AB5" w:rsidRPr="00565AB5" w:rsidRDefault="00565AB5" w:rsidP="00565AB5">
      <w:pPr>
        <w:pStyle w:val="ListParagraph"/>
        <w:numPr>
          <w:ilvl w:val="1"/>
          <w:numId w:val="1"/>
        </w:numPr>
        <w:rPr>
          <w:rFonts w:ascii="Verdana" w:hAnsi="Verdana"/>
          <w:sz w:val="22"/>
        </w:rPr>
      </w:pPr>
      <w:r w:rsidRPr="00565AB5">
        <w:rPr>
          <w:rFonts w:ascii="Verdana" w:hAnsi="Verdana"/>
          <w:sz w:val="22"/>
        </w:rPr>
        <w:t>The SSLEP has subsequently approved that the business rates</w:t>
      </w:r>
      <w:r>
        <w:rPr>
          <w:rFonts w:ascii="Verdana" w:hAnsi="Verdana"/>
          <w:sz w:val="22"/>
        </w:rPr>
        <w:t xml:space="preserve"> receipts</w:t>
      </w:r>
      <w:r w:rsidRPr="00565AB5">
        <w:rPr>
          <w:rFonts w:ascii="Verdana" w:hAnsi="Verdana"/>
          <w:sz w:val="22"/>
        </w:rPr>
        <w:t xml:space="preserve"> beyond that date will be used to </w:t>
      </w:r>
      <w:r w:rsidR="003C07A8">
        <w:rPr>
          <w:rFonts w:ascii="Verdana" w:hAnsi="Verdana"/>
          <w:sz w:val="22"/>
        </w:rPr>
        <w:t xml:space="preserve">part </w:t>
      </w:r>
      <w:r w:rsidRPr="00565AB5">
        <w:rPr>
          <w:rFonts w:ascii="Verdana" w:hAnsi="Verdana"/>
          <w:sz w:val="22"/>
        </w:rPr>
        <w:t>fund the I54 western extension to a value of circa £10m</w:t>
      </w:r>
      <w:r w:rsidR="00141D95">
        <w:rPr>
          <w:rFonts w:ascii="Verdana" w:hAnsi="Verdana"/>
          <w:sz w:val="22"/>
        </w:rPr>
        <w:t xml:space="preserve"> on a net present value basis </w:t>
      </w:r>
      <w:r w:rsidRPr="00565AB5">
        <w:rPr>
          <w:rFonts w:ascii="Verdana" w:hAnsi="Verdana"/>
          <w:sz w:val="22"/>
        </w:rPr>
        <w:t>(i.e. matching the grant contributions from the Black Country LEP). It is estimated that by 202</w:t>
      </w:r>
      <w:r w:rsidR="00141D95">
        <w:rPr>
          <w:rFonts w:ascii="Verdana" w:hAnsi="Verdana"/>
          <w:sz w:val="22"/>
        </w:rPr>
        <w:t>5</w:t>
      </w:r>
      <w:r w:rsidRPr="00565AB5">
        <w:rPr>
          <w:rFonts w:ascii="Verdana" w:hAnsi="Verdana"/>
          <w:sz w:val="22"/>
        </w:rPr>
        <w:t>/2</w:t>
      </w:r>
      <w:r w:rsidR="00141D95">
        <w:rPr>
          <w:rFonts w:ascii="Verdana" w:hAnsi="Verdana"/>
          <w:sz w:val="22"/>
        </w:rPr>
        <w:t>6</w:t>
      </w:r>
      <w:r w:rsidRPr="00565AB5">
        <w:rPr>
          <w:rFonts w:ascii="Verdana" w:hAnsi="Verdana"/>
          <w:sz w:val="22"/>
        </w:rPr>
        <w:t>, assuming the remaining plots are sold and developed, the annual business rate take for the SSLEP will be circa. £3.</w:t>
      </w:r>
      <w:r w:rsidR="00141D95">
        <w:rPr>
          <w:rFonts w:ascii="Verdana" w:hAnsi="Verdana"/>
          <w:sz w:val="22"/>
        </w:rPr>
        <w:t>2</w:t>
      </w:r>
      <w:r w:rsidRPr="00565AB5">
        <w:rPr>
          <w:rFonts w:ascii="Verdana" w:hAnsi="Verdana"/>
          <w:sz w:val="22"/>
        </w:rPr>
        <w:t>m.</w:t>
      </w:r>
    </w:p>
    <w:p w:rsidR="00565AB5" w:rsidRDefault="00565AB5" w:rsidP="00602C51">
      <w:pPr>
        <w:pStyle w:val="ListParagraph"/>
        <w:rPr>
          <w:rFonts w:ascii="Verdana" w:hAnsi="Verdana"/>
          <w:sz w:val="22"/>
          <w:highlight w:val="yellow"/>
        </w:rPr>
      </w:pPr>
      <w:bookmarkStart w:id="0" w:name="_GoBack"/>
      <w:bookmarkEnd w:id="0"/>
    </w:p>
    <w:p w:rsidR="00565AB5" w:rsidRPr="00602C51" w:rsidRDefault="00565AB5" w:rsidP="00602C51">
      <w:pPr>
        <w:pStyle w:val="ListParagraph"/>
        <w:rPr>
          <w:rFonts w:ascii="Verdana" w:hAnsi="Verdana"/>
          <w:sz w:val="22"/>
          <w:highlight w:val="yellow"/>
        </w:rPr>
      </w:pPr>
    </w:p>
    <w:p w:rsidR="005528A5" w:rsidRPr="003C12CB" w:rsidRDefault="00FF500C" w:rsidP="002F02AE">
      <w:pPr>
        <w:pStyle w:val="ListParagraph"/>
        <w:numPr>
          <w:ilvl w:val="0"/>
          <w:numId w:val="1"/>
        </w:numPr>
        <w:rPr>
          <w:rFonts w:ascii="Verdana" w:hAnsi="Verdana"/>
          <w:b/>
          <w:sz w:val="22"/>
        </w:rPr>
      </w:pPr>
      <w:r w:rsidRPr="003C12CB">
        <w:rPr>
          <w:rFonts w:ascii="Verdana" w:hAnsi="Verdana"/>
          <w:b/>
          <w:sz w:val="22"/>
        </w:rPr>
        <w:t>I54 Western Extension Update</w:t>
      </w:r>
    </w:p>
    <w:p w:rsidR="00835CD6" w:rsidRPr="003C12CB" w:rsidRDefault="00835CD6" w:rsidP="00835CD6">
      <w:pPr>
        <w:pStyle w:val="ListParagraph"/>
        <w:ind w:left="360"/>
        <w:rPr>
          <w:rFonts w:ascii="Verdana" w:hAnsi="Verdana"/>
          <w:b/>
          <w:sz w:val="22"/>
        </w:rPr>
      </w:pPr>
    </w:p>
    <w:p w:rsidR="00835CD6" w:rsidRDefault="00565AB5" w:rsidP="00835CD6">
      <w:pPr>
        <w:pStyle w:val="ListParagraph"/>
        <w:numPr>
          <w:ilvl w:val="1"/>
          <w:numId w:val="1"/>
        </w:numPr>
        <w:rPr>
          <w:rFonts w:ascii="Verdana" w:hAnsi="Verdana"/>
          <w:sz w:val="22"/>
        </w:rPr>
      </w:pPr>
      <w:r>
        <w:rPr>
          <w:rFonts w:ascii="Verdana" w:hAnsi="Verdana"/>
          <w:sz w:val="22"/>
        </w:rPr>
        <w:t>Following the approval in December 2018 of the SSLEP to part fund the I54 Western Extension, a significant amount of progress has been made</w:t>
      </w:r>
      <w:r w:rsidR="00835CD6" w:rsidRPr="003C12CB">
        <w:rPr>
          <w:rFonts w:ascii="Verdana" w:hAnsi="Verdana"/>
          <w:sz w:val="22"/>
        </w:rPr>
        <w:t>.</w:t>
      </w:r>
    </w:p>
    <w:p w:rsidR="00565AB5" w:rsidRDefault="00565AB5" w:rsidP="00565AB5">
      <w:pPr>
        <w:pStyle w:val="ListParagraph"/>
        <w:rPr>
          <w:rFonts w:ascii="Verdana" w:hAnsi="Verdana"/>
          <w:sz w:val="22"/>
        </w:rPr>
      </w:pPr>
    </w:p>
    <w:p w:rsidR="00565AB5" w:rsidRDefault="00565AB5" w:rsidP="00835CD6">
      <w:pPr>
        <w:pStyle w:val="ListParagraph"/>
        <w:numPr>
          <w:ilvl w:val="1"/>
          <w:numId w:val="1"/>
        </w:numPr>
        <w:rPr>
          <w:rFonts w:ascii="Verdana" w:hAnsi="Verdana"/>
          <w:sz w:val="22"/>
        </w:rPr>
      </w:pPr>
      <w:r>
        <w:rPr>
          <w:rFonts w:ascii="Verdana" w:hAnsi="Verdana"/>
          <w:sz w:val="22"/>
        </w:rPr>
        <w:t>Following planning approval in January 2019, a start on site for the access road to the site and associated bridleway diversion and ecological enabling works was made on 24</w:t>
      </w:r>
      <w:r w:rsidRPr="00565AB5">
        <w:rPr>
          <w:rFonts w:ascii="Verdana" w:hAnsi="Verdana"/>
          <w:sz w:val="22"/>
          <w:vertAlign w:val="superscript"/>
        </w:rPr>
        <w:t>th</w:t>
      </w:r>
      <w:r>
        <w:rPr>
          <w:rFonts w:ascii="Verdana" w:hAnsi="Verdana"/>
          <w:sz w:val="22"/>
        </w:rPr>
        <w:t xml:space="preserve"> June 2019 with completion due in spring 2020.</w:t>
      </w:r>
    </w:p>
    <w:p w:rsidR="00565AB5" w:rsidRPr="00565AB5" w:rsidRDefault="00565AB5" w:rsidP="00565AB5">
      <w:pPr>
        <w:pStyle w:val="ListParagraph"/>
        <w:rPr>
          <w:rFonts w:ascii="Verdana" w:hAnsi="Verdana"/>
          <w:sz w:val="22"/>
        </w:rPr>
      </w:pPr>
    </w:p>
    <w:p w:rsidR="00565AB5" w:rsidRDefault="00565AB5" w:rsidP="00835CD6">
      <w:pPr>
        <w:pStyle w:val="ListParagraph"/>
        <w:numPr>
          <w:ilvl w:val="1"/>
          <w:numId w:val="1"/>
        </w:numPr>
        <w:rPr>
          <w:rFonts w:ascii="Verdana" w:hAnsi="Verdana"/>
          <w:sz w:val="22"/>
        </w:rPr>
      </w:pPr>
      <w:r>
        <w:rPr>
          <w:rFonts w:ascii="Verdana" w:hAnsi="Verdana"/>
          <w:sz w:val="22"/>
        </w:rPr>
        <w:t>Project partners are now considering the designs for the plot preparation works which are proposed to follow on from the first contract.</w:t>
      </w:r>
    </w:p>
    <w:p w:rsidR="00565AB5" w:rsidRPr="00565AB5" w:rsidRDefault="00565AB5" w:rsidP="00565AB5">
      <w:pPr>
        <w:pStyle w:val="ListParagraph"/>
        <w:rPr>
          <w:rFonts w:ascii="Verdana" w:hAnsi="Verdana"/>
          <w:sz w:val="22"/>
        </w:rPr>
      </w:pPr>
    </w:p>
    <w:p w:rsidR="00565AB5" w:rsidRPr="003C12CB" w:rsidRDefault="00565AB5" w:rsidP="00835CD6">
      <w:pPr>
        <w:pStyle w:val="ListParagraph"/>
        <w:numPr>
          <w:ilvl w:val="1"/>
          <w:numId w:val="1"/>
        </w:numPr>
        <w:rPr>
          <w:rFonts w:ascii="Verdana" w:hAnsi="Verdana"/>
          <w:sz w:val="22"/>
        </w:rPr>
      </w:pPr>
      <w:r>
        <w:rPr>
          <w:rFonts w:ascii="Verdana" w:hAnsi="Verdana"/>
          <w:sz w:val="22"/>
        </w:rPr>
        <w:t xml:space="preserve">In addition to the project investment of the SSLEP, funding for the project has been secured from Black Country LEP and prudential borrowing from Staffordshire County Council and City of Wolverhampton Council, </w:t>
      </w:r>
      <w:r w:rsidR="00F130DD">
        <w:rPr>
          <w:rFonts w:ascii="Verdana" w:hAnsi="Verdana"/>
          <w:sz w:val="22"/>
        </w:rPr>
        <w:t xml:space="preserve">to be paid back through capital receipts from the i54 Extension and business rates receipts from the site when it is developed out. The SSLEP has also agreed to underwrite the project with retained business rates receipts from the existing i54 site in the event that there is a detrimental change to business rates policy from central government. </w:t>
      </w:r>
    </w:p>
    <w:p w:rsidR="00835CD6" w:rsidRPr="003C12CB" w:rsidRDefault="00835CD6" w:rsidP="00835CD6">
      <w:pPr>
        <w:pStyle w:val="ListParagraph"/>
        <w:rPr>
          <w:rFonts w:ascii="Verdana" w:hAnsi="Verdana"/>
          <w:sz w:val="22"/>
        </w:rPr>
      </w:pPr>
    </w:p>
    <w:p w:rsidR="003F1D3C" w:rsidRPr="007C7BA6" w:rsidRDefault="003F1D3C" w:rsidP="003F1D3C">
      <w:pPr>
        <w:pStyle w:val="ListParagraph"/>
        <w:rPr>
          <w:rFonts w:ascii="Verdana" w:hAnsi="Verdana"/>
          <w:sz w:val="22"/>
        </w:rPr>
      </w:pPr>
    </w:p>
    <w:p w:rsidR="003F1D3C" w:rsidRPr="007C7BA6" w:rsidRDefault="003F1D3C" w:rsidP="003F1D3C">
      <w:pPr>
        <w:pStyle w:val="ListParagraph"/>
        <w:numPr>
          <w:ilvl w:val="0"/>
          <w:numId w:val="1"/>
        </w:numPr>
        <w:rPr>
          <w:rFonts w:ascii="Verdana" w:hAnsi="Verdana"/>
          <w:b/>
          <w:sz w:val="22"/>
        </w:rPr>
      </w:pPr>
      <w:r w:rsidRPr="007C7BA6">
        <w:rPr>
          <w:rFonts w:ascii="Verdana" w:hAnsi="Verdana"/>
          <w:b/>
          <w:sz w:val="22"/>
        </w:rPr>
        <w:t>Recommendations</w:t>
      </w:r>
    </w:p>
    <w:p w:rsidR="003F1D3C" w:rsidRPr="007C7BA6" w:rsidRDefault="003F1D3C" w:rsidP="003F1D3C">
      <w:pPr>
        <w:pStyle w:val="ListParagraph"/>
        <w:ind w:left="360"/>
        <w:rPr>
          <w:rFonts w:ascii="Verdana" w:hAnsi="Verdana"/>
          <w:sz w:val="22"/>
        </w:rPr>
      </w:pPr>
    </w:p>
    <w:p w:rsidR="003F1D3C" w:rsidRPr="007C7BA6" w:rsidRDefault="003F1D3C" w:rsidP="003F1D3C">
      <w:pPr>
        <w:pStyle w:val="ListParagraph"/>
        <w:numPr>
          <w:ilvl w:val="1"/>
          <w:numId w:val="1"/>
        </w:numPr>
        <w:rPr>
          <w:rFonts w:ascii="Verdana" w:hAnsi="Verdana"/>
          <w:sz w:val="22"/>
        </w:rPr>
      </w:pPr>
      <w:r w:rsidRPr="007C7BA6">
        <w:rPr>
          <w:rFonts w:ascii="Verdana" w:hAnsi="Verdana"/>
          <w:sz w:val="22"/>
        </w:rPr>
        <w:t>The SSLEP note the latest position on the I54 Enterprise Zone including the key deliverables, which are extremely positive</w:t>
      </w:r>
      <w:r w:rsidR="00F130DD">
        <w:rPr>
          <w:rFonts w:ascii="Verdana" w:hAnsi="Verdana"/>
          <w:sz w:val="22"/>
        </w:rPr>
        <w:t>, the financial position and progress update on the i54 Western Extension</w:t>
      </w:r>
      <w:r w:rsidRPr="007C7BA6">
        <w:rPr>
          <w:rFonts w:ascii="Verdana" w:hAnsi="Verdana"/>
          <w:sz w:val="22"/>
        </w:rPr>
        <w:t>.</w:t>
      </w:r>
    </w:p>
    <w:p w:rsidR="003F1D3C" w:rsidRPr="007C7BA6" w:rsidRDefault="003F1D3C" w:rsidP="003F1D3C">
      <w:pPr>
        <w:pStyle w:val="ListParagraph"/>
        <w:rPr>
          <w:rFonts w:ascii="Verdana" w:hAnsi="Verdana"/>
          <w:sz w:val="22"/>
        </w:rPr>
      </w:pPr>
    </w:p>
    <w:p w:rsidR="002F02AE" w:rsidRPr="002F02AE" w:rsidRDefault="002F02AE" w:rsidP="002F02AE">
      <w:pPr>
        <w:rPr>
          <w:b/>
        </w:rPr>
      </w:pPr>
    </w:p>
    <w:p w:rsidR="00956CEB" w:rsidRDefault="008779B6">
      <w:r>
        <w:t xml:space="preserve">Report Author: Jonathan Vining; </w:t>
      </w:r>
      <w:hyperlink r:id="rId7" w:history="1">
        <w:r w:rsidRPr="00AA7A7B">
          <w:rPr>
            <w:rStyle w:val="Hyperlink"/>
          </w:rPr>
          <w:t>jonathan.vining@staffordshire,gov.uk</w:t>
        </w:r>
      </w:hyperlink>
      <w:r>
        <w:t xml:space="preserve"> </w:t>
      </w:r>
    </w:p>
    <w:sectPr w:rsidR="00956CEB" w:rsidSect="002533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9B6" w:rsidRDefault="008779B6" w:rsidP="008779B6">
      <w:pPr>
        <w:spacing w:after="0" w:line="240" w:lineRule="auto"/>
      </w:pPr>
      <w:r>
        <w:separator/>
      </w:r>
    </w:p>
  </w:endnote>
  <w:endnote w:type="continuationSeparator" w:id="0">
    <w:p w:rsidR="008779B6" w:rsidRDefault="008779B6" w:rsidP="0087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9B6" w:rsidRDefault="008779B6" w:rsidP="008779B6">
      <w:pPr>
        <w:spacing w:after="0" w:line="240" w:lineRule="auto"/>
      </w:pPr>
      <w:r>
        <w:separator/>
      </w:r>
    </w:p>
  </w:footnote>
  <w:footnote w:type="continuationSeparator" w:id="0">
    <w:p w:rsidR="008779B6" w:rsidRDefault="008779B6" w:rsidP="00877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34BF0"/>
    <w:multiLevelType w:val="multilevel"/>
    <w:tmpl w:val="F6083E5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79"/>
    <w:rsid w:val="00004E20"/>
    <w:rsid w:val="00024CC2"/>
    <w:rsid w:val="00061F7C"/>
    <w:rsid w:val="00077C79"/>
    <w:rsid w:val="00141D95"/>
    <w:rsid w:val="00145D87"/>
    <w:rsid w:val="001931C6"/>
    <w:rsid w:val="001A3BBE"/>
    <w:rsid w:val="001E6A94"/>
    <w:rsid w:val="00214524"/>
    <w:rsid w:val="002533BF"/>
    <w:rsid w:val="002678B4"/>
    <w:rsid w:val="002E098B"/>
    <w:rsid w:val="002F02AE"/>
    <w:rsid w:val="00326B55"/>
    <w:rsid w:val="003C07A8"/>
    <w:rsid w:val="003C12CB"/>
    <w:rsid w:val="003F1D3C"/>
    <w:rsid w:val="00407C61"/>
    <w:rsid w:val="005150B7"/>
    <w:rsid w:val="005528A5"/>
    <w:rsid w:val="00565AB5"/>
    <w:rsid w:val="00576206"/>
    <w:rsid w:val="00602C51"/>
    <w:rsid w:val="00616BE6"/>
    <w:rsid w:val="00651D69"/>
    <w:rsid w:val="006E420B"/>
    <w:rsid w:val="006E7F6F"/>
    <w:rsid w:val="00700652"/>
    <w:rsid w:val="00791E50"/>
    <w:rsid w:val="007C7BA6"/>
    <w:rsid w:val="00834251"/>
    <w:rsid w:val="00835CD6"/>
    <w:rsid w:val="00850E84"/>
    <w:rsid w:val="00851F6E"/>
    <w:rsid w:val="00862A65"/>
    <w:rsid w:val="008779B6"/>
    <w:rsid w:val="00894133"/>
    <w:rsid w:val="00931839"/>
    <w:rsid w:val="00956CEB"/>
    <w:rsid w:val="00962C21"/>
    <w:rsid w:val="00A84A2D"/>
    <w:rsid w:val="00B37E55"/>
    <w:rsid w:val="00BC6002"/>
    <w:rsid w:val="00BE3207"/>
    <w:rsid w:val="00C23347"/>
    <w:rsid w:val="00C9308B"/>
    <w:rsid w:val="00CC3C3F"/>
    <w:rsid w:val="00D80E9D"/>
    <w:rsid w:val="00DD09D6"/>
    <w:rsid w:val="00DD2DC7"/>
    <w:rsid w:val="00DF0F96"/>
    <w:rsid w:val="00E77688"/>
    <w:rsid w:val="00E90836"/>
    <w:rsid w:val="00E92FC0"/>
    <w:rsid w:val="00EA5B91"/>
    <w:rsid w:val="00EF1E83"/>
    <w:rsid w:val="00F130DD"/>
    <w:rsid w:val="00F538E5"/>
    <w:rsid w:val="00FB666F"/>
    <w:rsid w:val="00FF5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B5653"/>
  <w15:docId w15:val="{D21E2719-0BFC-4CC2-8E61-2A2A97F3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CEB"/>
    <w:pPr>
      <w:ind w:left="720"/>
      <w:contextualSpacing/>
    </w:pPr>
  </w:style>
  <w:style w:type="table" w:styleId="TableGrid">
    <w:name w:val="Table Grid"/>
    <w:basedOn w:val="TableNormal"/>
    <w:uiPriority w:val="59"/>
    <w:rsid w:val="002533B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2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C21"/>
    <w:rPr>
      <w:rFonts w:ascii="Tahoma" w:hAnsi="Tahoma" w:cs="Tahoma"/>
      <w:sz w:val="16"/>
      <w:szCs w:val="16"/>
    </w:rPr>
  </w:style>
  <w:style w:type="character" w:styleId="CommentReference">
    <w:name w:val="annotation reference"/>
    <w:basedOn w:val="DefaultParagraphFont"/>
    <w:uiPriority w:val="99"/>
    <w:semiHidden/>
    <w:unhideWhenUsed/>
    <w:rsid w:val="00962C21"/>
    <w:rPr>
      <w:sz w:val="16"/>
      <w:szCs w:val="16"/>
    </w:rPr>
  </w:style>
  <w:style w:type="paragraph" w:styleId="CommentText">
    <w:name w:val="annotation text"/>
    <w:basedOn w:val="Normal"/>
    <w:link w:val="CommentTextChar"/>
    <w:uiPriority w:val="99"/>
    <w:semiHidden/>
    <w:unhideWhenUsed/>
    <w:rsid w:val="00962C21"/>
    <w:pPr>
      <w:spacing w:line="240" w:lineRule="auto"/>
    </w:pPr>
    <w:rPr>
      <w:sz w:val="20"/>
      <w:szCs w:val="20"/>
    </w:rPr>
  </w:style>
  <w:style w:type="character" w:customStyle="1" w:styleId="CommentTextChar">
    <w:name w:val="Comment Text Char"/>
    <w:basedOn w:val="DefaultParagraphFont"/>
    <w:link w:val="CommentText"/>
    <w:uiPriority w:val="99"/>
    <w:semiHidden/>
    <w:rsid w:val="00962C21"/>
    <w:rPr>
      <w:sz w:val="20"/>
      <w:szCs w:val="20"/>
    </w:rPr>
  </w:style>
  <w:style w:type="paragraph" w:styleId="CommentSubject">
    <w:name w:val="annotation subject"/>
    <w:basedOn w:val="CommentText"/>
    <w:next w:val="CommentText"/>
    <w:link w:val="CommentSubjectChar"/>
    <w:uiPriority w:val="99"/>
    <w:semiHidden/>
    <w:unhideWhenUsed/>
    <w:rsid w:val="00962C21"/>
    <w:rPr>
      <w:b/>
      <w:bCs/>
    </w:rPr>
  </w:style>
  <w:style w:type="character" w:customStyle="1" w:styleId="CommentSubjectChar">
    <w:name w:val="Comment Subject Char"/>
    <w:basedOn w:val="CommentTextChar"/>
    <w:link w:val="CommentSubject"/>
    <w:uiPriority w:val="99"/>
    <w:semiHidden/>
    <w:rsid w:val="00962C21"/>
    <w:rPr>
      <w:b/>
      <w:bCs/>
      <w:sz w:val="20"/>
      <w:szCs w:val="20"/>
    </w:rPr>
  </w:style>
  <w:style w:type="character" w:styleId="Hyperlink">
    <w:name w:val="Hyperlink"/>
    <w:basedOn w:val="DefaultParagraphFont"/>
    <w:uiPriority w:val="99"/>
    <w:unhideWhenUsed/>
    <w:rsid w:val="008779B6"/>
    <w:rPr>
      <w:color w:val="0000FF" w:themeColor="hyperlink"/>
      <w:u w:val="single"/>
    </w:rPr>
  </w:style>
  <w:style w:type="character" w:styleId="UnresolvedMention">
    <w:name w:val="Unresolved Mention"/>
    <w:basedOn w:val="DefaultParagraphFont"/>
    <w:uiPriority w:val="99"/>
    <w:semiHidden/>
    <w:unhideWhenUsed/>
    <w:rsid w:val="00877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athan.vining@staf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Vining, Jonathan (E,I&amp;S)</dc:creator>
  <cp:lastModifiedBy>Casey, Jacqui (E,I&amp;S)</cp:lastModifiedBy>
  <cp:revision>5</cp:revision>
  <dcterms:created xsi:type="dcterms:W3CDTF">2019-07-09T09:59:00Z</dcterms:created>
  <dcterms:modified xsi:type="dcterms:W3CDTF">2019-09-17T09:32:00Z</dcterms:modified>
</cp:coreProperties>
</file>