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48C5F" w14:textId="12C013C3" w:rsidR="00BC6124" w:rsidRPr="003C76D5" w:rsidRDefault="00BC6124" w:rsidP="00EB79CE">
      <w:pPr>
        <w:jc w:val="center"/>
        <w:rPr>
          <w:rFonts w:ascii="Arial" w:hAnsi="Arial" w:cs="Arial"/>
          <w:b/>
          <w:sz w:val="24"/>
          <w:szCs w:val="24"/>
        </w:rPr>
      </w:pPr>
      <w:r w:rsidRPr="003C76D5">
        <w:rPr>
          <w:rFonts w:ascii="Arial" w:hAnsi="Arial" w:cs="Arial"/>
          <w:b/>
          <w:sz w:val="24"/>
          <w:szCs w:val="24"/>
        </w:rPr>
        <w:t xml:space="preserve">SSLEP </w:t>
      </w:r>
      <w:r w:rsidR="00EA251E">
        <w:rPr>
          <w:rFonts w:ascii="Arial" w:hAnsi="Arial" w:cs="Arial"/>
          <w:b/>
          <w:sz w:val="24"/>
          <w:szCs w:val="24"/>
        </w:rPr>
        <w:t>Executive Board 19</w:t>
      </w:r>
      <w:r w:rsidR="00EA251E" w:rsidRPr="00EA251E">
        <w:rPr>
          <w:rFonts w:ascii="Arial" w:hAnsi="Arial" w:cs="Arial"/>
          <w:b/>
          <w:sz w:val="24"/>
          <w:szCs w:val="24"/>
          <w:vertAlign w:val="superscript"/>
        </w:rPr>
        <w:t>th</w:t>
      </w:r>
      <w:r w:rsidR="00EA251E">
        <w:rPr>
          <w:rFonts w:ascii="Arial" w:hAnsi="Arial" w:cs="Arial"/>
          <w:b/>
          <w:sz w:val="24"/>
          <w:szCs w:val="24"/>
        </w:rPr>
        <w:t xml:space="preserve"> September</w:t>
      </w:r>
      <w:r w:rsidRPr="003C76D5">
        <w:rPr>
          <w:rFonts w:ascii="Arial" w:hAnsi="Arial" w:cs="Arial"/>
          <w:b/>
          <w:sz w:val="24"/>
          <w:szCs w:val="24"/>
        </w:rPr>
        <w:t xml:space="preserve"> 2019</w:t>
      </w:r>
    </w:p>
    <w:p w14:paraId="6B29E589" w14:textId="77777777" w:rsidR="00BC6124" w:rsidRPr="003C76D5" w:rsidRDefault="00BC6124">
      <w:pPr>
        <w:rPr>
          <w:rFonts w:ascii="Arial" w:hAnsi="Arial" w:cs="Arial"/>
          <w:b/>
          <w:sz w:val="24"/>
          <w:szCs w:val="24"/>
        </w:rPr>
      </w:pPr>
    </w:p>
    <w:p w14:paraId="4157AE7B" w14:textId="3D740612" w:rsidR="00BC6124" w:rsidRPr="003C76D5" w:rsidRDefault="00BC6124">
      <w:pPr>
        <w:rPr>
          <w:rFonts w:ascii="Arial" w:hAnsi="Arial" w:cs="Arial"/>
          <w:b/>
          <w:sz w:val="24"/>
          <w:szCs w:val="24"/>
        </w:rPr>
      </w:pPr>
      <w:r w:rsidRPr="003C76D5">
        <w:rPr>
          <w:rFonts w:ascii="Arial" w:hAnsi="Arial" w:cs="Arial"/>
          <w:b/>
          <w:sz w:val="24"/>
          <w:szCs w:val="24"/>
        </w:rPr>
        <w:t xml:space="preserve">Review of </w:t>
      </w:r>
      <w:r w:rsidR="00AE0EF9">
        <w:rPr>
          <w:rFonts w:ascii="Arial" w:hAnsi="Arial" w:cs="Arial"/>
          <w:b/>
          <w:sz w:val="24"/>
          <w:szCs w:val="24"/>
        </w:rPr>
        <w:t xml:space="preserve">Progress against </w:t>
      </w:r>
      <w:r w:rsidRPr="003C76D5">
        <w:rPr>
          <w:rFonts w:ascii="Arial" w:hAnsi="Arial" w:cs="Arial"/>
          <w:b/>
          <w:sz w:val="24"/>
          <w:szCs w:val="24"/>
        </w:rPr>
        <w:t>SSLEP Growth</w:t>
      </w:r>
      <w:bookmarkStart w:id="0" w:name="_GoBack"/>
      <w:bookmarkEnd w:id="0"/>
      <w:r w:rsidRPr="003C76D5">
        <w:rPr>
          <w:rFonts w:ascii="Arial" w:hAnsi="Arial" w:cs="Arial"/>
          <w:b/>
          <w:sz w:val="24"/>
          <w:szCs w:val="24"/>
        </w:rPr>
        <w:t xml:space="preserve"> Deal Outputs / Targets</w:t>
      </w:r>
      <w:r w:rsidR="00C67A4C" w:rsidRPr="003C76D5">
        <w:rPr>
          <w:rFonts w:ascii="Arial" w:hAnsi="Arial" w:cs="Arial"/>
          <w:b/>
          <w:sz w:val="24"/>
          <w:szCs w:val="24"/>
        </w:rPr>
        <w:t xml:space="preserve"> – Position Statement</w:t>
      </w:r>
    </w:p>
    <w:p w14:paraId="5BCD8C4F" w14:textId="77777777" w:rsidR="00BC6124" w:rsidRPr="003C76D5" w:rsidRDefault="00BC6124">
      <w:pPr>
        <w:rPr>
          <w:rFonts w:ascii="Arial" w:hAnsi="Arial" w:cs="Arial"/>
          <w:b/>
          <w:sz w:val="24"/>
          <w:szCs w:val="24"/>
        </w:rPr>
      </w:pPr>
    </w:p>
    <w:p w14:paraId="778C948D" w14:textId="77777777" w:rsidR="00BC6124" w:rsidRPr="003C76D5" w:rsidRDefault="00BC6124">
      <w:pPr>
        <w:rPr>
          <w:rFonts w:ascii="Arial" w:hAnsi="Arial" w:cs="Arial"/>
          <w:b/>
          <w:sz w:val="24"/>
          <w:szCs w:val="24"/>
        </w:rPr>
      </w:pPr>
      <w:r w:rsidRPr="003C76D5">
        <w:rPr>
          <w:rFonts w:ascii="Arial" w:hAnsi="Arial" w:cs="Arial"/>
          <w:b/>
          <w:sz w:val="24"/>
          <w:szCs w:val="24"/>
        </w:rPr>
        <w:t>Background</w:t>
      </w:r>
    </w:p>
    <w:p w14:paraId="0D63222E" w14:textId="481E362A" w:rsidR="00FF7BC9" w:rsidRPr="00B70889" w:rsidRDefault="00BC6124">
      <w:pPr>
        <w:rPr>
          <w:rFonts w:ascii="Arial" w:hAnsi="Arial" w:cs="Arial"/>
          <w:sz w:val="24"/>
          <w:szCs w:val="24"/>
        </w:rPr>
      </w:pPr>
      <w:r>
        <w:rPr>
          <w:rFonts w:ascii="Arial" w:hAnsi="Arial" w:cs="Arial"/>
          <w:sz w:val="24"/>
          <w:szCs w:val="24"/>
        </w:rPr>
        <w:t xml:space="preserve">At the meeting of the Programme Assurance Group on </w:t>
      </w:r>
      <w:r w:rsidR="00091DB6">
        <w:rPr>
          <w:rFonts w:ascii="Arial" w:hAnsi="Arial" w:cs="Arial"/>
          <w:sz w:val="24"/>
          <w:szCs w:val="24"/>
        </w:rPr>
        <w:t>30th</w:t>
      </w:r>
      <w:r>
        <w:rPr>
          <w:rFonts w:ascii="Arial" w:hAnsi="Arial" w:cs="Arial"/>
          <w:sz w:val="24"/>
          <w:szCs w:val="24"/>
        </w:rPr>
        <w:t xml:space="preserve"> July 2019 </w:t>
      </w:r>
      <w:r w:rsidR="009C1AE1">
        <w:rPr>
          <w:rFonts w:ascii="Arial" w:hAnsi="Arial" w:cs="Arial"/>
          <w:sz w:val="24"/>
          <w:szCs w:val="24"/>
        </w:rPr>
        <w:t>and 24</w:t>
      </w:r>
      <w:r w:rsidR="009C1AE1" w:rsidRPr="00E661B9">
        <w:rPr>
          <w:rFonts w:ascii="Arial" w:hAnsi="Arial" w:cs="Arial"/>
          <w:sz w:val="24"/>
          <w:szCs w:val="24"/>
          <w:vertAlign w:val="superscript"/>
        </w:rPr>
        <w:t>th</w:t>
      </w:r>
      <w:r w:rsidR="009C1AE1">
        <w:rPr>
          <w:rFonts w:ascii="Arial" w:hAnsi="Arial" w:cs="Arial"/>
          <w:sz w:val="24"/>
          <w:szCs w:val="24"/>
        </w:rPr>
        <w:t xml:space="preserve"> August 2019, </w:t>
      </w:r>
      <w:r>
        <w:rPr>
          <w:rFonts w:ascii="Arial" w:hAnsi="Arial" w:cs="Arial"/>
          <w:sz w:val="24"/>
          <w:szCs w:val="24"/>
        </w:rPr>
        <w:t>concern was expressed over the current position in relation to Growth Deal outputs and potential financial spend by 31</w:t>
      </w:r>
      <w:r w:rsidRPr="00BC6124">
        <w:rPr>
          <w:rFonts w:ascii="Arial" w:hAnsi="Arial" w:cs="Arial"/>
          <w:sz w:val="24"/>
          <w:szCs w:val="24"/>
          <w:vertAlign w:val="superscript"/>
        </w:rPr>
        <w:t>st</w:t>
      </w:r>
      <w:r>
        <w:rPr>
          <w:rFonts w:ascii="Arial" w:hAnsi="Arial" w:cs="Arial"/>
          <w:sz w:val="24"/>
          <w:szCs w:val="24"/>
        </w:rPr>
        <w:t xml:space="preserve"> March 2021, and it was agreed that a review of </w:t>
      </w:r>
      <w:r w:rsidR="003C76D5">
        <w:rPr>
          <w:rFonts w:ascii="Arial" w:hAnsi="Arial" w:cs="Arial"/>
          <w:sz w:val="24"/>
          <w:szCs w:val="24"/>
        </w:rPr>
        <w:t xml:space="preserve">current and </w:t>
      </w:r>
      <w:r w:rsidR="003C76D5" w:rsidRPr="00B70889">
        <w:rPr>
          <w:rFonts w:ascii="Arial" w:hAnsi="Arial" w:cs="Arial"/>
          <w:sz w:val="24"/>
          <w:szCs w:val="24"/>
        </w:rPr>
        <w:t xml:space="preserve">forecast </w:t>
      </w:r>
      <w:r w:rsidRPr="00B70889">
        <w:rPr>
          <w:rFonts w:ascii="Arial" w:hAnsi="Arial" w:cs="Arial"/>
          <w:sz w:val="24"/>
          <w:szCs w:val="24"/>
        </w:rPr>
        <w:t>progress against Growth Deal targets should be undertaken.</w:t>
      </w:r>
      <w:r w:rsidR="003A21EF" w:rsidRPr="00B70889">
        <w:rPr>
          <w:rFonts w:ascii="Arial" w:hAnsi="Arial" w:cs="Arial"/>
          <w:sz w:val="24"/>
          <w:szCs w:val="24"/>
        </w:rPr>
        <w:t xml:space="preserve">  </w:t>
      </w:r>
    </w:p>
    <w:p w14:paraId="672BEDF7" w14:textId="4E99B242" w:rsidR="00BC6124" w:rsidRPr="00B70889" w:rsidRDefault="003A21EF">
      <w:pPr>
        <w:rPr>
          <w:rFonts w:ascii="Arial" w:hAnsi="Arial" w:cs="Arial"/>
          <w:sz w:val="24"/>
          <w:szCs w:val="24"/>
        </w:rPr>
      </w:pPr>
      <w:r w:rsidRPr="00B70889">
        <w:rPr>
          <w:rFonts w:ascii="Arial" w:hAnsi="Arial" w:cs="Arial"/>
          <w:sz w:val="24"/>
          <w:szCs w:val="24"/>
        </w:rPr>
        <w:t xml:space="preserve">The review included seeking advice from BEIS </w:t>
      </w:r>
      <w:r w:rsidR="00FF7BC9" w:rsidRPr="00B70889">
        <w:rPr>
          <w:rFonts w:ascii="Arial" w:hAnsi="Arial" w:cs="Arial"/>
          <w:sz w:val="24"/>
          <w:szCs w:val="24"/>
        </w:rPr>
        <w:t>LGF Data colleagues, including guidance on reporting outputs, which has highlighted some areas where SSLEP has been under-reporting.</w:t>
      </w:r>
    </w:p>
    <w:p w14:paraId="1B55099B" w14:textId="375FDDF6" w:rsidR="00BC6124" w:rsidRPr="00B70889" w:rsidRDefault="00BC6124">
      <w:pPr>
        <w:rPr>
          <w:rFonts w:ascii="Arial" w:hAnsi="Arial" w:cs="Arial"/>
          <w:sz w:val="24"/>
          <w:szCs w:val="24"/>
        </w:rPr>
      </w:pPr>
      <w:r w:rsidRPr="00B70889">
        <w:rPr>
          <w:rFonts w:ascii="Arial" w:hAnsi="Arial" w:cs="Arial"/>
          <w:sz w:val="24"/>
          <w:szCs w:val="24"/>
        </w:rPr>
        <w:t>In addition, CLGU (Cities and Local Growth Unit) have now introduced a formal mid-year review which each LEP</w:t>
      </w:r>
      <w:r w:rsidR="00551CA6">
        <w:rPr>
          <w:rFonts w:ascii="Arial" w:hAnsi="Arial" w:cs="Arial"/>
          <w:sz w:val="24"/>
          <w:szCs w:val="24"/>
        </w:rPr>
        <w:t>,</w:t>
      </w:r>
      <w:r w:rsidRPr="00B70889">
        <w:rPr>
          <w:rFonts w:ascii="Arial" w:hAnsi="Arial" w:cs="Arial"/>
          <w:sz w:val="24"/>
          <w:szCs w:val="24"/>
        </w:rPr>
        <w:t xml:space="preserve"> to enhance the existing annual assurance process. The SSLEP’s mid</w:t>
      </w:r>
      <w:r w:rsidR="00B93422" w:rsidRPr="00B70889">
        <w:rPr>
          <w:rFonts w:ascii="Arial" w:hAnsi="Arial" w:cs="Arial"/>
          <w:sz w:val="24"/>
          <w:szCs w:val="24"/>
        </w:rPr>
        <w:t>-year review is scheduled for 23</w:t>
      </w:r>
      <w:r w:rsidR="00B93422" w:rsidRPr="00B70889">
        <w:rPr>
          <w:rFonts w:ascii="Arial" w:hAnsi="Arial" w:cs="Arial"/>
          <w:sz w:val="24"/>
          <w:szCs w:val="24"/>
          <w:vertAlign w:val="superscript"/>
        </w:rPr>
        <w:t>rd</w:t>
      </w:r>
      <w:r w:rsidR="00B93422" w:rsidRPr="00B70889">
        <w:rPr>
          <w:rFonts w:ascii="Arial" w:hAnsi="Arial" w:cs="Arial"/>
          <w:sz w:val="24"/>
          <w:szCs w:val="24"/>
        </w:rPr>
        <w:t xml:space="preserve"> September 2019, and one of the themes of the review will relate to delivery.</w:t>
      </w:r>
    </w:p>
    <w:p w14:paraId="405EFFBC" w14:textId="26CD66E6" w:rsidR="00B93422" w:rsidRPr="00B70889" w:rsidRDefault="00E745C8">
      <w:pPr>
        <w:rPr>
          <w:rFonts w:ascii="Arial" w:hAnsi="Arial" w:cs="Arial"/>
          <w:b/>
          <w:sz w:val="24"/>
          <w:szCs w:val="24"/>
        </w:rPr>
      </w:pPr>
      <w:r w:rsidRPr="00B70889">
        <w:rPr>
          <w:rFonts w:ascii="Arial" w:hAnsi="Arial" w:cs="Arial"/>
          <w:b/>
          <w:sz w:val="24"/>
          <w:szCs w:val="24"/>
        </w:rPr>
        <w:t xml:space="preserve">Formal </w:t>
      </w:r>
      <w:r w:rsidR="00B93422" w:rsidRPr="00B70889">
        <w:rPr>
          <w:rFonts w:ascii="Arial" w:hAnsi="Arial" w:cs="Arial"/>
          <w:b/>
          <w:sz w:val="24"/>
          <w:szCs w:val="24"/>
        </w:rPr>
        <w:t>Growth Deal Targets</w:t>
      </w:r>
    </w:p>
    <w:p w14:paraId="1785AFF5" w14:textId="77777777" w:rsidR="000B54F8" w:rsidRPr="00B70889" w:rsidRDefault="000B54F8">
      <w:pPr>
        <w:rPr>
          <w:rFonts w:ascii="Arial" w:hAnsi="Arial" w:cs="Arial"/>
          <w:sz w:val="24"/>
          <w:szCs w:val="24"/>
        </w:rPr>
      </w:pPr>
      <w:r w:rsidRPr="00B70889">
        <w:rPr>
          <w:rFonts w:ascii="Arial" w:hAnsi="Arial" w:cs="Arial"/>
          <w:sz w:val="24"/>
          <w:szCs w:val="24"/>
        </w:rPr>
        <w:t>The formal targets (agreed March 2014) with the CLGU are that at least 5000 jobs and 1000 new homes would be built by March 2021.</w:t>
      </w:r>
    </w:p>
    <w:p w14:paraId="7EBC099D" w14:textId="02AF6DB9" w:rsidR="000B54F8" w:rsidRPr="00B70889" w:rsidRDefault="000B54F8">
      <w:pPr>
        <w:rPr>
          <w:rFonts w:ascii="Arial" w:hAnsi="Arial" w:cs="Arial"/>
          <w:sz w:val="24"/>
          <w:szCs w:val="24"/>
        </w:rPr>
      </w:pPr>
      <w:r w:rsidRPr="00B70889">
        <w:rPr>
          <w:rFonts w:ascii="Arial" w:hAnsi="Arial" w:cs="Arial"/>
          <w:sz w:val="24"/>
          <w:szCs w:val="24"/>
        </w:rPr>
        <w:t xml:space="preserve">Current </w:t>
      </w:r>
      <w:r w:rsidR="003C76D5" w:rsidRPr="00B70889">
        <w:rPr>
          <w:rFonts w:ascii="Arial" w:hAnsi="Arial" w:cs="Arial"/>
          <w:sz w:val="24"/>
          <w:szCs w:val="24"/>
        </w:rPr>
        <w:t>and forecast p</w:t>
      </w:r>
      <w:r w:rsidRPr="00B70889">
        <w:rPr>
          <w:rFonts w:ascii="Arial" w:hAnsi="Arial" w:cs="Arial"/>
          <w:sz w:val="24"/>
          <w:szCs w:val="24"/>
        </w:rPr>
        <w:t xml:space="preserve">rogress against these targets is set out in the table </w:t>
      </w:r>
      <w:r w:rsidR="00C74CF3" w:rsidRPr="00B70889">
        <w:rPr>
          <w:rFonts w:ascii="Arial" w:hAnsi="Arial" w:cs="Arial"/>
          <w:sz w:val="24"/>
          <w:szCs w:val="24"/>
        </w:rPr>
        <w:t>below: -</w:t>
      </w:r>
    </w:p>
    <w:tbl>
      <w:tblPr>
        <w:tblStyle w:val="TableGrid"/>
        <w:tblW w:w="0" w:type="auto"/>
        <w:tblLook w:val="04A0" w:firstRow="1" w:lastRow="0" w:firstColumn="1" w:lastColumn="0" w:noHBand="0" w:noVBand="1"/>
      </w:tblPr>
      <w:tblGrid>
        <w:gridCol w:w="1083"/>
        <w:gridCol w:w="1069"/>
        <w:gridCol w:w="1066"/>
        <w:gridCol w:w="1299"/>
        <w:gridCol w:w="1367"/>
        <w:gridCol w:w="1326"/>
        <w:gridCol w:w="1403"/>
      </w:tblGrid>
      <w:tr w:rsidR="008F4D7B" w14:paraId="09489CDB" w14:textId="77777777" w:rsidTr="00E661B9">
        <w:tc>
          <w:tcPr>
            <w:tcW w:w="988" w:type="dxa"/>
          </w:tcPr>
          <w:p w14:paraId="67B5C49A" w14:textId="77777777" w:rsidR="008F4D7B" w:rsidRDefault="008F4D7B" w:rsidP="00041A05">
            <w:pPr>
              <w:rPr>
                <w:rFonts w:ascii="Arial" w:hAnsi="Arial" w:cs="Arial"/>
                <w:sz w:val="24"/>
                <w:szCs w:val="24"/>
              </w:rPr>
            </w:pPr>
          </w:p>
        </w:tc>
        <w:tc>
          <w:tcPr>
            <w:tcW w:w="1069" w:type="dxa"/>
          </w:tcPr>
          <w:p w14:paraId="2A4E49DE" w14:textId="77777777" w:rsidR="008F4D7B" w:rsidRPr="00E661B9" w:rsidRDefault="008F4D7B" w:rsidP="00041A05">
            <w:pPr>
              <w:rPr>
                <w:rFonts w:ascii="Arial" w:hAnsi="Arial" w:cs="Arial"/>
                <w:b/>
                <w:sz w:val="20"/>
                <w:szCs w:val="20"/>
              </w:rPr>
            </w:pPr>
            <w:r w:rsidRPr="00E661B9">
              <w:rPr>
                <w:rFonts w:ascii="Arial" w:hAnsi="Arial" w:cs="Arial"/>
                <w:b/>
                <w:sz w:val="20"/>
                <w:szCs w:val="20"/>
              </w:rPr>
              <w:t>Formal Target for delivery by March 2021</w:t>
            </w:r>
          </w:p>
          <w:p w14:paraId="43443EEE" w14:textId="77777777" w:rsidR="008F4D7B" w:rsidRPr="00E661B9" w:rsidRDefault="008F4D7B" w:rsidP="00041A05">
            <w:pPr>
              <w:rPr>
                <w:rFonts w:ascii="Arial" w:hAnsi="Arial" w:cs="Arial"/>
                <w:sz w:val="20"/>
                <w:szCs w:val="20"/>
              </w:rPr>
            </w:pPr>
          </w:p>
        </w:tc>
        <w:tc>
          <w:tcPr>
            <w:tcW w:w="1066" w:type="dxa"/>
          </w:tcPr>
          <w:p w14:paraId="2C2F1B63" w14:textId="7848A576" w:rsidR="008F4D7B" w:rsidRPr="00E661B9" w:rsidRDefault="008F4D7B" w:rsidP="00041A05">
            <w:pPr>
              <w:rPr>
                <w:rFonts w:ascii="Arial" w:hAnsi="Arial" w:cs="Arial"/>
                <w:sz w:val="20"/>
                <w:szCs w:val="20"/>
              </w:rPr>
            </w:pPr>
            <w:r w:rsidRPr="00E661B9">
              <w:rPr>
                <w:rFonts w:ascii="Arial" w:hAnsi="Arial" w:cs="Arial"/>
                <w:sz w:val="20"/>
                <w:szCs w:val="20"/>
              </w:rPr>
              <w:t>Actuals as at March 2019 (as reported to CLGU)</w:t>
            </w:r>
          </w:p>
        </w:tc>
        <w:tc>
          <w:tcPr>
            <w:tcW w:w="1299" w:type="dxa"/>
          </w:tcPr>
          <w:p w14:paraId="263A6029" w14:textId="6D161D24" w:rsidR="008F4D7B" w:rsidRPr="00E661B9" w:rsidRDefault="008F4D7B" w:rsidP="00041A05">
            <w:pPr>
              <w:rPr>
                <w:rFonts w:ascii="Arial" w:hAnsi="Arial" w:cs="Arial"/>
                <w:sz w:val="20"/>
                <w:szCs w:val="20"/>
              </w:rPr>
            </w:pPr>
            <w:r w:rsidRPr="00E661B9">
              <w:rPr>
                <w:rFonts w:ascii="Arial" w:hAnsi="Arial" w:cs="Arial"/>
                <w:sz w:val="20"/>
                <w:szCs w:val="20"/>
              </w:rPr>
              <w:t>Actuals as at 9</w:t>
            </w:r>
            <w:r w:rsidRPr="00E661B9">
              <w:rPr>
                <w:rFonts w:ascii="Arial" w:hAnsi="Arial" w:cs="Arial"/>
                <w:sz w:val="20"/>
                <w:szCs w:val="20"/>
                <w:vertAlign w:val="superscript"/>
              </w:rPr>
              <w:t>th</w:t>
            </w:r>
            <w:r w:rsidRPr="00E661B9">
              <w:rPr>
                <w:rFonts w:ascii="Arial" w:hAnsi="Arial" w:cs="Arial"/>
                <w:sz w:val="20"/>
                <w:szCs w:val="20"/>
              </w:rPr>
              <w:t xml:space="preserve"> September 2019</w:t>
            </w:r>
          </w:p>
        </w:tc>
        <w:tc>
          <w:tcPr>
            <w:tcW w:w="1367" w:type="dxa"/>
          </w:tcPr>
          <w:p w14:paraId="2887CB67" w14:textId="57E09D77" w:rsidR="008F4D7B" w:rsidRPr="00E661B9" w:rsidRDefault="008F4D7B" w:rsidP="00041A05">
            <w:pPr>
              <w:rPr>
                <w:rFonts w:ascii="Arial" w:hAnsi="Arial" w:cs="Arial"/>
                <w:sz w:val="20"/>
                <w:szCs w:val="20"/>
              </w:rPr>
            </w:pPr>
            <w:r w:rsidRPr="00E661B9">
              <w:rPr>
                <w:rFonts w:ascii="Arial" w:hAnsi="Arial" w:cs="Arial"/>
                <w:sz w:val="20"/>
                <w:szCs w:val="20"/>
              </w:rPr>
              <w:t>Forecast to be delivered by March 2020</w:t>
            </w:r>
          </w:p>
        </w:tc>
        <w:tc>
          <w:tcPr>
            <w:tcW w:w="1326" w:type="dxa"/>
          </w:tcPr>
          <w:p w14:paraId="7C930555" w14:textId="619E4495" w:rsidR="008F4D7B" w:rsidRPr="00E661B9" w:rsidRDefault="008F4D7B" w:rsidP="00041A05">
            <w:pPr>
              <w:rPr>
                <w:rFonts w:ascii="Arial" w:hAnsi="Arial" w:cs="Arial"/>
                <w:sz w:val="20"/>
                <w:szCs w:val="20"/>
              </w:rPr>
            </w:pPr>
            <w:r w:rsidRPr="00E661B9">
              <w:rPr>
                <w:rFonts w:ascii="Arial" w:hAnsi="Arial" w:cs="Arial"/>
                <w:b/>
                <w:sz w:val="20"/>
                <w:szCs w:val="20"/>
              </w:rPr>
              <w:t>Forecast to be delivered by March 2021</w:t>
            </w:r>
          </w:p>
        </w:tc>
        <w:tc>
          <w:tcPr>
            <w:tcW w:w="1403" w:type="dxa"/>
          </w:tcPr>
          <w:p w14:paraId="6046AFA2" w14:textId="77777777" w:rsidR="008F4D7B" w:rsidRPr="00E661B9" w:rsidRDefault="008F4D7B" w:rsidP="00041A05">
            <w:pPr>
              <w:rPr>
                <w:rFonts w:ascii="Arial" w:hAnsi="Arial" w:cs="Arial"/>
                <w:sz w:val="20"/>
                <w:szCs w:val="20"/>
              </w:rPr>
            </w:pPr>
          </w:p>
          <w:p w14:paraId="2F4082B2" w14:textId="12CCCCCB" w:rsidR="008F4D7B" w:rsidRPr="00E661B9" w:rsidRDefault="008F4D7B" w:rsidP="00041A05">
            <w:pPr>
              <w:rPr>
                <w:rFonts w:ascii="Arial" w:hAnsi="Arial" w:cs="Arial"/>
                <w:sz w:val="20"/>
                <w:szCs w:val="20"/>
              </w:rPr>
            </w:pPr>
            <w:r w:rsidRPr="00E661B9">
              <w:rPr>
                <w:rFonts w:ascii="Arial" w:hAnsi="Arial" w:cs="Arial"/>
                <w:sz w:val="20"/>
                <w:szCs w:val="20"/>
              </w:rPr>
              <w:t>Forecast to be delivered 2021+</w:t>
            </w:r>
          </w:p>
        </w:tc>
      </w:tr>
      <w:tr w:rsidR="008F4D7B" w14:paraId="69ECF2E7" w14:textId="77777777" w:rsidTr="00E661B9">
        <w:tc>
          <w:tcPr>
            <w:tcW w:w="988" w:type="dxa"/>
          </w:tcPr>
          <w:p w14:paraId="38C5DA15" w14:textId="77777777" w:rsidR="008F4D7B" w:rsidRDefault="008F4D7B" w:rsidP="008F4D7B">
            <w:pPr>
              <w:rPr>
                <w:rFonts w:ascii="Arial" w:hAnsi="Arial" w:cs="Arial"/>
                <w:b/>
                <w:sz w:val="24"/>
                <w:szCs w:val="24"/>
              </w:rPr>
            </w:pPr>
            <w:r w:rsidRPr="00E93391">
              <w:rPr>
                <w:rFonts w:ascii="Arial" w:hAnsi="Arial" w:cs="Arial"/>
                <w:b/>
                <w:sz w:val="24"/>
                <w:szCs w:val="24"/>
              </w:rPr>
              <w:t>Jobs</w:t>
            </w:r>
          </w:p>
          <w:p w14:paraId="19E8390A" w14:textId="58A7CF3A" w:rsidR="008F4D7B" w:rsidRPr="00E93391" w:rsidRDefault="008F4D7B" w:rsidP="008F4D7B">
            <w:pPr>
              <w:rPr>
                <w:rFonts w:ascii="Arial" w:hAnsi="Arial" w:cs="Arial"/>
                <w:b/>
                <w:sz w:val="24"/>
                <w:szCs w:val="24"/>
              </w:rPr>
            </w:pPr>
          </w:p>
        </w:tc>
        <w:tc>
          <w:tcPr>
            <w:tcW w:w="1069" w:type="dxa"/>
          </w:tcPr>
          <w:p w14:paraId="7CE10614" w14:textId="77777777" w:rsidR="008F4D7B" w:rsidRPr="00E93391" w:rsidRDefault="008F4D7B" w:rsidP="008F4D7B">
            <w:pPr>
              <w:rPr>
                <w:rFonts w:ascii="Arial" w:hAnsi="Arial" w:cs="Arial"/>
                <w:b/>
                <w:sz w:val="24"/>
                <w:szCs w:val="24"/>
              </w:rPr>
            </w:pPr>
            <w:r w:rsidRPr="00E93391">
              <w:rPr>
                <w:rFonts w:ascii="Arial" w:hAnsi="Arial" w:cs="Arial"/>
                <w:b/>
                <w:sz w:val="24"/>
                <w:szCs w:val="24"/>
              </w:rPr>
              <w:t>5000</w:t>
            </w:r>
          </w:p>
        </w:tc>
        <w:tc>
          <w:tcPr>
            <w:tcW w:w="1066" w:type="dxa"/>
          </w:tcPr>
          <w:p w14:paraId="5FB3181D" w14:textId="45F4E303" w:rsidR="008F4D7B" w:rsidRDefault="008F4D7B" w:rsidP="008F4D7B">
            <w:pPr>
              <w:rPr>
                <w:rFonts w:ascii="Arial" w:hAnsi="Arial" w:cs="Arial"/>
                <w:sz w:val="24"/>
                <w:szCs w:val="24"/>
              </w:rPr>
            </w:pPr>
            <w:r>
              <w:rPr>
                <w:rFonts w:ascii="Arial" w:hAnsi="Arial" w:cs="Arial"/>
                <w:sz w:val="24"/>
                <w:szCs w:val="24"/>
              </w:rPr>
              <w:t>*</w:t>
            </w:r>
            <w:r w:rsidR="00DC01F3">
              <w:rPr>
                <w:rFonts w:ascii="Arial" w:hAnsi="Arial" w:cs="Arial"/>
                <w:sz w:val="24"/>
                <w:szCs w:val="24"/>
              </w:rPr>
              <w:t>1022</w:t>
            </w:r>
          </w:p>
        </w:tc>
        <w:tc>
          <w:tcPr>
            <w:tcW w:w="1299" w:type="dxa"/>
          </w:tcPr>
          <w:p w14:paraId="74B0EB45" w14:textId="66AAC41F" w:rsidR="008F4D7B" w:rsidRDefault="008F4D7B" w:rsidP="008F4D7B">
            <w:pPr>
              <w:rPr>
                <w:rFonts w:ascii="Arial" w:hAnsi="Arial" w:cs="Arial"/>
                <w:sz w:val="24"/>
                <w:szCs w:val="24"/>
              </w:rPr>
            </w:pPr>
            <w:r>
              <w:rPr>
                <w:rFonts w:ascii="Arial" w:hAnsi="Arial" w:cs="Arial"/>
                <w:sz w:val="24"/>
                <w:szCs w:val="24"/>
              </w:rPr>
              <w:t>*</w:t>
            </w:r>
            <w:r w:rsidR="00DC01F3">
              <w:rPr>
                <w:rFonts w:ascii="Arial" w:hAnsi="Arial" w:cs="Arial"/>
                <w:sz w:val="24"/>
                <w:szCs w:val="24"/>
              </w:rPr>
              <w:t>1206</w:t>
            </w:r>
          </w:p>
        </w:tc>
        <w:tc>
          <w:tcPr>
            <w:tcW w:w="1367" w:type="dxa"/>
          </w:tcPr>
          <w:p w14:paraId="423EB4FF" w14:textId="04197388" w:rsidR="008F4D7B" w:rsidRDefault="008F4D7B" w:rsidP="008F4D7B">
            <w:pPr>
              <w:rPr>
                <w:rFonts w:ascii="Arial" w:hAnsi="Arial" w:cs="Arial"/>
                <w:sz w:val="24"/>
                <w:szCs w:val="24"/>
              </w:rPr>
            </w:pPr>
            <w:r>
              <w:rPr>
                <w:rFonts w:ascii="Arial" w:hAnsi="Arial" w:cs="Arial"/>
                <w:sz w:val="24"/>
                <w:szCs w:val="24"/>
              </w:rPr>
              <w:t>*</w:t>
            </w:r>
            <w:r w:rsidR="00DC01F3">
              <w:rPr>
                <w:rFonts w:ascii="Arial" w:hAnsi="Arial" w:cs="Arial"/>
                <w:sz w:val="24"/>
                <w:szCs w:val="24"/>
              </w:rPr>
              <w:t>3223</w:t>
            </w:r>
          </w:p>
        </w:tc>
        <w:tc>
          <w:tcPr>
            <w:tcW w:w="1326" w:type="dxa"/>
            <w:shd w:val="clear" w:color="auto" w:fill="C5E0B3" w:themeFill="accent6" w:themeFillTint="66"/>
          </w:tcPr>
          <w:p w14:paraId="7AB26915" w14:textId="506AB53A" w:rsidR="008F4D7B" w:rsidRPr="00E93391" w:rsidRDefault="008F4D7B" w:rsidP="008F4D7B">
            <w:pPr>
              <w:rPr>
                <w:rFonts w:ascii="Arial" w:hAnsi="Arial" w:cs="Arial"/>
                <w:b/>
                <w:sz w:val="24"/>
                <w:szCs w:val="24"/>
              </w:rPr>
            </w:pPr>
            <w:r>
              <w:rPr>
                <w:rFonts w:ascii="Arial" w:hAnsi="Arial" w:cs="Arial"/>
                <w:b/>
                <w:sz w:val="24"/>
                <w:szCs w:val="24"/>
              </w:rPr>
              <w:t>*</w:t>
            </w:r>
            <w:r w:rsidR="0016348B">
              <w:rPr>
                <w:rFonts w:ascii="Arial" w:hAnsi="Arial" w:cs="Arial"/>
                <w:b/>
                <w:sz w:val="24"/>
                <w:szCs w:val="24"/>
              </w:rPr>
              <w:t>*</w:t>
            </w:r>
            <w:r w:rsidR="00640E3D">
              <w:rPr>
                <w:rFonts w:ascii="Arial" w:hAnsi="Arial" w:cs="Arial"/>
                <w:b/>
                <w:sz w:val="24"/>
                <w:szCs w:val="24"/>
              </w:rPr>
              <w:t>6023</w:t>
            </w:r>
          </w:p>
        </w:tc>
        <w:tc>
          <w:tcPr>
            <w:tcW w:w="1403" w:type="dxa"/>
            <w:shd w:val="clear" w:color="auto" w:fill="auto"/>
          </w:tcPr>
          <w:p w14:paraId="297651A7" w14:textId="0DC92027" w:rsidR="008F4D7B" w:rsidRDefault="008F4D7B" w:rsidP="008F4D7B">
            <w:pPr>
              <w:rPr>
                <w:rFonts w:ascii="Arial" w:hAnsi="Arial" w:cs="Arial"/>
                <w:sz w:val="24"/>
                <w:szCs w:val="24"/>
              </w:rPr>
            </w:pPr>
            <w:r>
              <w:rPr>
                <w:rFonts w:ascii="Arial" w:hAnsi="Arial" w:cs="Arial"/>
                <w:sz w:val="24"/>
                <w:szCs w:val="24"/>
              </w:rPr>
              <w:t>*</w:t>
            </w:r>
            <w:r w:rsidR="00DC01F3">
              <w:rPr>
                <w:rFonts w:ascii="Arial" w:hAnsi="Arial" w:cs="Arial"/>
                <w:sz w:val="24"/>
                <w:szCs w:val="24"/>
              </w:rPr>
              <w:t>1</w:t>
            </w:r>
            <w:r w:rsidR="0016348B">
              <w:rPr>
                <w:rFonts w:ascii="Arial" w:hAnsi="Arial" w:cs="Arial"/>
                <w:sz w:val="24"/>
                <w:szCs w:val="24"/>
              </w:rPr>
              <w:t>3103</w:t>
            </w:r>
          </w:p>
        </w:tc>
      </w:tr>
      <w:tr w:rsidR="008F4D7B" w14:paraId="5BBB57AE" w14:textId="77777777" w:rsidTr="00E661B9">
        <w:tc>
          <w:tcPr>
            <w:tcW w:w="988" w:type="dxa"/>
          </w:tcPr>
          <w:p w14:paraId="1B8E34B5" w14:textId="77777777" w:rsidR="008F4D7B" w:rsidRDefault="008F4D7B" w:rsidP="00041A05">
            <w:pPr>
              <w:rPr>
                <w:rFonts w:ascii="Arial" w:hAnsi="Arial" w:cs="Arial"/>
                <w:b/>
                <w:sz w:val="24"/>
                <w:szCs w:val="24"/>
              </w:rPr>
            </w:pPr>
            <w:r w:rsidRPr="00E661B9">
              <w:rPr>
                <w:rFonts w:ascii="Arial" w:hAnsi="Arial" w:cs="Arial"/>
                <w:b/>
                <w:sz w:val="24"/>
                <w:szCs w:val="24"/>
              </w:rPr>
              <w:t>Houses</w:t>
            </w:r>
          </w:p>
          <w:p w14:paraId="167E61AA" w14:textId="194C34B1" w:rsidR="008F4D7B" w:rsidRPr="00E661B9" w:rsidRDefault="008F4D7B" w:rsidP="00041A05">
            <w:pPr>
              <w:rPr>
                <w:rFonts w:ascii="Arial" w:hAnsi="Arial" w:cs="Arial"/>
                <w:b/>
                <w:sz w:val="24"/>
                <w:szCs w:val="24"/>
              </w:rPr>
            </w:pPr>
          </w:p>
        </w:tc>
        <w:tc>
          <w:tcPr>
            <w:tcW w:w="1069" w:type="dxa"/>
          </w:tcPr>
          <w:p w14:paraId="097566B7" w14:textId="00FEE787" w:rsidR="008F4D7B" w:rsidRPr="00E661B9" w:rsidRDefault="008F4D7B" w:rsidP="00041A05">
            <w:pPr>
              <w:rPr>
                <w:rFonts w:ascii="Arial" w:hAnsi="Arial" w:cs="Arial"/>
                <w:b/>
                <w:sz w:val="24"/>
                <w:szCs w:val="24"/>
              </w:rPr>
            </w:pPr>
            <w:r w:rsidRPr="00E661B9">
              <w:rPr>
                <w:rFonts w:ascii="Arial" w:hAnsi="Arial" w:cs="Arial"/>
                <w:b/>
                <w:sz w:val="24"/>
                <w:szCs w:val="24"/>
              </w:rPr>
              <w:t>1000</w:t>
            </w:r>
          </w:p>
        </w:tc>
        <w:tc>
          <w:tcPr>
            <w:tcW w:w="1066" w:type="dxa"/>
          </w:tcPr>
          <w:p w14:paraId="77F2378B" w14:textId="2CBE51DE" w:rsidR="008F4D7B" w:rsidRDefault="008F4D7B" w:rsidP="00041A05">
            <w:pPr>
              <w:rPr>
                <w:rFonts w:ascii="Arial" w:hAnsi="Arial" w:cs="Arial"/>
                <w:sz w:val="24"/>
                <w:szCs w:val="24"/>
              </w:rPr>
            </w:pPr>
            <w:r>
              <w:rPr>
                <w:rFonts w:ascii="Arial" w:hAnsi="Arial" w:cs="Arial"/>
                <w:sz w:val="24"/>
                <w:szCs w:val="24"/>
              </w:rPr>
              <w:t>130</w:t>
            </w:r>
          </w:p>
        </w:tc>
        <w:tc>
          <w:tcPr>
            <w:tcW w:w="1299" w:type="dxa"/>
          </w:tcPr>
          <w:p w14:paraId="2249D120" w14:textId="2DE47ACD" w:rsidR="008F4D7B" w:rsidRDefault="008F4D7B" w:rsidP="00041A05">
            <w:pPr>
              <w:rPr>
                <w:rFonts w:ascii="Arial" w:hAnsi="Arial" w:cs="Arial"/>
                <w:sz w:val="24"/>
                <w:szCs w:val="24"/>
              </w:rPr>
            </w:pPr>
            <w:r>
              <w:rPr>
                <w:rFonts w:ascii="Arial" w:hAnsi="Arial" w:cs="Arial"/>
                <w:sz w:val="24"/>
                <w:szCs w:val="24"/>
              </w:rPr>
              <w:t>191</w:t>
            </w:r>
          </w:p>
        </w:tc>
        <w:tc>
          <w:tcPr>
            <w:tcW w:w="1367" w:type="dxa"/>
          </w:tcPr>
          <w:p w14:paraId="04E87565" w14:textId="4F37E1F6" w:rsidR="008F4D7B" w:rsidRDefault="008F4D7B" w:rsidP="00041A05">
            <w:pPr>
              <w:rPr>
                <w:rFonts w:ascii="Arial" w:hAnsi="Arial" w:cs="Arial"/>
                <w:sz w:val="24"/>
                <w:szCs w:val="24"/>
              </w:rPr>
            </w:pPr>
            <w:r>
              <w:rPr>
                <w:rFonts w:ascii="Arial" w:hAnsi="Arial" w:cs="Arial"/>
                <w:sz w:val="24"/>
                <w:szCs w:val="24"/>
              </w:rPr>
              <w:t>310</w:t>
            </w:r>
          </w:p>
        </w:tc>
        <w:tc>
          <w:tcPr>
            <w:tcW w:w="1326" w:type="dxa"/>
            <w:shd w:val="clear" w:color="auto" w:fill="FF0000"/>
          </w:tcPr>
          <w:p w14:paraId="64EC6314" w14:textId="150A8A5C" w:rsidR="008F4D7B" w:rsidRPr="00E661B9" w:rsidRDefault="008F4D7B" w:rsidP="00041A05">
            <w:pPr>
              <w:rPr>
                <w:rFonts w:ascii="Arial" w:hAnsi="Arial" w:cs="Arial"/>
                <w:b/>
                <w:sz w:val="24"/>
                <w:szCs w:val="24"/>
              </w:rPr>
            </w:pPr>
            <w:r>
              <w:rPr>
                <w:rFonts w:ascii="Arial" w:hAnsi="Arial" w:cs="Arial"/>
                <w:b/>
                <w:sz w:val="24"/>
                <w:szCs w:val="24"/>
              </w:rPr>
              <w:t>**</w:t>
            </w:r>
            <w:r w:rsidR="0016348B">
              <w:rPr>
                <w:rFonts w:ascii="Arial" w:hAnsi="Arial" w:cs="Arial"/>
                <w:b/>
                <w:sz w:val="24"/>
                <w:szCs w:val="24"/>
              </w:rPr>
              <w:t>874</w:t>
            </w:r>
          </w:p>
        </w:tc>
        <w:tc>
          <w:tcPr>
            <w:tcW w:w="1403" w:type="dxa"/>
          </w:tcPr>
          <w:p w14:paraId="5BA1E9BB" w14:textId="6F36354B" w:rsidR="008F4D7B" w:rsidRDefault="008F4D7B" w:rsidP="00041A05">
            <w:pPr>
              <w:rPr>
                <w:rFonts w:ascii="Arial" w:hAnsi="Arial" w:cs="Arial"/>
                <w:sz w:val="24"/>
                <w:szCs w:val="24"/>
              </w:rPr>
            </w:pPr>
            <w:r>
              <w:rPr>
                <w:rFonts w:ascii="Arial" w:hAnsi="Arial" w:cs="Arial"/>
                <w:sz w:val="24"/>
                <w:szCs w:val="24"/>
              </w:rPr>
              <w:t>**</w:t>
            </w:r>
            <w:r w:rsidR="0016348B">
              <w:rPr>
                <w:rFonts w:ascii="Arial" w:hAnsi="Arial" w:cs="Arial"/>
                <w:sz w:val="24"/>
                <w:szCs w:val="24"/>
              </w:rPr>
              <w:t>5280</w:t>
            </w:r>
          </w:p>
        </w:tc>
      </w:tr>
    </w:tbl>
    <w:p w14:paraId="32927226" w14:textId="61A7497A" w:rsidR="00B93422" w:rsidRDefault="005D129D" w:rsidP="005D129D">
      <w:pPr>
        <w:rPr>
          <w:rFonts w:ascii="Arial" w:hAnsi="Arial" w:cs="Arial"/>
          <w:i/>
          <w:sz w:val="24"/>
          <w:szCs w:val="24"/>
        </w:rPr>
      </w:pPr>
      <w:r w:rsidRPr="00B70889">
        <w:rPr>
          <w:rFonts w:ascii="Arial" w:hAnsi="Arial" w:cs="Arial"/>
          <w:i/>
          <w:sz w:val="24"/>
          <w:szCs w:val="24"/>
        </w:rPr>
        <w:t>*</w:t>
      </w:r>
      <w:r w:rsidR="00DC01F3">
        <w:rPr>
          <w:rFonts w:ascii="Arial" w:hAnsi="Arial" w:cs="Arial"/>
          <w:i/>
          <w:sz w:val="24"/>
          <w:szCs w:val="24"/>
        </w:rPr>
        <w:t>Th</w:t>
      </w:r>
      <w:r w:rsidR="001627B5">
        <w:rPr>
          <w:rFonts w:ascii="Arial" w:hAnsi="Arial" w:cs="Arial"/>
          <w:i/>
          <w:sz w:val="24"/>
          <w:szCs w:val="24"/>
        </w:rPr>
        <w:t>e</w:t>
      </w:r>
      <w:r w:rsidR="00551CA6">
        <w:rPr>
          <w:rFonts w:ascii="Arial" w:hAnsi="Arial" w:cs="Arial"/>
          <w:i/>
          <w:sz w:val="24"/>
          <w:szCs w:val="24"/>
        </w:rPr>
        <w:t xml:space="preserve"> </w:t>
      </w:r>
      <w:r w:rsidR="00DC01F3">
        <w:rPr>
          <w:rFonts w:ascii="Arial" w:hAnsi="Arial" w:cs="Arial"/>
          <w:i/>
          <w:sz w:val="24"/>
          <w:szCs w:val="24"/>
        </w:rPr>
        <w:t xml:space="preserve">jobs </w:t>
      </w:r>
      <w:r w:rsidR="00551CA6">
        <w:rPr>
          <w:rFonts w:ascii="Arial" w:hAnsi="Arial" w:cs="Arial"/>
          <w:i/>
          <w:sz w:val="24"/>
          <w:szCs w:val="24"/>
        </w:rPr>
        <w:t>figure</w:t>
      </w:r>
      <w:r w:rsidR="00DC01F3">
        <w:rPr>
          <w:rFonts w:ascii="Arial" w:hAnsi="Arial" w:cs="Arial"/>
          <w:i/>
          <w:sz w:val="24"/>
          <w:szCs w:val="24"/>
        </w:rPr>
        <w:t>s</w:t>
      </w:r>
      <w:r w:rsidR="00551CA6">
        <w:rPr>
          <w:rFonts w:ascii="Arial" w:hAnsi="Arial" w:cs="Arial"/>
          <w:i/>
          <w:sz w:val="24"/>
          <w:szCs w:val="24"/>
        </w:rPr>
        <w:t xml:space="preserve"> assume the reclassification of</w:t>
      </w:r>
      <w:r w:rsidRPr="00B70889">
        <w:rPr>
          <w:rFonts w:ascii="Arial" w:hAnsi="Arial" w:cs="Arial"/>
          <w:i/>
          <w:sz w:val="24"/>
          <w:szCs w:val="24"/>
        </w:rPr>
        <w:t xml:space="preserve"> apprenticeships, see below</w:t>
      </w:r>
    </w:p>
    <w:p w14:paraId="0EA4DE2B" w14:textId="218772C8" w:rsidR="008F4D7B" w:rsidRPr="00B70889" w:rsidRDefault="00DC01F3" w:rsidP="005D129D">
      <w:pPr>
        <w:rPr>
          <w:rFonts w:ascii="Arial" w:hAnsi="Arial" w:cs="Arial"/>
          <w:i/>
          <w:sz w:val="24"/>
          <w:szCs w:val="24"/>
        </w:rPr>
      </w:pPr>
      <w:r>
        <w:rPr>
          <w:rFonts w:ascii="Arial" w:hAnsi="Arial" w:cs="Arial"/>
          <w:i/>
          <w:sz w:val="24"/>
          <w:szCs w:val="24"/>
        </w:rPr>
        <w:t>**</w:t>
      </w:r>
      <w:r w:rsidR="0016348B">
        <w:rPr>
          <w:rFonts w:ascii="Arial" w:hAnsi="Arial" w:cs="Arial"/>
          <w:i/>
          <w:sz w:val="24"/>
          <w:szCs w:val="24"/>
        </w:rPr>
        <w:t xml:space="preserve">These jobs/houses figures now include outputs from the SME scheme </w:t>
      </w:r>
      <w:r w:rsidR="005E416D" w:rsidRPr="0016348B">
        <w:rPr>
          <w:rFonts w:ascii="Arial" w:hAnsi="Arial" w:cs="Arial"/>
          <w:i/>
          <w:sz w:val="24"/>
          <w:szCs w:val="24"/>
        </w:rPr>
        <w:t>which was not previously reported on.</w:t>
      </w:r>
    </w:p>
    <w:p w14:paraId="1DE65F32" w14:textId="3213173F" w:rsidR="00BD3657" w:rsidRPr="00B70889" w:rsidRDefault="00B22631">
      <w:pPr>
        <w:rPr>
          <w:rFonts w:ascii="Arial" w:hAnsi="Arial" w:cs="Arial"/>
          <w:sz w:val="24"/>
          <w:szCs w:val="24"/>
        </w:rPr>
      </w:pPr>
      <w:r w:rsidRPr="00B70889">
        <w:rPr>
          <w:rFonts w:ascii="Arial" w:hAnsi="Arial" w:cs="Arial"/>
          <w:sz w:val="24"/>
          <w:szCs w:val="24"/>
        </w:rPr>
        <w:t>A scheme by scheme breakdown of the above figures is set out in Appendix A.</w:t>
      </w:r>
      <w:r w:rsidR="0088304C" w:rsidRPr="00B70889">
        <w:rPr>
          <w:rFonts w:ascii="Arial" w:hAnsi="Arial" w:cs="Arial"/>
          <w:sz w:val="24"/>
          <w:szCs w:val="24"/>
        </w:rPr>
        <w:t xml:space="preserve">  </w:t>
      </w:r>
      <w:r w:rsidR="00BD3657" w:rsidRPr="00B70889">
        <w:rPr>
          <w:rFonts w:ascii="Arial" w:hAnsi="Arial" w:cs="Arial"/>
          <w:sz w:val="24"/>
          <w:szCs w:val="24"/>
        </w:rPr>
        <w:t xml:space="preserve">It should be noted that </w:t>
      </w:r>
      <w:r w:rsidR="00C2213B" w:rsidRPr="00B70889">
        <w:rPr>
          <w:rFonts w:ascii="Arial" w:hAnsi="Arial" w:cs="Arial"/>
          <w:sz w:val="24"/>
          <w:szCs w:val="24"/>
        </w:rPr>
        <w:t xml:space="preserve">the </w:t>
      </w:r>
      <w:proofErr w:type="spellStart"/>
      <w:r w:rsidR="00BD3657" w:rsidRPr="00B70889">
        <w:rPr>
          <w:rFonts w:ascii="Arial" w:hAnsi="Arial" w:cs="Arial"/>
          <w:sz w:val="24"/>
          <w:szCs w:val="24"/>
        </w:rPr>
        <w:t>Churnet</w:t>
      </w:r>
      <w:proofErr w:type="spellEnd"/>
      <w:r w:rsidR="00BD3657" w:rsidRPr="00B70889">
        <w:rPr>
          <w:rFonts w:ascii="Arial" w:hAnsi="Arial" w:cs="Arial"/>
          <w:sz w:val="24"/>
          <w:szCs w:val="24"/>
        </w:rPr>
        <w:t xml:space="preserve"> Works scheme withdrew their funding application on 21/08/19</w:t>
      </w:r>
      <w:r w:rsidR="00EA5BFC" w:rsidRPr="00B70889">
        <w:rPr>
          <w:rFonts w:ascii="Arial" w:hAnsi="Arial" w:cs="Arial"/>
          <w:sz w:val="24"/>
          <w:szCs w:val="24"/>
        </w:rPr>
        <w:t>.</w:t>
      </w:r>
    </w:p>
    <w:p w14:paraId="4E8B8F7B" w14:textId="77777777" w:rsidR="007F4B15" w:rsidRPr="00B70889" w:rsidRDefault="007F4B15" w:rsidP="005D129D">
      <w:pPr>
        <w:rPr>
          <w:rFonts w:ascii="Arial" w:hAnsi="Arial" w:cs="Arial"/>
          <w:b/>
          <w:i/>
          <w:sz w:val="24"/>
          <w:szCs w:val="24"/>
        </w:rPr>
      </w:pPr>
    </w:p>
    <w:p w14:paraId="4F1174C9" w14:textId="65EBC64D" w:rsidR="005D129D" w:rsidRPr="00B70889" w:rsidRDefault="008F4D7B" w:rsidP="005D129D">
      <w:pPr>
        <w:rPr>
          <w:rFonts w:ascii="Arial" w:hAnsi="Arial" w:cs="Arial"/>
          <w:b/>
          <w:i/>
          <w:sz w:val="24"/>
          <w:szCs w:val="24"/>
        </w:rPr>
      </w:pPr>
      <w:r>
        <w:rPr>
          <w:rFonts w:ascii="Arial" w:hAnsi="Arial" w:cs="Arial"/>
          <w:b/>
          <w:i/>
          <w:sz w:val="24"/>
          <w:szCs w:val="24"/>
        </w:rPr>
        <w:lastRenderedPageBreak/>
        <w:t>*</w:t>
      </w:r>
      <w:r w:rsidR="005D129D" w:rsidRPr="00B70889">
        <w:rPr>
          <w:rFonts w:ascii="Arial" w:hAnsi="Arial" w:cs="Arial"/>
          <w:b/>
          <w:i/>
          <w:sz w:val="24"/>
          <w:szCs w:val="24"/>
        </w:rPr>
        <w:t>Apprenticeships</w:t>
      </w:r>
    </w:p>
    <w:p w14:paraId="6BBA2459" w14:textId="184949B0" w:rsidR="005D129D" w:rsidRPr="00B70889" w:rsidRDefault="005D129D" w:rsidP="00E661B9">
      <w:pPr>
        <w:spacing w:after="0" w:line="240" w:lineRule="auto"/>
        <w:rPr>
          <w:rFonts w:ascii="Arial" w:hAnsi="Arial" w:cs="Arial"/>
          <w:sz w:val="24"/>
          <w:szCs w:val="24"/>
        </w:rPr>
      </w:pPr>
      <w:bookmarkStart w:id="1" w:name="_Hlk18939329"/>
      <w:r w:rsidRPr="00B70889">
        <w:rPr>
          <w:rFonts w:ascii="Arial" w:hAnsi="Arial" w:cs="Arial"/>
          <w:sz w:val="24"/>
          <w:szCs w:val="24"/>
        </w:rPr>
        <w:t xml:space="preserve">SSLEP has </w:t>
      </w:r>
      <w:r w:rsidR="007F4B15" w:rsidRPr="00B70889">
        <w:rPr>
          <w:rFonts w:ascii="Arial" w:hAnsi="Arial" w:cs="Arial"/>
          <w:sz w:val="24"/>
          <w:szCs w:val="24"/>
        </w:rPr>
        <w:t xml:space="preserve">very </w:t>
      </w:r>
      <w:r w:rsidRPr="00B70889">
        <w:rPr>
          <w:rFonts w:ascii="Arial" w:hAnsi="Arial" w:cs="Arial"/>
          <w:sz w:val="24"/>
          <w:szCs w:val="24"/>
        </w:rPr>
        <w:t>recently been made aware that formal apprenticeships can be included in the BEIS LGF quarterly reporting return as part of the total figures for jobs</w:t>
      </w:r>
      <w:r w:rsidR="005A421B">
        <w:rPr>
          <w:rFonts w:ascii="Arial" w:hAnsi="Arial" w:cs="Arial"/>
          <w:sz w:val="24"/>
          <w:szCs w:val="24"/>
        </w:rPr>
        <w:t>.</w:t>
      </w:r>
      <w:r w:rsidRPr="00B70889">
        <w:rPr>
          <w:rFonts w:ascii="Arial" w:hAnsi="Arial" w:cs="Arial"/>
          <w:sz w:val="24"/>
          <w:szCs w:val="24"/>
        </w:rPr>
        <w:t xml:space="preserve">  Advice from BEIS is </w:t>
      </w:r>
      <w:r w:rsidR="007F4B15" w:rsidRPr="00B70889">
        <w:rPr>
          <w:rFonts w:ascii="Arial" w:hAnsi="Arial" w:cs="Arial"/>
          <w:sz w:val="24"/>
          <w:szCs w:val="24"/>
        </w:rPr>
        <w:t>that apprenticeships and jobs</w:t>
      </w:r>
      <w:r w:rsidRPr="00B70889">
        <w:rPr>
          <w:rFonts w:ascii="Arial" w:hAnsi="Arial" w:cs="Arial"/>
          <w:sz w:val="24"/>
          <w:szCs w:val="24"/>
        </w:rPr>
        <w:t xml:space="preserve"> figures are reported separately to BEIS to inform DfE figures but are then added together and the total figure is counted by BEIS towards the LGF jobs target/actuals.  This means that the figures for apprenticeships from the skills focused projects (which have historically been included in the “learners” skills reporting rather than separately as apprenticeships), could be re</w:t>
      </w:r>
      <w:r w:rsidR="005A421B">
        <w:rPr>
          <w:rFonts w:ascii="Arial" w:hAnsi="Arial" w:cs="Arial"/>
          <w:sz w:val="24"/>
          <w:szCs w:val="24"/>
        </w:rPr>
        <w:t>-</w:t>
      </w:r>
      <w:r w:rsidR="007F4B15" w:rsidRPr="00B70889">
        <w:rPr>
          <w:rFonts w:ascii="Arial" w:hAnsi="Arial" w:cs="Arial"/>
          <w:sz w:val="24"/>
          <w:szCs w:val="24"/>
        </w:rPr>
        <w:t>categorised</w:t>
      </w:r>
      <w:r w:rsidRPr="00B70889">
        <w:rPr>
          <w:rFonts w:ascii="Arial" w:hAnsi="Arial" w:cs="Arial"/>
          <w:sz w:val="24"/>
          <w:szCs w:val="24"/>
        </w:rPr>
        <w:t xml:space="preserve"> and </w:t>
      </w:r>
      <w:r w:rsidR="005A421B">
        <w:rPr>
          <w:rFonts w:ascii="Arial" w:hAnsi="Arial" w:cs="Arial"/>
          <w:sz w:val="24"/>
          <w:szCs w:val="24"/>
        </w:rPr>
        <w:t>go towards the</w:t>
      </w:r>
      <w:r w:rsidRPr="00B70889">
        <w:rPr>
          <w:rFonts w:ascii="Arial" w:hAnsi="Arial" w:cs="Arial"/>
          <w:sz w:val="24"/>
          <w:szCs w:val="24"/>
        </w:rPr>
        <w:t xml:space="preserve"> forecast jobs target</w:t>
      </w:r>
      <w:r w:rsidR="005E416D">
        <w:rPr>
          <w:rFonts w:ascii="Arial" w:hAnsi="Arial" w:cs="Arial"/>
          <w:sz w:val="24"/>
          <w:szCs w:val="24"/>
        </w:rPr>
        <w:t xml:space="preserve">, </w:t>
      </w:r>
    </w:p>
    <w:p w14:paraId="5BF31BC8" w14:textId="2820A535" w:rsidR="005D129D" w:rsidRPr="00B70889" w:rsidRDefault="005E416D" w:rsidP="00E661B9">
      <w:pPr>
        <w:spacing w:after="0" w:line="240" w:lineRule="auto"/>
        <w:rPr>
          <w:rFonts w:ascii="Arial" w:hAnsi="Arial" w:cs="Arial"/>
          <w:sz w:val="24"/>
          <w:szCs w:val="24"/>
        </w:rPr>
      </w:pPr>
      <w:r>
        <w:rPr>
          <w:rFonts w:ascii="Arial" w:hAnsi="Arial" w:cs="Arial"/>
          <w:sz w:val="24"/>
          <w:szCs w:val="24"/>
        </w:rPr>
        <w:t>a</w:t>
      </w:r>
      <w:r w:rsidR="005D129D" w:rsidRPr="00B70889">
        <w:rPr>
          <w:rFonts w:ascii="Arial" w:hAnsi="Arial" w:cs="Arial"/>
          <w:sz w:val="24"/>
          <w:szCs w:val="24"/>
        </w:rPr>
        <w:t>dd</w:t>
      </w:r>
      <w:r>
        <w:rPr>
          <w:rFonts w:ascii="Arial" w:hAnsi="Arial" w:cs="Arial"/>
          <w:sz w:val="24"/>
          <w:szCs w:val="24"/>
        </w:rPr>
        <w:t xml:space="preserve">ing </w:t>
      </w:r>
      <w:r w:rsidR="005D129D" w:rsidRPr="00B70889">
        <w:rPr>
          <w:rFonts w:ascii="Arial" w:hAnsi="Arial" w:cs="Arial"/>
          <w:sz w:val="24"/>
          <w:szCs w:val="24"/>
        </w:rPr>
        <w:t xml:space="preserve">a total of </w:t>
      </w:r>
      <w:r w:rsidR="005D129D" w:rsidRPr="00B70889">
        <w:rPr>
          <w:rFonts w:ascii="Arial" w:hAnsi="Arial" w:cs="Arial"/>
          <w:b/>
          <w:sz w:val="24"/>
          <w:szCs w:val="24"/>
        </w:rPr>
        <w:t>1,211</w:t>
      </w:r>
      <w:r w:rsidR="005D129D" w:rsidRPr="00B70889">
        <w:rPr>
          <w:rFonts w:ascii="Arial" w:hAnsi="Arial" w:cs="Arial"/>
          <w:sz w:val="24"/>
          <w:szCs w:val="24"/>
        </w:rPr>
        <w:t xml:space="preserve"> to the jobs forecast</w:t>
      </w:r>
      <w:r>
        <w:rPr>
          <w:rFonts w:ascii="Arial" w:hAnsi="Arial" w:cs="Arial"/>
          <w:sz w:val="24"/>
          <w:szCs w:val="24"/>
        </w:rPr>
        <w:t xml:space="preserve"> and </w:t>
      </w:r>
      <w:r w:rsidR="005D129D" w:rsidRPr="00B70889">
        <w:rPr>
          <w:rFonts w:ascii="Arial" w:hAnsi="Arial" w:cs="Arial"/>
          <w:sz w:val="24"/>
          <w:szCs w:val="24"/>
        </w:rPr>
        <w:t xml:space="preserve">alleviating </w:t>
      </w:r>
      <w:r>
        <w:rPr>
          <w:rFonts w:ascii="Arial" w:hAnsi="Arial" w:cs="Arial"/>
          <w:sz w:val="24"/>
          <w:szCs w:val="24"/>
        </w:rPr>
        <w:t>any</w:t>
      </w:r>
      <w:r w:rsidR="005D129D" w:rsidRPr="00B70889">
        <w:rPr>
          <w:rFonts w:ascii="Arial" w:hAnsi="Arial" w:cs="Arial"/>
          <w:sz w:val="24"/>
          <w:szCs w:val="24"/>
        </w:rPr>
        <w:t xml:space="preserve"> </w:t>
      </w:r>
      <w:r w:rsidR="005A421B">
        <w:rPr>
          <w:rFonts w:ascii="Arial" w:hAnsi="Arial" w:cs="Arial"/>
          <w:sz w:val="24"/>
          <w:szCs w:val="24"/>
        </w:rPr>
        <w:t xml:space="preserve">potential </w:t>
      </w:r>
      <w:r w:rsidR="005D129D" w:rsidRPr="00B70889">
        <w:rPr>
          <w:rFonts w:ascii="Arial" w:hAnsi="Arial" w:cs="Arial"/>
          <w:sz w:val="24"/>
          <w:szCs w:val="24"/>
        </w:rPr>
        <w:t xml:space="preserve">shortfall against </w:t>
      </w:r>
      <w:r w:rsidR="005A421B">
        <w:rPr>
          <w:rFonts w:ascii="Arial" w:hAnsi="Arial" w:cs="Arial"/>
          <w:sz w:val="24"/>
          <w:szCs w:val="24"/>
        </w:rPr>
        <w:t xml:space="preserve">the </w:t>
      </w:r>
      <w:r w:rsidR="005D129D" w:rsidRPr="00B70889">
        <w:rPr>
          <w:rFonts w:ascii="Arial" w:hAnsi="Arial" w:cs="Arial"/>
          <w:sz w:val="24"/>
          <w:szCs w:val="24"/>
        </w:rPr>
        <w:t>target for jobs.</w:t>
      </w:r>
      <w:r w:rsidR="00551CA6">
        <w:rPr>
          <w:rFonts w:ascii="Arial" w:hAnsi="Arial" w:cs="Arial"/>
          <w:sz w:val="24"/>
          <w:szCs w:val="24"/>
        </w:rPr>
        <w:t xml:space="preserve">  </w:t>
      </w:r>
    </w:p>
    <w:p w14:paraId="16476838" w14:textId="076EB86D" w:rsidR="000A34C1" w:rsidRPr="00B70889" w:rsidRDefault="005D129D" w:rsidP="005D129D">
      <w:pPr>
        <w:rPr>
          <w:rFonts w:ascii="Arial" w:hAnsi="Arial" w:cs="Arial"/>
          <w:sz w:val="24"/>
          <w:szCs w:val="24"/>
        </w:rPr>
      </w:pPr>
      <w:r w:rsidRPr="00B70889">
        <w:rPr>
          <w:rFonts w:ascii="Arial" w:hAnsi="Arial" w:cs="Arial"/>
          <w:i/>
          <w:sz w:val="24"/>
          <w:szCs w:val="24"/>
        </w:rPr>
        <w:t xml:space="preserve">Note: </w:t>
      </w:r>
      <w:r w:rsidRPr="00B70889">
        <w:rPr>
          <w:rFonts w:ascii="Arial" w:hAnsi="Arial" w:cs="Arial"/>
          <w:sz w:val="24"/>
          <w:szCs w:val="24"/>
        </w:rPr>
        <w:t xml:space="preserve">This will require amendment, </w:t>
      </w:r>
      <w:r w:rsidR="007F4B15" w:rsidRPr="00B70889">
        <w:rPr>
          <w:rFonts w:ascii="Arial" w:hAnsi="Arial" w:cs="Arial"/>
          <w:sz w:val="24"/>
          <w:szCs w:val="24"/>
        </w:rPr>
        <w:t>re</w:t>
      </w:r>
      <w:r w:rsidR="005A421B">
        <w:rPr>
          <w:rFonts w:ascii="Arial" w:hAnsi="Arial" w:cs="Arial"/>
          <w:sz w:val="24"/>
          <w:szCs w:val="24"/>
        </w:rPr>
        <w:t>-</w:t>
      </w:r>
      <w:r w:rsidR="007F4B15" w:rsidRPr="00B70889">
        <w:rPr>
          <w:rFonts w:ascii="Arial" w:hAnsi="Arial" w:cs="Arial"/>
          <w:sz w:val="24"/>
          <w:szCs w:val="24"/>
        </w:rPr>
        <w:t xml:space="preserve">categorization </w:t>
      </w:r>
      <w:r w:rsidRPr="00B70889">
        <w:rPr>
          <w:rFonts w:ascii="Arial" w:hAnsi="Arial" w:cs="Arial"/>
          <w:sz w:val="24"/>
          <w:szCs w:val="24"/>
        </w:rPr>
        <w:t>and updating of historical data; BEIS LGF data colleagues have advised re</w:t>
      </w:r>
      <w:r w:rsidR="005E416D">
        <w:rPr>
          <w:rFonts w:ascii="Arial" w:hAnsi="Arial" w:cs="Arial"/>
          <w:sz w:val="24"/>
          <w:szCs w:val="24"/>
        </w:rPr>
        <w:t>garding</w:t>
      </w:r>
      <w:r w:rsidRPr="00B70889">
        <w:rPr>
          <w:rFonts w:ascii="Arial" w:hAnsi="Arial" w:cs="Arial"/>
          <w:sz w:val="24"/>
          <w:szCs w:val="24"/>
        </w:rPr>
        <w:t xml:space="preserve"> the process that we would need to follow and work is taking place to progress this. The Partnership Manager and S151 Officer will sign off the changes to be requested. This will then bring SSLEP reporting in line with other LEPs</w:t>
      </w:r>
      <w:r w:rsidR="005E416D">
        <w:rPr>
          <w:rFonts w:ascii="Arial" w:hAnsi="Arial" w:cs="Arial"/>
          <w:sz w:val="24"/>
          <w:szCs w:val="24"/>
        </w:rPr>
        <w:t xml:space="preserve"> and </w:t>
      </w:r>
      <w:r w:rsidR="000A34C1" w:rsidRPr="00B70889">
        <w:rPr>
          <w:rFonts w:ascii="Arial" w:hAnsi="Arial" w:cs="Arial"/>
          <w:sz w:val="24"/>
          <w:szCs w:val="24"/>
        </w:rPr>
        <w:t xml:space="preserve">would have a significant positive impact on the jobs forecast/count against target. </w:t>
      </w:r>
    </w:p>
    <w:p w14:paraId="5721B05B" w14:textId="0D07EEAF" w:rsidR="005D129D" w:rsidRPr="00B70889" w:rsidRDefault="005D129D" w:rsidP="005D129D">
      <w:pPr>
        <w:rPr>
          <w:rFonts w:ascii="Arial" w:hAnsi="Arial" w:cs="Arial"/>
          <w:sz w:val="24"/>
          <w:szCs w:val="24"/>
        </w:rPr>
      </w:pPr>
      <w:r w:rsidRPr="00B70889">
        <w:rPr>
          <w:rFonts w:ascii="Arial" w:hAnsi="Arial" w:cs="Arial"/>
          <w:sz w:val="24"/>
          <w:szCs w:val="24"/>
        </w:rPr>
        <w:t xml:space="preserve">Amendment of historical data </w:t>
      </w:r>
      <w:r w:rsidR="005E416D">
        <w:rPr>
          <w:rFonts w:ascii="Arial" w:hAnsi="Arial" w:cs="Arial"/>
          <w:sz w:val="24"/>
          <w:szCs w:val="24"/>
        </w:rPr>
        <w:t>c</w:t>
      </w:r>
      <w:r w:rsidRPr="00B70889">
        <w:rPr>
          <w:rFonts w:ascii="Arial" w:hAnsi="Arial" w:cs="Arial"/>
          <w:sz w:val="24"/>
          <w:szCs w:val="24"/>
        </w:rPr>
        <w:t>ould however have a negative impact on Skills figures (learners) reported to date.</w:t>
      </w:r>
    </w:p>
    <w:bookmarkEnd w:id="1"/>
    <w:p w14:paraId="78F0F5C5" w14:textId="2A5C8B82" w:rsidR="005D129D" w:rsidRPr="00B70889" w:rsidRDefault="005D129D">
      <w:pPr>
        <w:rPr>
          <w:rFonts w:ascii="Arial" w:hAnsi="Arial" w:cs="Arial"/>
          <w:sz w:val="24"/>
          <w:szCs w:val="24"/>
        </w:rPr>
      </w:pPr>
    </w:p>
    <w:p w14:paraId="5780E230" w14:textId="491EF0E9" w:rsidR="005C4D05" w:rsidRPr="00B70889" w:rsidRDefault="005C4D05" w:rsidP="005C4D05">
      <w:pPr>
        <w:rPr>
          <w:rFonts w:ascii="Arial" w:hAnsi="Arial" w:cs="Arial"/>
          <w:b/>
          <w:sz w:val="24"/>
          <w:szCs w:val="24"/>
        </w:rPr>
      </w:pPr>
      <w:r w:rsidRPr="00B70889">
        <w:rPr>
          <w:rFonts w:ascii="Arial" w:hAnsi="Arial" w:cs="Arial"/>
          <w:b/>
          <w:sz w:val="24"/>
          <w:szCs w:val="24"/>
        </w:rPr>
        <w:t xml:space="preserve">It is currently predicted that the SSLEP will fail to meet its formal March 2021 targets on houses </w:t>
      </w:r>
      <w:r w:rsidR="005A421B">
        <w:rPr>
          <w:rFonts w:ascii="Arial" w:hAnsi="Arial" w:cs="Arial"/>
          <w:b/>
          <w:sz w:val="24"/>
          <w:szCs w:val="24"/>
        </w:rPr>
        <w:t>by an estimated 126.</w:t>
      </w:r>
    </w:p>
    <w:p w14:paraId="0672223F" w14:textId="0F784613" w:rsidR="005C4D05" w:rsidRPr="00B70889" w:rsidRDefault="005C4D05" w:rsidP="005C4D05">
      <w:pPr>
        <w:rPr>
          <w:rFonts w:ascii="Arial" w:hAnsi="Arial" w:cs="Arial"/>
          <w:b/>
          <w:sz w:val="24"/>
          <w:szCs w:val="24"/>
        </w:rPr>
      </w:pPr>
      <w:r w:rsidRPr="00B70889">
        <w:rPr>
          <w:rFonts w:ascii="Arial" w:hAnsi="Arial" w:cs="Arial"/>
          <w:sz w:val="24"/>
          <w:szCs w:val="24"/>
        </w:rPr>
        <w:t>Whilst this position has been reported on an on-going basis to PAG, and some mitigating actions have been taken i.e. allocation of funding for new schemes has focussed on delivery of these targets, the current position is that there is little scope to accelerate output delivery on existing schemes, and timeframes are relatively short. PAG recommended that this is formally recorded on the SSLEP risk register and reported to the Executive Board</w:t>
      </w:r>
      <w:r w:rsidRPr="00B70889">
        <w:rPr>
          <w:rFonts w:ascii="Arial" w:hAnsi="Arial" w:cs="Arial"/>
          <w:b/>
          <w:sz w:val="24"/>
          <w:szCs w:val="24"/>
        </w:rPr>
        <w:t>.</w:t>
      </w:r>
    </w:p>
    <w:p w14:paraId="3B60D185" w14:textId="77777777" w:rsidR="007F4B15" w:rsidRPr="00B70889" w:rsidRDefault="007F4B15">
      <w:pPr>
        <w:rPr>
          <w:rFonts w:ascii="Arial" w:hAnsi="Arial" w:cs="Arial"/>
          <w:sz w:val="24"/>
          <w:szCs w:val="24"/>
        </w:rPr>
      </w:pPr>
    </w:p>
    <w:p w14:paraId="12A0ED01" w14:textId="77777777" w:rsidR="00B93422" w:rsidRPr="00B70889" w:rsidRDefault="003C76D5">
      <w:pPr>
        <w:rPr>
          <w:rFonts w:ascii="Arial" w:hAnsi="Arial" w:cs="Arial"/>
          <w:b/>
          <w:i/>
          <w:sz w:val="24"/>
          <w:szCs w:val="24"/>
        </w:rPr>
      </w:pPr>
      <w:r w:rsidRPr="00B70889">
        <w:rPr>
          <w:rFonts w:ascii="Arial" w:hAnsi="Arial" w:cs="Arial"/>
          <w:b/>
          <w:i/>
          <w:sz w:val="24"/>
          <w:szCs w:val="24"/>
        </w:rPr>
        <w:t>How accurate are the figures?</w:t>
      </w:r>
    </w:p>
    <w:p w14:paraId="42B0FEC1" w14:textId="070E02AF" w:rsidR="00575216" w:rsidRDefault="003C76D5">
      <w:pPr>
        <w:rPr>
          <w:rFonts w:ascii="Arial" w:hAnsi="Arial" w:cs="Arial"/>
          <w:sz w:val="24"/>
          <w:szCs w:val="24"/>
        </w:rPr>
      </w:pPr>
      <w:r w:rsidRPr="00B70889">
        <w:rPr>
          <w:rFonts w:ascii="Arial" w:hAnsi="Arial" w:cs="Arial"/>
          <w:sz w:val="24"/>
          <w:szCs w:val="24"/>
        </w:rPr>
        <w:t>The forecast figures are collated from information provided by the grant recipients, who are contacted on a quarterly basis and requested to provide updated figures.</w:t>
      </w:r>
      <w:r w:rsidR="003B6CE1" w:rsidRPr="00B70889">
        <w:rPr>
          <w:rFonts w:ascii="Arial" w:hAnsi="Arial" w:cs="Arial"/>
          <w:sz w:val="24"/>
          <w:szCs w:val="24"/>
        </w:rPr>
        <w:t xml:space="preserve"> To date the reporting focus has rested on expenditure and attention is now being refocussed upon outputs.</w:t>
      </w:r>
      <w:r w:rsidRPr="00B70889">
        <w:rPr>
          <w:rFonts w:ascii="Arial" w:hAnsi="Arial" w:cs="Arial"/>
          <w:sz w:val="24"/>
          <w:szCs w:val="24"/>
        </w:rPr>
        <w:t xml:space="preserve"> </w:t>
      </w:r>
      <w:r w:rsidR="003B6CE1" w:rsidRPr="00B70889">
        <w:rPr>
          <w:rFonts w:ascii="Arial" w:hAnsi="Arial" w:cs="Arial"/>
          <w:sz w:val="24"/>
          <w:szCs w:val="24"/>
        </w:rPr>
        <w:t>L</w:t>
      </w:r>
      <w:r w:rsidRPr="00B70889">
        <w:rPr>
          <w:rFonts w:ascii="Arial" w:hAnsi="Arial" w:cs="Arial"/>
          <w:sz w:val="24"/>
          <w:szCs w:val="24"/>
        </w:rPr>
        <w:t xml:space="preserve">ittle due diligence </w:t>
      </w:r>
      <w:r w:rsidR="003B6CE1" w:rsidRPr="00B70889">
        <w:rPr>
          <w:rFonts w:ascii="Arial" w:hAnsi="Arial" w:cs="Arial"/>
          <w:sz w:val="24"/>
          <w:szCs w:val="24"/>
        </w:rPr>
        <w:t>has previously been undertaken by the SSLEP secretariat or the project promoters on th</w:t>
      </w:r>
      <w:r w:rsidRPr="00B70889">
        <w:rPr>
          <w:rFonts w:ascii="Arial" w:hAnsi="Arial" w:cs="Arial"/>
          <w:sz w:val="24"/>
          <w:szCs w:val="24"/>
        </w:rPr>
        <w:t>e forecast figures provided</w:t>
      </w:r>
      <w:r w:rsidR="003B6CE1" w:rsidRPr="00B70889">
        <w:rPr>
          <w:rFonts w:ascii="Arial" w:hAnsi="Arial" w:cs="Arial"/>
          <w:sz w:val="24"/>
          <w:szCs w:val="24"/>
        </w:rPr>
        <w:t>.</w:t>
      </w:r>
      <w:r w:rsidRPr="00B70889">
        <w:rPr>
          <w:rFonts w:ascii="Arial" w:hAnsi="Arial" w:cs="Arial"/>
          <w:color w:val="FF0000"/>
          <w:sz w:val="24"/>
          <w:szCs w:val="24"/>
        </w:rPr>
        <w:t xml:space="preserve"> </w:t>
      </w:r>
      <w:r w:rsidR="003B6CE1" w:rsidRPr="00B70889">
        <w:rPr>
          <w:rFonts w:ascii="Arial" w:hAnsi="Arial" w:cs="Arial"/>
          <w:sz w:val="24"/>
          <w:szCs w:val="24"/>
        </w:rPr>
        <w:t>H</w:t>
      </w:r>
      <w:r w:rsidRPr="00B70889">
        <w:rPr>
          <w:rFonts w:ascii="Arial" w:hAnsi="Arial" w:cs="Arial"/>
          <w:sz w:val="24"/>
          <w:szCs w:val="24"/>
        </w:rPr>
        <w:t>owever</w:t>
      </w:r>
      <w:r w:rsidR="003B6CE1" w:rsidRPr="00B70889">
        <w:rPr>
          <w:rFonts w:ascii="Arial" w:hAnsi="Arial" w:cs="Arial"/>
          <w:sz w:val="24"/>
          <w:szCs w:val="24"/>
        </w:rPr>
        <w:t>,</w:t>
      </w:r>
      <w:r w:rsidRPr="00B70889">
        <w:rPr>
          <w:rFonts w:ascii="Arial" w:hAnsi="Arial" w:cs="Arial"/>
          <w:sz w:val="24"/>
          <w:szCs w:val="24"/>
        </w:rPr>
        <w:t xml:space="preserve"> it is proposed that a more detailed review be undertaken at the next quarterly collection deadline, and grant recipients are requested to provide more detail</w:t>
      </w:r>
      <w:r w:rsidR="00575216" w:rsidRPr="00B70889">
        <w:rPr>
          <w:rFonts w:ascii="Arial" w:hAnsi="Arial" w:cs="Arial"/>
          <w:sz w:val="24"/>
          <w:szCs w:val="24"/>
        </w:rPr>
        <w:t xml:space="preserve"> on their estimates e.g. relevant working papers / key assumptions / and</w:t>
      </w:r>
      <w:r w:rsidR="00575216">
        <w:rPr>
          <w:rFonts w:ascii="Arial" w:hAnsi="Arial" w:cs="Arial"/>
          <w:sz w:val="24"/>
          <w:szCs w:val="24"/>
        </w:rPr>
        <w:t xml:space="preserve"> potentially the level of risk around the figure they quote.</w:t>
      </w:r>
      <w:r w:rsidR="003B6CE1">
        <w:rPr>
          <w:rFonts w:ascii="Arial" w:hAnsi="Arial" w:cs="Arial"/>
          <w:sz w:val="24"/>
          <w:szCs w:val="24"/>
        </w:rPr>
        <w:t xml:space="preserve"> Work has already begun on this and all project promoters will need to ensure that they meet their obligations in providing the government required output evidence.</w:t>
      </w:r>
    </w:p>
    <w:p w14:paraId="45D6D385" w14:textId="14250A31" w:rsidR="008F4D7B" w:rsidRDefault="00575216" w:rsidP="008F4D7B">
      <w:pPr>
        <w:rPr>
          <w:rFonts w:ascii="Arial" w:hAnsi="Arial" w:cs="Arial"/>
          <w:sz w:val="24"/>
          <w:szCs w:val="24"/>
        </w:rPr>
      </w:pPr>
      <w:r>
        <w:rPr>
          <w:rFonts w:ascii="Arial" w:hAnsi="Arial" w:cs="Arial"/>
          <w:sz w:val="24"/>
          <w:szCs w:val="24"/>
        </w:rPr>
        <w:lastRenderedPageBreak/>
        <w:t>The LEP network has produced some best practice guidance on output monitoring</w:t>
      </w:r>
      <w:r w:rsidR="005E416D">
        <w:rPr>
          <w:rFonts w:ascii="Arial" w:hAnsi="Arial" w:cs="Arial"/>
          <w:sz w:val="24"/>
          <w:szCs w:val="24"/>
        </w:rPr>
        <w:t>. It</w:t>
      </w:r>
      <w:r w:rsidR="00A1526B">
        <w:rPr>
          <w:rFonts w:ascii="Arial" w:hAnsi="Arial" w:cs="Arial"/>
          <w:sz w:val="24"/>
          <w:szCs w:val="24"/>
        </w:rPr>
        <w:t xml:space="preserve"> </w:t>
      </w:r>
      <w:r>
        <w:rPr>
          <w:rFonts w:ascii="Arial" w:hAnsi="Arial" w:cs="Arial"/>
          <w:sz w:val="24"/>
          <w:szCs w:val="24"/>
        </w:rPr>
        <w:t>is proposed that this is utilised to determine the type of evidence requested from grant recipients.</w:t>
      </w:r>
      <w:r w:rsidR="003C76D5">
        <w:rPr>
          <w:rFonts w:ascii="Arial" w:hAnsi="Arial" w:cs="Arial"/>
          <w:sz w:val="24"/>
          <w:szCs w:val="24"/>
        </w:rPr>
        <w:t xml:space="preserve"> </w:t>
      </w:r>
      <w:r w:rsidR="008F4D7B">
        <w:rPr>
          <w:rFonts w:ascii="Arial" w:hAnsi="Arial" w:cs="Arial"/>
          <w:sz w:val="24"/>
          <w:szCs w:val="24"/>
        </w:rPr>
        <w:t xml:space="preserve">  </w:t>
      </w:r>
    </w:p>
    <w:p w14:paraId="6C04B19F" w14:textId="5D4CD26A" w:rsidR="005A421B" w:rsidRDefault="005A421B" w:rsidP="008F4D7B">
      <w:pPr>
        <w:rPr>
          <w:rFonts w:ascii="Arial" w:hAnsi="Arial" w:cs="Arial"/>
          <w:sz w:val="24"/>
          <w:szCs w:val="24"/>
        </w:rPr>
      </w:pPr>
      <w:r>
        <w:rPr>
          <w:rFonts w:ascii="Arial" w:hAnsi="Arial" w:cs="Arial"/>
          <w:sz w:val="24"/>
          <w:szCs w:val="24"/>
        </w:rPr>
        <w:t>Following this detailed review as at the end of quarter 2, a further update will be provided to the Board.</w:t>
      </w:r>
    </w:p>
    <w:p w14:paraId="685A8AB3" w14:textId="672CA315" w:rsidR="00633390" w:rsidRDefault="00633390">
      <w:pPr>
        <w:rPr>
          <w:rFonts w:ascii="Arial" w:hAnsi="Arial" w:cs="Arial"/>
          <w:sz w:val="24"/>
          <w:szCs w:val="24"/>
        </w:rPr>
      </w:pPr>
    </w:p>
    <w:p w14:paraId="63FFC7CC" w14:textId="77777777" w:rsidR="001B5225" w:rsidRPr="00FD6D10" w:rsidRDefault="001B5225">
      <w:pPr>
        <w:rPr>
          <w:rFonts w:ascii="Arial" w:hAnsi="Arial" w:cs="Arial"/>
          <w:b/>
          <w:i/>
          <w:sz w:val="24"/>
          <w:szCs w:val="24"/>
        </w:rPr>
      </w:pPr>
      <w:r w:rsidRPr="00FD6D10">
        <w:rPr>
          <w:rFonts w:ascii="Arial" w:hAnsi="Arial" w:cs="Arial"/>
          <w:b/>
          <w:i/>
          <w:sz w:val="24"/>
          <w:szCs w:val="24"/>
        </w:rPr>
        <w:t>Penalties for Non delivery</w:t>
      </w:r>
    </w:p>
    <w:p w14:paraId="66A0D8D0" w14:textId="77777777" w:rsidR="00091DB6" w:rsidRDefault="00091DB6">
      <w:pPr>
        <w:rPr>
          <w:rFonts w:ascii="Arial" w:hAnsi="Arial" w:cs="Arial"/>
          <w:sz w:val="24"/>
          <w:szCs w:val="24"/>
        </w:rPr>
      </w:pPr>
      <w:r>
        <w:rPr>
          <w:rFonts w:ascii="Arial" w:hAnsi="Arial" w:cs="Arial"/>
          <w:sz w:val="24"/>
          <w:szCs w:val="24"/>
        </w:rPr>
        <w:t>There are no specific penalties (e.g. a requirement to repay growth deal grant) in place where LEP’s fail to deliver the original agreed targets within the timeframe of March 2021.</w:t>
      </w:r>
    </w:p>
    <w:p w14:paraId="43AA9F7E" w14:textId="0811E79B" w:rsidR="00091DB6" w:rsidRDefault="00091DB6">
      <w:pPr>
        <w:rPr>
          <w:rFonts w:ascii="Arial" w:hAnsi="Arial" w:cs="Arial"/>
          <w:sz w:val="24"/>
          <w:szCs w:val="24"/>
        </w:rPr>
      </w:pPr>
      <w:r>
        <w:rPr>
          <w:rFonts w:ascii="Arial" w:hAnsi="Arial" w:cs="Arial"/>
          <w:sz w:val="24"/>
          <w:szCs w:val="24"/>
        </w:rPr>
        <w:t>However, there are clearly reputational issues for SSLEP</w:t>
      </w:r>
      <w:r w:rsidR="003B6CE1">
        <w:rPr>
          <w:rFonts w:ascii="Arial" w:hAnsi="Arial" w:cs="Arial"/>
          <w:sz w:val="24"/>
          <w:szCs w:val="24"/>
        </w:rPr>
        <w:t xml:space="preserve"> partners and individual project promoters</w:t>
      </w:r>
      <w:r w:rsidR="005A421B">
        <w:rPr>
          <w:rFonts w:ascii="Arial" w:hAnsi="Arial" w:cs="Arial"/>
          <w:sz w:val="24"/>
          <w:szCs w:val="24"/>
        </w:rPr>
        <w:t>’</w:t>
      </w:r>
      <w:r>
        <w:rPr>
          <w:rFonts w:ascii="Arial" w:hAnsi="Arial" w:cs="Arial"/>
          <w:sz w:val="24"/>
          <w:szCs w:val="24"/>
        </w:rPr>
        <w:t xml:space="preserve"> and it is possible that the non-delivery of outputs</w:t>
      </w:r>
      <w:r w:rsidR="00BB2B44">
        <w:rPr>
          <w:rFonts w:ascii="Arial" w:hAnsi="Arial" w:cs="Arial"/>
          <w:sz w:val="24"/>
          <w:szCs w:val="24"/>
        </w:rPr>
        <w:t xml:space="preserve"> or failure to spend within timescale </w:t>
      </w:r>
      <w:r>
        <w:rPr>
          <w:rFonts w:ascii="Arial" w:hAnsi="Arial" w:cs="Arial"/>
          <w:sz w:val="24"/>
          <w:szCs w:val="24"/>
        </w:rPr>
        <w:t>may result in less favourable allocations from future funding streams e.g. UK Shared Prosperity Fund.</w:t>
      </w:r>
      <w:r w:rsidR="00DF4F64">
        <w:rPr>
          <w:rFonts w:ascii="Arial" w:hAnsi="Arial" w:cs="Arial"/>
          <w:sz w:val="24"/>
          <w:szCs w:val="24"/>
        </w:rPr>
        <w:t xml:space="preserve"> </w:t>
      </w:r>
    </w:p>
    <w:p w14:paraId="03B58F40" w14:textId="77777777" w:rsidR="001B5225" w:rsidRDefault="001B5225">
      <w:pPr>
        <w:rPr>
          <w:rFonts w:ascii="Arial" w:hAnsi="Arial" w:cs="Arial"/>
          <w:sz w:val="24"/>
          <w:szCs w:val="24"/>
        </w:rPr>
      </w:pPr>
    </w:p>
    <w:p w14:paraId="674541FF" w14:textId="77777777" w:rsidR="00E745C8" w:rsidRPr="00FD6D10" w:rsidRDefault="00E745C8">
      <w:pPr>
        <w:rPr>
          <w:rFonts w:ascii="Arial" w:hAnsi="Arial" w:cs="Arial"/>
          <w:b/>
          <w:i/>
          <w:sz w:val="24"/>
          <w:szCs w:val="24"/>
        </w:rPr>
      </w:pPr>
      <w:r w:rsidRPr="00FD6D10">
        <w:rPr>
          <w:rFonts w:ascii="Arial" w:hAnsi="Arial" w:cs="Arial"/>
          <w:b/>
          <w:i/>
          <w:sz w:val="24"/>
          <w:szCs w:val="24"/>
        </w:rPr>
        <w:t>Other Targets</w:t>
      </w:r>
    </w:p>
    <w:p w14:paraId="6701B2DE" w14:textId="77777777" w:rsidR="00E745C8" w:rsidRPr="00575216" w:rsidRDefault="00E745C8">
      <w:pPr>
        <w:rPr>
          <w:rFonts w:ascii="Arial" w:hAnsi="Arial" w:cs="Arial"/>
          <w:i/>
          <w:sz w:val="24"/>
          <w:szCs w:val="24"/>
        </w:rPr>
      </w:pPr>
      <w:r w:rsidRPr="00575216">
        <w:rPr>
          <w:rFonts w:ascii="Arial" w:hAnsi="Arial" w:cs="Arial"/>
          <w:i/>
          <w:sz w:val="24"/>
          <w:szCs w:val="24"/>
        </w:rPr>
        <w:t>Finance</w:t>
      </w:r>
    </w:p>
    <w:p w14:paraId="4737E9AE" w14:textId="1592FF99" w:rsidR="00E745C8" w:rsidRDefault="00E745C8">
      <w:pPr>
        <w:rPr>
          <w:rFonts w:ascii="Arial" w:hAnsi="Arial" w:cs="Arial"/>
          <w:sz w:val="24"/>
          <w:szCs w:val="24"/>
        </w:rPr>
      </w:pPr>
      <w:r>
        <w:rPr>
          <w:rFonts w:ascii="Arial" w:hAnsi="Arial" w:cs="Arial"/>
          <w:sz w:val="24"/>
          <w:szCs w:val="24"/>
        </w:rPr>
        <w:t xml:space="preserve">In addition to the housing and </w:t>
      </w:r>
      <w:r w:rsidR="005E416D">
        <w:rPr>
          <w:rFonts w:ascii="Arial" w:hAnsi="Arial" w:cs="Arial"/>
          <w:sz w:val="24"/>
          <w:szCs w:val="24"/>
        </w:rPr>
        <w:t>j</w:t>
      </w:r>
      <w:r>
        <w:rPr>
          <w:rFonts w:ascii="Arial" w:hAnsi="Arial" w:cs="Arial"/>
          <w:sz w:val="24"/>
          <w:szCs w:val="24"/>
        </w:rPr>
        <w:t>obs set out above, there is a target to ensure all grant deal monies are spent by March 2021.</w:t>
      </w:r>
    </w:p>
    <w:p w14:paraId="38217E05" w14:textId="585D6869" w:rsidR="000A34C1" w:rsidRPr="00B70889" w:rsidRDefault="00575216">
      <w:pPr>
        <w:rPr>
          <w:rFonts w:ascii="Arial" w:hAnsi="Arial" w:cs="Arial"/>
          <w:sz w:val="24"/>
          <w:szCs w:val="24"/>
        </w:rPr>
      </w:pPr>
      <w:r w:rsidRPr="00B70889">
        <w:rPr>
          <w:rFonts w:ascii="Arial" w:hAnsi="Arial" w:cs="Arial"/>
          <w:sz w:val="24"/>
          <w:szCs w:val="24"/>
        </w:rPr>
        <w:t xml:space="preserve">The latest forecast profile of spend is attached at Appendix </w:t>
      </w:r>
      <w:r w:rsidR="009D541D">
        <w:rPr>
          <w:rFonts w:ascii="Arial" w:hAnsi="Arial" w:cs="Arial"/>
          <w:sz w:val="24"/>
          <w:szCs w:val="24"/>
        </w:rPr>
        <w:t>B.  T</w:t>
      </w:r>
      <w:r w:rsidRPr="00B70889">
        <w:rPr>
          <w:rFonts w:ascii="Arial" w:hAnsi="Arial" w:cs="Arial"/>
          <w:sz w:val="24"/>
          <w:szCs w:val="24"/>
        </w:rPr>
        <w:t xml:space="preserve">he current </w:t>
      </w:r>
      <w:r w:rsidR="000A34C1" w:rsidRPr="00B70889">
        <w:rPr>
          <w:rFonts w:ascii="Arial" w:hAnsi="Arial" w:cs="Arial"/>
          <w:sz w:val="24"/>
          <w:szCs w:val="24"/>
        </w:rPr>
        <w:t>position is that £0.5m is unallocated,</w:t>
      </w:r>
      <w:r w:rsidR="00986E71">
        <w:rPr>
          <w:rFonts w:ascii="Arial" w:hAnsi="Arial" w:cs="Arial"/>
          <w:sz w:val="24"/>
          <w:szCs w:val="24"/>
        </w:rPr>
        <w:t xml:space="preserve"> </w:t>
      </w:r>
      <w:r w:rsidR="00E330B7">
        <w:rPr>
          <w:rFonts w:ascii="Arial" w:hAnsi="Arial" w:cs="Arial"/>
          <w:sz w:val="24"/>
          <w:szCs w:val="24"/>
        </w:rPr>
        <w:t>following the</w:t>
      </w:r>
      <w:r w:rsidR="00986E71">
        <w:rPr>
          <w:rFonts w:ascii="Arial" w:hAnsi="Arial" w:cs="Arial"/>
          <w:sz w:val="24"/>
          <w:szCs w:val="24"/>
        </w:rPr>
        <w:t xml:space="preserve"> </w:t>
      </w:r>
      <w:r w:rsidR="000A34C1" w:rsidRPr="00B70889">
        <w:rPr>
          <w:rFonts w:ascii="Arial" w:hAnsi="Arial" w:cs="Arial"/>
          <w:sz w:val="24"/>
          <w:szCs w:val="24"/>
        </w:rPr>
        <w:t xml:space="preserve">recent withdrawal of the </w:t>
      </w:r>
      <w:proofErr w:type="spellStart"/>
      <w:r w:rsidR="000A34C1" w:rsidRPr="00B70889">
        <w:rPr>
          <w:rFonts w:ascii="Arial" w:hAnsi="Arial" w:cs="Arial"/>
          <w:sz w:val="24"/>
          <w:szCs w:val="24"/>
        </w:rPr>
        <w:t>Churnet</w:t>
      </w:r>
      <w:proofErr w:type="spellEnd"/>
      <w:r w:rsidR="000A34C1" w:rsidRPr="00B70889">
        <w:rPr>
          <w:rFonts w:ascii="Arial" w:hAnsi="Arial" w:cs="Arial"/>
          <w:sz w:val="24"/>
          <w:szCs w:val="24"/>
        </w:rPr>
        <w:t xml:space="preserve"> Works scheme</w:t>
      </w:r>
      <w:r w:rsidR="00E330B7">
        <w:rPr>
          <w:rFonts w:ascii="Arial" w:hAnsi="Arial" w:cs="Arial"/>
          <w:sz w:val="24"/>
          <w:szCs w:val="24"/>
        </w:rPr>
        <w:t>.</w:t>
      </w:r>
      <w:r w:rsidR="000A34C1" w:rsidRPr="00B70889">
        <w:rPr>
          <w:rFonts w:ascii="Arial" w:hAnsi="Arial" w:cs="Arial"/>
          <w:sz w:val="24"/>
          <w:szCs w:val="24"/>
        </w:rPr>
        <w:t xml:space="preserve">  </w:t>
      </w:r>
      <w:r w:rsidR="009F36C3">
        <w:rPr>
          <w:rFonts w:ascii="Arial" w:hAnsi="Arial" w:cs="Arial"/>
          <w:sz w:val="24"/>
          <w:szCs w:val="24"/>
        </w:rPr>
        <w:t>It is recommended that the Programme Assurance Group are requested to review the pipeline with a view to putting forward alternative schemes to utilise this unallocated grant.</w:t>
      </w:r>
    </w:p>
    <w:p w14:paraId="49C17D95" w14:textId="228C35D1" w:rsidR="00575216" w:rsidRPr="00B70889" w:rsidRDefault="00575216">
      <w:pPr>
        <w:rPr>
          <w:rFonts w:ascii="Arial" w:hAnsi="Arial" w:cs="Arial"/>
          <w:sz w:val="24"/>
          <w:szCs w:val="24"/>
        </w:rPr>
      </w:pPr>
      <w:r w:rsidRPr="00B70889">
        <w:rPr>
          <w:rFonts w:ascii="Arial" w:hAnsi="Arial" w:cs="Arial"/>
          <w:sz w:val="24"/>
          <w:szCs w:val="24"/>
        </w:rPr>
        <w:t xml:space="preserve"> </w:t>
      </w:r>
      <w:r w:rsidR="00E330B7">
        <w:rPr>
          <w:rFonts w:ascii="Arial" w:hAnsi="Arial" w:cs="Arial"/>
          <w:sz w:val="24"/>
          <w:szCs w:val="24"/>
        </w:rPr>
        <w:t>T</w:t>
      </w:r>
      <w:r w:rsidRPr="00B70889">
        <w:rPr>
          <w:rFonts w:ascii="Arial" w:hAnsi="Arial" w:cs="Arial"/>
          <w:sz w:val="24"/>
          <w:szCs w:val="24"/>
        </w:rPr>
        <w:t xml:space="preserve">here are some significant </w:t>
      </w:r>
      <w:r w:rsidR="00E330B7">
        <w:rPr>
          <w:rFonts w:ascii="Arial" w:hAnsi="Arial" w:cs="Arial"/>
          <w:sz w:val="24"/>
          <w:szCs w:val="24"/>
        </w:rPr>
        <w:t xml:space="preserve">other </w:t>
      </w:r>
      <w:r w:rsidRPr="00B70889">
        <w:rPr>
          <w:rFonts w:ascii="Arial" w:hAnsi="Arial" w:cs="Arial"/>
          <w:sz w:val="24"/>
          <w:szCs w:val="24"/>
        </w:rPr>
        <w:t xml:space="preserve">risks relating to this </w:t>
      </w:r>
      <w:r w:rsidR="00C74CF3" w:rsidRPr="00B70889">
        <w:rPr>
          <w:rFonts w:ascii="Arial" w:hAnsi="Arial" w:cs="Arial"/>
          <w:sz w:val="24"/>
          <w:szCs w:val="24"/>
        </w:rPr>
        <w:t>profile: -</w:t>
      </w:r>
    </w:p>
    <w:p w14:paraId="1EFB97DF" w14:textId="77777777" w:rsidR="00575216" w:rsidRPr="00B70889" w:rsidRDefault="00575216" w:rsidP="00B70889">
      <w:pPr>
        <w:pStyle w:val="ListParagraph"/>
        <w:numPr>
          <w:ilvl w:val="0"/>
          <w:numId w:val="5"/>
        </w:numPr>
        <w:rPr>
          <w:rFonts w:ascii="Arial" w:hAnsi="Arial" w:cs="Arial"/>
          <w:sz w:val="24"/>
          <w:szCs w:val="24"/>
        </w:rPr>
      </w:pPr>
      <w:r w:rsidRPr="00B70889">
        <w:rPr>
          <w:rFonts w:ascii="Arial" w:hAnsi="Arial" w:cs="Arial"/>
          <w:sz w:val="24"/>
          <w:szCs w:val="24"/>
        </w:rPr>
        <w:t>E</w:t>
      </w:r>
      <w:r w:rsidR="00091DB6" w:rsidRPr="00B70889">
        <w:rPr>
          <w:rFonts w:ascii="Arial" w:hAnsi="Arial" w:cs="Arial"/>
          <w:sz w:val="24"/>
          <w:szCs w:val="24"/>
        </w:rPr>
        <w:t xml:space="preserve">truria </w:t>
      </w:r>
      <w:r w:rsidRPr="00B70889">
        <w:rPr>
          <w:rFonts w:ascii="Arial" w:hAnsi="Arial" w:cs="Arial"/>
          <w:sz w:val="24"/>
          <w:szCs w:val="24"/>
        </w:rPr>
        <w:t>V</w:t>
      </w:r>
      <w:r w:rsidR="00091DB6" w:rsidRPr="00B70889">
        <w:rPr>
          <w:rFonts w:ascii="Arial" w:hAnsi="Arial" w:cs="Arial"/>
          <w:sz w:val="24"/>
          <w:szCs w:val="24"/>
        </w:rPr>
        <w:t>alley – Assumed £8.2m spend – business case still awaited. Scheme update due back to Executive Board in November.</w:t>
      </w:r>
    </w:p>
    <w:p w14:paraId="0E282449" w14:textId="4350AE06" w:rsidR="00575216" w:rsidRPr="00392738" w:rsidRDefault="00575216" w:rsidP="00E330B7">
      <w:pPr>
        <w:pStyle w:val="ListParagraph"/>
        <w:numPr>
          <w:ilvl w:val="0"/>
          <w:numId w:val="5"/>
        </w:numPr>
        <w:rPr>
          <w:rFonts w:ascii="Arial" w:hAnsi="Arial" w:cs="Arial"/>
          <w:sz w:val="24"/>
          <w:szCs w:val="24"/>
        </w:rPr>
      </w:pPr>
      <w:r w:rsidRPr="00E330B7">
        <w:rPr>
          <w:rFonts w:ascii="Arial" w:hAnsi="Arial" w:cs="Arial"/>
          <w:sz w:val="24"/>
          <w:szCs w:val="24"/>
        </w:rPr>
        <w:t>City Link East Road</w:t>
      </w:r>
      <w:r w:rsidR="008E4BAE" w:rsidRPr="00E330B7">
        <w:rPr>
          <w:rFonts w:ascii="Arial" w:hAnsi="Arial" w:cs="Arial"/>
          <w:sz w:val="24"/>
          <w:szCs w:val="24"/>
        </w:rPr>
        <w:t xml:space="preserve"> – Assumed £8.58m spend – business case currently being assessed.</w:t>
      </w:r>
    </w:p>
    <w:p w14:paraId="0930F6C6" w14:textId="7EC5CA83" w:rsidR="00E57F67" w:rsidRPr="00B70889" w:rsidRDefault="00E57F67" w:rsidP="00B70889">
      <w:pPr>
        <w:pStyle w:val="ListParagraph"/>
        <w:numPr>
          <w:ilvl w:val="0"/>
          <w:numId w:val="5"/>
        </w:numPr>
        <w:rPr>
          <w:rFonts w:ascii="Arial" w:hAnsi="Arial" w:cs="Arial"/>
          <w:sz w:val="24"/>
          <w:szCs w:val="24"/>
        </w:rPr>
      </w:pPr>
      <w:r w:rsidRPr="00B70889">
        <w:rPr>
          <w:rFonts w:ascii="Arial" w:hAnsi="Arial" w:cs="Arial"/>
          <w:sz w:val="24"/>
          <w:szCs w:val="24"/>
        </w:rPr>
        <w:t xml:space="preserve">City Centre Access Programme – grant spend on this scheme is paused due to an internal </w:t>
      </w:r>
      <w:proofErr w:type="spellStart"/>
      <w:r w:rsidRPr="00B70889">
        <w:rPr>
          <w:rFonts w:ascii="Arial" w:hAnsi="Arial" w:cs="Arial"/>
          <w:sz w:val="24"/>
          <w:szCs w:val="24"/>
        </w:rPr>
        <w:t>SoTCC</w:t>
      </w:r>
      <w:proofErr w:type="spellEnd"/>
      <w:r w:rsidRPr="00B70889">
        <w:rPr>
          <w:rFonts w:ascii="Arial" w:hAnsi="Arial" w:cs="Arial"/>
          <w:sz w:val="24"/>
          <w:szCs w:val="24"/>
        </w:rPr>
        <w:t xml:space="preserve"> review of transport schemes.</w:t>
      </w:r>
    </w:p>
    <w:p w14:paraId="04F70239" w14:textId="76E80A17" w:rsidR="003A21EF" w:rsidRPr="00B70889" w:rsidRDefault="003A21EF" w:rsidP="00B70889">
      <w:pPr>
        <w:pStyle w:val="ListParagraph"/>
        <w:numPr>
          <w:ilvl w:val="0"/>
          <w:numId w:val="5"/>
        </w:numPr>
        <w:rPr>
          <w:rFonts w:ascii="Arial" w:hAnsi="Arial" w:cs="Arial"/>
          <w:sz w:val="24"/>
          <w:szCs w:val="24"/>
        </w:rPr>
      </w:pPr>
      <w:r w:rsidRPr="00B70889">
        <w:rPr>
          <w:rFonts w:ascii="Arial" w:hAnsi="Arial" w:cs="Arial"/>
          <w:sz w:val="24"/>
          <w:szCs w:val="24"/>
        </w:rPr>
        <w:t xml:space="preserve">Stoke Station Railway Station Power Upgrade </w:t>
      </w:r>
      <w:r w:rsidR="00B70889">
        <w:rPr>
          <w:rFonts w:ascii="Arial" w:hAnsi="Arial" w:cs="Arial"/>
          <w:sz w:val="24"/>
          <w:szCs w:val="24"/>
        </w:rPr>
        <w:t xml:space="preserve">(£100k LGF grant) </w:t>
      </w:r>
      <w:r w:rsidRPr="00B70889">
        <w:rPr>
          <w:rFonts w:ascii="Arial" w:hAnsi="Arial" w:cs="Arial"/>
          <w:sz w:val="24"/>
          <w:szCs w:val="24"/>
        </w:rPr>
        <w:t xml:space="preserve">- the Virgin Trains franchise is ending on the 8th December 2019, so it would be the new franchise who would need to progress this scheme.  This will mean a delay in the short term and will affect the forecast spend profile. </w:t>
      </w:r>
    </w:p>
    <w:p w14:paraId="55EFFC40" w14:textId="08B329CA" w:rsidR="00B37037" w:rsidRPr="00D3051C" w:rsidRDefault="00B37037">
      <w:pPr>
        <w:rPr>
          <w:rFonts w:ascii="Arial" w:hAnsi="Arial" w:cs="Arial"/>
          <w:sz w:val="24"/>
          <w:szCs w:val="24"/>
        </w:rPr>
      </w:pPr>
      <w:r>
        <w:rPr>
          <w:rFonts w:ascii="Arial" w:hAnsi="Arial" w:cs="Arial"/>
          <w:sz w:val="24"/>
          <w:szCs w:val="24"/>
        </w:rPr>
        <w:t>An early decision on the above schemes is essential to provid</w:t>
      </w:r>
      <w:r w:rsidR="009D541D">
        <w:rPr>
          <w:rFonts w:ascii="Arial" w:hAnsi="Arial" w:cs="Arial"/>
          <w:sz w:val="24"/>
          <w:szCs w:val="24"/>
        </w:rPr>
        <w:t>e</w:t>
      </w:r>
      <w:r>
        <w:rPr>
          <w:rFonts w:ascii="Arial" w:hAnsi="Arial" w:cs="Arial"/>
          <w:sz w:val="24"/>
          <w:szCs w:val="24"/>
        </w:rPr>
        <w:t xml:space="preserve"> sufficient time to reallocate any of these resources to new schemes, given the financial timeframes for spending the grant. </w:t>
      </w:r>
      <w:r w:rsidRPr="00D3051C">
        <w:rPr>
          <w:rFonts w:ascii="Arial" w:hAnsi="Arial" w:cs="Arial"/>
          <w:sz w:val="24"/>
          <w:szCs w:val="24"/>
        </w:rPr>
        <w:t>The Executive Board may wish to consider setting final deadlines for confirmation these schemes will proceed.</w:t>
      </w:r>
    </w:p>
    <w:p w14:paraId="00543CB4" w14:textId="7B145439" w:rsidR="003637DB" w:rsidRPr="00B70889" w:rsidRDefault="008E4BAE">
      <w:pPr>
        <w:rPr>
          <w:rFonts w:ascii="Arial" w:hAnsi="Arial" w:cs="Arial"/>
          <w:sz w:val="24"/>
          <w:szCs w:val="24"/>
        </w:rPr>
      </w:pPr>
      <w:r w:rsidRPr="00B70889">
        <w:rPr>
          <w:rFonts w:ascii="Arial" w:hAnsi="Arial" w:cs="Arial"/>
          <w:sz w:val="24"/>
          <w:szCs w:val="24"/>
        </w:rPr>
        <w:lastRenderedPageBreak/>
        <w:t>Should the above schemes not proceed or experience</w:t>
      </w:r>
      <w:r>
        <w:rPr>
          <w:rFonts w:ascii="Arial" w:hAnsi="Arial" w:cs="Arial"/>
          <w:sz w:val="24"/>
          <w:szCs w:val="24"/>
        </w:rPr>
        <w:t xml:space="preserve"> significant delays the SSLEP will need to review what other options are available for spending the growth deal </w:t>
      </w:r>
      <w:r w:rsidRPr="00B70889">
        <w:rPr>
          <w:rFonts w:ascii="Arial" w:hAnsi="Arial" w:cs="Arial"/>
          <w:sz w:val="24"/>
          <w:szCs w:val="24"/>
        </w:rPr>
        <w:t>grant (and supporting the delivery of the target outputs), such as</w:t>
      </w:r>
      <w:r w:rsidR="003637DB" w:rsidRPr="00B70889">
        <w:rPr>
          <w:rFonts w:ascii="Arial" w:hAnsi="Arial" w:cs="Arial"/>
          <w:sz w:val="24"/>
          <w:szCs w:val="24"/>
        </w:rPr>
        <w:t>:</w:t>
      </w:r>
    </w:p>
    <w:p w14:paraId="747BE168" w14:textId="6943D415" w:rsidR="00986E71" w:rsidRPr="00B70889" w:rsidRDefault="00C2213B" w:rsidP="009C1AE1">
      <w:pPr>
        <w:pStyle w:val="ListParagraph"/>
        <w:numPr>
          <w:ilvl w:val="0"/>
          <w:numId w:val="4"/>
        </w:numPr>
        <w:rPr>
          <w:rFonts w:ascii="Arial" w:hAnsi="Arial" w:cs="Arial"/>
          <w:sz w:val="24"/>
          <w:szCs w:val="24"/>
        </w:rPr>
      </w:pPr>
      <w:r w:rsidRPr="00E661B9">
        <w:rPr>
          <w:rFonts w:ascii="Arial" w:hAnsi="Arial" w:cs="Arial"/>
          <w:b/>
          <w:sz w:val="24"/>
          <w:szCs w:val="24"/>
        </w:rPr>
        <w:t>Option 1</w:t>
      </w:r>
      <w:r w:rsidRPr="009C1AE1">
        <w:rPr>
          <w:rFonts w:ascii="Arial" w:hAnsi="Arial" w:cs="Arial"/>
          <w:sz w:val="24"/>
          <w:szCs w:val="24"/>
        </w:rPr>
        <w:t xml:space="preserve"> - </w:t>
      </w:r>
      <w:r w:rsidR="003637DB" w:rsidRPr="009C1AE1">
        <w:rPr>
          <w:rFonts w:ascii="Arial" w:hAnsi="Arial" w:cs="Arial"/>
          <w:sz w:val="24"/>
          <w:szCs w:val="24"/>
        </w:rPr>
        <w:t>I</w:t>
      </w:r>
      <w:r w:rsidR="008E4BAE" w:rsidRPr="009C1AE1">
        <w:rPr>
          <w:rFonts w:ascii="Arial" w:hAnsi="Arial" w:cs="Arial"/>
          <w:sz w:val="24"/>
          <w:szCs w:val="24"/>
        </w:rPr>
        <w:t>nclud</w:t>
      </w:r>
      <w:r w:rsidR="00B37037">
        <w:rPr>
          <w:rFonts w:ascii="Arial" w:hAnsi="Arial" w:cs="Arial"/>
          <w:sz w:val="24"/>
          <w:szCs w:val="24"/>
        </w:rPr>
        <w:t>e</w:t>
      </w:r>
      <w:r w:rsidR="008E4BAE" w:rsidRPr="009C1AE1">
        <w:rPr>
          <w:rFonts w:ascii="Arial" w:hAnsi="Arial" w:cs="Arial"/>
          <w:sz w:val="24"/>
          <w:szCs w:val="24"/>
        </w:rPr>
        <w:t xml:space="preserve"> new schemes from the current pipeline </w:t>
      </w:r>
      <w:r w:rsidR="00B863D1">
        <w:rPr>
          <w:rFonts w:ascii="Arial" w:hAnsi="Arial" w:cs="Arial"/>
          <w:sz w:val="24"/>
          <w:szCs w:val="24"/>
        </w:rPr>
        <w:t>(</w:t>
      </w:r>
      <w:r w:rsidR="00385C7B">
        <w:rPr>
          <w:rFonts w:ascii="Arial" w:hAnsi="Arial" w:cs="Arial"/>
          <w:sz w:val="24"/>
          <w:szCs w:val="24"/>
        </w:rPr>
        <w:t xml:space="preserve">please see summary report </w:t>
      </w:r>
      <w:r w:rsidR="00385C7B" w:rsidRPr="00576D2A">
        <w:rPr>
          <w:rFonts w:ascii="Arial" w:hAnsi="Arial" w:cs="Arial"/>
          <w:sz w:val="24"/>
          <w:szCs w:val="24"/>
        </w:rPr>
        <w:t>- A</w:t>
      </w:r>
      <w:r w:rsidR="00B863D1" w:rsidRPr="00576D2A">
        <w:rPr>
          <w:rFonts w:ascii="Arial" w:hAnsi="Arial" w:cs="Arial"/>
          <w:sz w:val="24"/>
          <w:szCs w:val="24"/>
        </w:rPr>
        <w:t>ppendix</w:t>
      </w:r>
      <w:r w:rsidR="00385C7B">
        <w:rPr>
          <w:rFonts w:ascii="Arial" w:hAnsi="Arial" w:cs="Arial"/>
          <w:sz w:val="24"/>
          <w:szCs w:val="24"/>
        </w:rPr>
        <w:t xml:space="preserve"> C)</w:t>
      </w:r>
      <w:r w:rsidR="00B863D1">
        <w:rPr>
          <w:rFonts w:ascii="Arial" w:hAnsi="Arial" w:cs="Arial"/>
          <w:sz w:val="24"/>
          <w:szCs w:val="24"/>
        </w:rPr>
        <w:t xml:space="preserve"> </w:t>
      </w:r>
      <w:r w:rsidR="008E4BAE" w:rsidRPr="009C1AE1">
        <w:rPr>
          <w:rFonts w:ascii="Arial" w:hAnsi="Arial" w:cs="Arial"/>
          <w:sz w:val="24"/>
          <w:szCs w:val="24"/>
        </w:rPr>
        <w:t xml:space="preserve">or request further potential schemes through a further </w:t>
      </w:r>
      <w:r w:rsidR="006A73AC" w:rsidRPr="00E330B7">
        <w:rPr>
          <w:rFonts w:ascii="Arial" w:hAnsi="Arial" w:cs="Arial"/>
          <w:sz w:val="24"/>
          <w:szCs w:val="24"/>
        </w:rPr>
        <w:t>O</w:t>
      </w:r>
      <w:r w:rsidR="008E4BAE" w:rsidRPr="00E330B7">
        <w:rPr>
          <w:rFonts w:ascii="Arial" w:hAnsi="Arial" w:cs="Arial"/>
          <w:sz w:val="24"/>
          <w:szCs w:val="24"/>
        </w:rPr>
        <w:t xml:space="preserve">pen </w:t>
      </w:r>
      <w:r w:rsidR="006A73AC" w:rsidRPr="00E330B7">
        <w:rPr>
          <w:rFonts w:ascii="Arial" w:hAnsi="Arial" w:cs="Arial"/>
          <w:sz w:val="24"/>
          <w:szCs w:val="24"/>
        </w:rPr>
        <w:t>C</w:t>
      </w:r>
      <w:r w:rsidR="008E4BAE" w:rsidRPr="00E330B7">
        <w:rPr>
          <w:rFonts w:ascii="Arial" w:hAnsi="Arial" w:cs="Arial"/>
          <w:sz w:val="24"/>
          <w:szCs w:val="24"/>
        </w:rPr>
        <w:t>all.</w:t>
      </w:r>
      <w:r w:rsidR="006A73AC" w:rsidRPr="00E330B7">
        <w:rPr>
          <w:rFonts w:ascii="Arial" w:hAnsi="Arial" w:cs="Arial"/>
          <w:sz w:val="24"/>
          <w:szCs w:val="24"/>
        </w:rPr>
        <w:t xml:space="preserve">  </w:t>
      </w:r>
      <w:r w:rsidR="00E330B7">
        <w:rPr>
          <w:rFonts w:ascii="Arial" w:hAnsi="Arial" w:cs="Arial"/>
          <w:sz w:val="24"/>
          <w:szCs w:val="24"/>
        </w:rPr>
        <w:t xml:space="preserve"> The option of undertaking a further open call </w:t>
      </w:r>
      <w:r w:rsidR="00B37037">
        <w:rPr>
          <w:rFonts w:ascii="Arial" w:hAnsi="Arial" w:cs="Arial"/>
          <w:sz w:val="24"/>
          <w:szCs w:val="24"/>
        </w:rPr>
        <w:t>at this stage when it is unclear what, if any, funds may</w:t>
      </w:r>
      <w:r w:rsidR="009F36C3">
        <w:rPr>
          <w:rFonts w:ascii="Arial" w:hAnsi="Arial" w:cs="Arial"/>
          <w:sz w:val="24"/>
          <w:szCs w:val="24"/>
        </w:rPr>
        <w:t xml:space="preserve"> </w:t>
      </w:r>
      <w:r w:rsidR="00B37037">
        <w:rPr>
          <w:rFonts w:ascii="Arial" w:hAnsi="Arial" w:cs="Arial"/>
          <w:sz w:val="24"/>
          <w:szCs w:val="24"/>
        </w:rPr>
        <w:t>be available is potentially counter</w:t>
      </w:r>
      <w:r w:rsidR="00986E71">
        <w:rPr>
          <w:rFonts w:ascii="Arial" w:hAnsi="Arial" w:cs="Arial"/>
          <w:sz w:val="24"/>
          <w:szCs w:val="24"/>
        </w:rPr>
        <w:t>-</w:t>
      </w:r>
      <w:r w:rsidR="00B37037">
        <w:rPr>
          <w:rFonts w:ascii="Arial" w:hAnsi="Arial" w:cs="Arial"/>
          <w:sz w:val="24"/>
          <w:szCs w:val="24"/>
        </w:rPr>
        <w:t>productive as it could raise expectations that are subsequently not met</w:t>
      </w:r>
      <w:r w:rsidR="00392738">
        <w:rPr>
          <w:rFonts w:ascii="Arial" w:hAnsi="Arial" w:cs="Arial"/>
          <w:sz w:val="24"/>
          <w:szCs w:val="24"/>
        </w:rPr>
        <w:t>,</w:t>
      </w:r>
      <w:r w:rsidR="00B37037">
        <w:rPr>
          <w:rFonts w:ascii="Arial" w:hAnsi="Arial" w:cs="Arial"/>
          <w:sz w:val="24"/>
          <w:szCs w:val="24"/>
        </w:rPr>
        <w:t xml:space="preserve"> and the SSLEP could be accused of wasting </w:t>
      </w:r>
      <w:r w:rsidR="00392738">
        <w:rPr>
          <w:rFonts w:ascii="Arial" w:hAnsi="Arial" w:cs="Arial"/>
          <w:sz w:val="24"/>
          <w:szCs w:val="24"/>
        </w:rPr>
        <w:t>organisations</w:t>
      </w:r>
      <w:r w:rsidR="00986E71">
        <w:rPr>
          <w:rFonts w:ascii="Arial" w:hAnsi="Arial" w:cs="Arial"/>
          <w:sz w:val="24"/>
          <w:szCs w:val="24"/>
        </w:rPr>
        <w:t>’</w:t>
      </w:r>
      <w:r w:rsidR="00B37037">
        <w:rPr>
          <w:rFonts w:ascii="Arial" w:hAnsi="Arial" w:cs="Arial"/>
          <w:sz w:val="24"/>
          <w:szCs w:val="24"/>
        </w:rPr>
        <w:t xml:space="preserve"> time in developing bids.</w:t>
      </w:r>
      <w:r w:rsidR="009F36C3">
        <w:rPr>
          <w:rFonts w:ascii="Arial" w:hAnsi="Arial" w:cs="Arial"/>
          <w:sz w:val="24"/>
          <w:szCs w:val="24"/>
        </w:rPr>
        <w:t xml:space="preserve"> Undertaking an Open Call </w:t>
      </w:r>
      <w:r w:rsidR="00392738">
        <w:rPr>
          <w:rFonts w:ascii="Arial" w:hAnsi="Arial" w:cs="Arial"/>
          <w:sz w:val="24"/>
          <w:szCs w:val="24"/>
        </w:rPr>
        <w:t>following a final confirmation of the schemes identified as a risk not proceeding, will however provide little time to allocate and deliver the required spend level.</w:t>
      </w:r>
    </w:p>
    <w:p w14:paraId="23EC6A1F" w14:textId="3A0E9068" w:rsidR="003B6CE1" w:rsidRPr="00E330B7" w:rsidRDefault="00C2213B" w:rsidP="009C1AE1">
      <w:pPr>
        <w:pStyle w:val="ListParagraph"/>
        <w:numPr>
          <w:ilvl w:val="0"/>
          <w:numId w:val="4"/>
        </w:numPr>
        <w:rPr>
          <w:rFonts w:ascii="Arial" w:hAnsi="Arial" w:cs="Arial"/>
          <w:sz w:val="24"/>
          <w:szCs w:val="24"/>
        </w:rPr>
      </w:pPr>
      <w:r w:rsidRPr="00E661B9">
        <w:rPr>
          <w:rFonts w:ascii="Arial" w:hAnsi="Arial" w:cs="Arial"/>
          <w:b/>
          <w:sz w:val="24"/>
          <w:szCs w:val="24"/>
        </w:rPr>
        <w:t>Option 2</w:t>
      </w:r>
      <w:r w:rsidRPr="009C1AE1">
        <w:rPr>
          <w:rFonts w:ascii="Arial" w:hAnsi="Arial" w:cs="Arial"/>
          <w:sz w:val="24"/>
          <w:szCs w:val="24"/>
        </w:rPr>
        <w:t xml:space="preserve"> - </w:t>
      </w:r>
      <w:r w:rsidR="003637DB" w:rsidRPr="009C1AE1">
        <w:rPr>
          <w:rFonts w:ascii="Arial" w:hAnsi="Arial" w:cs="Arial"/>
          <w:sz w:val="24"/>
          <w:szCs w:val="24"/>
        </w:rPr>
        <w:t>U</w:t>
      </w:r>
      <w:r w:rsidR="008E4BAE" w:rsidRPr="009C1AE1">
        <w:rPr>
          <w:rFonts w:ascii="Arial" w:hAnsi="Arial" w:cs="Arial"/>
          <w:sz w:val="24"/>
          <w:szCs w:val="24"/>
        </w:rPr>
        <w:t xml:space="preserve">sing any unspent funds to support the I54 Western Extension project, where it has committed circa £10m from future business rates from the original I54 EZ to support works on delivering a western extension. </w:t>
      </w:r>
      <w:r w:rsidR="003B6CE1" w:rsidRPr="00E330B7">
        <w:rPr>
          <w:rFonts w:ascii="Arial" w:hAnsi="Arial" w:cs="Arial"/>
          <w:sz w:val="24"/>
          <w:szCs w:val="24"/>
        </w:rPr>
        <w:t xml:space="preserve">This is one of the few SSLEP schemes which is both “mobilised” and of sufficient scale to deal with any significant underspend before the deadline of March 2021. </w:t>
      </w:r>
      <w:r w:rsidR="008E4BAE" w:rsidRPr="00E330B7">
        <w:rPr>
          <w:rFonts w:ascii="Arial" w:hAnsi="Arial" w:cs="Arial"/>
          <w:sz w:val="24"/>
          <w:szCs w:val="24"/>
        </w:rPr>
        <w:t>Growth deal funding could be switched to this scheme at relatively short notice (subject to Executive Board approval), and therefore the risk of meeting the target to ensure all grant monies are spent can be mitigated. Utilising the grant in this way will also allow jobs created from the western extension to be included against the growth deal targets</w:t>
      </w:r>
      <w:r w:rsidR="009C1AE1" w:rsidRPr="00E330B7">
        <w:rPr>
          <w:rFonts w:ascii="Arial" w:hAnsi="Arial" w:cs="Arial"/>
          <w:sz w:val="24"/>
          <w:szCs w:val="24"/>
        </w:rPr>
        <w:t>.</w:t>
      </w:r>
      <w:r w:rsidR="003B6CE1" w:rsidRPr="00E330B7">
        <w:rPr>
          <w:rFonts w:ascii="Arial" w:hAnsi="Arial" w:cs="Arial"/>
          <w:sz w:val="24"/>
          <w:szCs w:val="24"/>
        </w:rPr>
        <w:t xml:space="preserve"> </w:t>
      </w:r>
      <w:r w:rsidR="00B37037">
        <w:rPr>
          <w:rFonts w:ascii="Arial" w:hAnsi="Arial" w:cs="Arial"/>
          <w:sz w:val="24"/>
          <w:szCs w:val="24"/>
        </w:rPr>
        <w:t>It is recommended that this is considered as the fall back option for mitigating the risk of not spending the grant in line with the deadline.</w:t>
      </w:r>
    </w:p>
    <w:p w14:paraId="10026F99" w14:textId="7230AE40" w:rsidR="00575216" w:rsidRPr="00B70889" w:rsidRDefault="00C2213B" w:rsidP="003637DB">
      <w:pPr>
        <w:pStyle w:val="ListParagraph"/>
        <w:numPr>
          <w:ilvl w:val="0"/>
          <w:numId w:val="4"/>
        </w:numPr>
        <w:rPr>
          <w:rFonts w:ascii="Arial" w:hAnsi="Arial" w:cs="Arial"/>
          <w:sz w:val="24"/>
          <w:szCs w:val="24"/>
        </w:rPr>
      </w:pPr>
      <w:r w:rsidRPr="00E661B9">
        <w:rPr>
          <w:rFonts w:ascii="Arial" w:hAnsi="Arial" w:cs="Arial"/>
          <w:b/>
          <w:sz w:val="24"/>
          <w:szCs w:val="24"/>
        </w:rPr>
        <w:t>Option 3</w:t>
      </w:r>
      <w:r w:rsidRPr="00B70889">
        <w:rPr>
          <w:rFonts w:ascii="Arial" w:hAnsi="Arial" w:cs="Arial"/>
          <w:sz w:val="24"/>
          <w:szCs w:val="24"/>
        </w:rPr>
        <w:t xml:space="preserve"> </w:t>
      </w:r>
      <w:r w:rsidR="00B37037">
        <w:rPr>
          <w:rFonts w:ascii="Arial" w:hAnsi="Arial" w:cs="Arial"/>
          <w:sz w:val="24"/>
          <w:szCs w:val="24"/>
        </w:rPr>
        <w:t>–</w:t>
      </w:r>
      <w:r w:rsidRPr="00B70889">
        <w:rPr>
          <w:rFonts w:ascii="Arial" w:hAnsi="Arial" w:cs="Arial"/>
          <w:sz w:val="24"/>
          <w:szCs w:val="24"/>
        </w:rPr>
        <w:t xml:space="preserve"> </w:t>
      </w:r>
      <w:r w:rsidR="00B37037">
        <w:rPr>
          <w:rFonts w:ascii="Arial" w:hAnsi="Arial" w:cs="Arial"/>
          <w:sz w:val="24"/>
          <w:szCs w:val="24"/>
        </w:rPr>
        <w:t>Follow option 2, but c</w:t>
      </w:r>
      <w:r w:rsidR="003B6CE1" w:rsidRPr="00B70889">
        <w:rPr>
          <w:rFonts w:ascii="Arial" w:hAnsi="Arial" w:cs="Arial"/>
          <w:sz w:val="24"/>
          <w:szCs w:val="24"/>
        </w:rPr>
        <w:t>ontinue to support the original schemes from future business rates (i.e. switch the funding back later to the original delayed scheme</w:t>
      </w:r>
      <w:r w:rsidR="00FD6D10" w:rsidRPr="00B70889">
        <w:rPr>
          <w:rFonts w:ascii="Arial" w:hAnsi="Arial" w:cs="Arial"/>
          <w:sz w:val="24"/>
          <w:szCs w:val="24"/>
        </w:rPr>
        <w:t>s</w:t>
      </w:r>
      <w:r w:rsidR="003B6CE1" w:rsidRPr="00B70889">
        <w:rPr>
          <w:rFonts w:ascii="Arial" w:hAnsi="Arial" w:cs="Arial"/>
          <w:sz w:val="24"/>
          <w:szCs w:val="24"/>
        </w:rPr>
        <w:t>), although this may cause some “cash flow” issues to the original scheme promoters.</w:t>
      </w:r>
      <w:r w:rsidR="008E4BAE" w:rsidRPr="00B70889">
        <w:rPr>
          <w:rFonts w:ascii="Arial" w:hAnsi="Arial" w:cs="Arial"/>
          <w:sz w:val="24"/>
          <w:szCs w:val="24"/>
        </w:rPr>
        <w:t xml:space="preserve"> </w:t>
      </w:r>
    </w:p>
    <w:p w14:paraId="6DF3585E" w14:textId="77777777" w:rsidR="00385C7B" w:rsidRDefault="00385C7B">
      <w:pPr>
        <w:rPr>
          <w:rFonts w:ascii="Arial" w:hAnsi="Arial" w:cs="Arial"/>
          <w:i/>
          <w:sz w:val="24"/>
          <w:szCs w:val="24"/>
        </w:rPr>
      </w:pPr>
    </w:p>
    <w:p w14:paraId="70DF4851" w14:textId="76DBEBD6" w:rsidR="00E745C8" w:rsidRPr="00B70889" w:rsidRDefault="00E745C8">
      <w:pPr>
        <w:rPr>
          <w:rFonts w:ascii="Arial" w:hAnsi="Arial" w:cs="Arial"/>
          <w:i/>
          <w:sz w:val="24"/>
          <w:szCs w:val="24"/>
        </w:rPr>
      </w:pPr>
      <w:r w:rsidRPr="00B70889">
        <w:rPr>
          <w:rFonts w:ascii="Arial" w:hAnsi="Arial" w:cs="Arial"/>
          <w:i/>
          <w:sz w:val="24"/>
          <w:szCs w:val="24"/>
        </w:rPr>
        <w:t>Other</w:t>
      </w:r>
    </w:p>
    <w:p w14:paraId="24282E82" w14:textId="6EAA0A84" w:rsidR="00231143" w:rsidRDefault="00E745C8">
      <w:pPr>
        <w:rPr>
          <w:rFonts w:ascii="Arial" w:hAnsi="Arial" w:cs="Arial"/>
          <w:sz w:val="24"/>
          <w:szCs w:val="24"/>
        </w:rPr>
      </w:pPr>
      <w:r w:rsidRPr="00B70889">
        <w:rPr>
          <w:rFonts w:ascii="Arial" w:hAnsi="Arial" w:cs="Arial"/>
          <w:sz w:val="24"/>
          <w:szCs w:val="24"/>
        </w:rPr>
        <w:t xml:space="preserve">As well as the specific targets relating to housing and jobs there was an assumption that the Growth deal allocation would be used to stimulate local growth and take advantage of new economic opportunities. The approved SSLEP Growth Deal </w:t>
      </w:r>
      <w:r w:rsidRPr="00D3051C">
        <w:rPr>
          <w:rFonts w:ascii="Arial" w:hAnsi="Arial" w:cs="Arial"/>
          <w:sz w:val="24"/>
          <w:szCs w:val="24"/>
        </w:rPr>
        <w:t>schemes consequently ha</w:t>
      </w:r>
      <w:r w:rsidR="003B6CE1" w:rsidRPr="00D3051C">
        <w:rPr>
          <w:rFonts w:ascii="Arial" w:hAnsi="Arial" w:cs="Arial"/>
          <w:sz w:val="24"/>
          <w:szCs w:val="24"/>
        </w:rPr>
        <w:t>ve</w:t>
      </w:r>
      <w:r w:rsidRPr="00D3051C">
        <w:rPr>
          <w:rFonts w:ascii="Arial" w:hAnsi="Arial" w:cs="Arial"/>
          <w:sz w:val="24"/>
          <w:szCs w:val="24"/>
        </w:rPr>
        <w:t xml:space="preserve"> local targets around private sector leverage of £</w:t>
      </w:r>
      <w:r w:rsidR="00231143" w:rsidRPr="00D3051C">
        <w:rPr>
          <w:rFonts w:ascii="Arial" w:hAnsi="Arial" w:cs="Arial"/>
          <w:sz w:val="24"/>
          <w:szCs w:val="24"/>
        </w:rPr>
        <w:t>95.25</w:t>
      </w:r>
      <w:r w:rsidR="008E4BAE" w:rsidRPr="00D3051C">
        <w:rPr>
          <w:rFonts w:ascii="Arial" w:hAnsi="Arial" w:cs="Arial"/>
          <w:sz w:val="24"/>
          <w:szCs w:val="24"/>
        </w:rPr>
        <w:t>m</w:t>
      </w:r>
      <w:r w:rsidR="00231143" w:rsidRPr="00D3051C">
        <w:rPr>
          <w:rFonts w:ascii="Arial" w:hAnsi="Arial" w:cs="Arial"/>
          <w:sz w:val="24"/>
          <w:szCs w:val="24"/>
        </w:rPr>
        <w:t>.   A</w:t>
      </w:r>
      <w:r w:rsidR="00BB3DAB" w:rsidRPr="00D3051C">
        <w:rPr>
          <w:rFonts w:ascii="Arial" w:hAnsi="Arial" w:cs="Arial"/>
          <w:sz w:val="24"/>
          <w:szCs w:val="24"/>
        </w:rPr>
        <w:t>ctual private sector leverage to date is approximately £</w:t>
      </w:r>
      <w:r w:rsidR="00231143" w:rsidRPr="00D3051C">
        <w:rPr>
          <w:rFonts w:ascii="Arial" w:hAnsi="Arial" w:cs="Arial"/>
          <w:sz w:val="24"/>
          <w:szCs w:val="24"/>
        </w:rPr>
        <w:t>14.81</w:t>
      </w:r>
      <w:r w:rsidR="00BB3DAB" w:rsidRPr="00D3051C">
        <w:rPr>
          <w:rFonts w:ascii="Arial" w:hAnsi="Arial" w:cs="Arial"/>
          <w:sz w:val="24"/>
          <w:szCs w:val="24"/>
        </w:rPr>
        <w:t>m</w:t>
      </w:r>
      <w:r w:rsidR="00231143" w:rsidRPr="00D3051C">
        <w:rPr>
          <w:rFonts w:ascii="Arial" w:hAnsi="Arial" w:cs="Arial"/>
          <w:sz w:val="24"/>
          <w:szCs w:val="24"/>
        </w:rPr>
        <w:t>.</w:t>
      </w:r>
      <w:r w:rsidR="00231143">
        <w:rPr>
          <w:rFonts w:ascii="Arial" w:hAnsi="Arial" w:cs="Arial"/>
          <w:sz w:val="24"/>
          <w:szCs w:val="24"/>
        </w:rPr>
        <w:t xml:space="preserve">  </w:t>
      </w:r>
    </w:p>
    <w:p w14:paraId="5A38BBF7" w14:textId="6815A37E" w:rsidR="00BB3DAB" w:rsidRPr="00B70889" w:rsidRDefault="00BB3DAB">
      <w:pPr>
        <w:rPr>
          <w:rFonts w:ascii="Arial" w:hAnsi="Arial" w:cs="Arial"/>
          <w:sz w:val="24"/>
          <w:szCs w:val="24"/>
        </w:rPr>
      </w:pPr>
      <w:r w:rsidRPr="00B70889">
        <w:rPr>
          <w:rFonts w:ascii="Arial" w:hAnsi="Arial" w:cs="Arial"/>
          <w:sz w:val="24"/>
          <w:szCs w:val="24"/>
        </w:rPr>
        <w:t>It was always envisaged that the private sector leverage would take place over a longer period of time, for example the private sector investments are forecast often to follow completed SSLEP schemes, such as house building or business park development, following the construction of a road / road access.</w:t>
      </w:r>
    </w:p>
    <w:p w14:paraId="28A965EB" w14:textId="46653E1A" w:rsidR="00793269" w:rsidRPr="00B70889" w:rsidRDefault="00793269" w:rsidP="00793269">
      <w:pPr>
        <w:rPr>
          <w:rFonts w:ascii="Arial" w:hAnsi="Arial" w:cs="Arial"/>
          <w:sz w:val="24"/>
          <w:szCs w:val="24"/>
        </w:rPr>
      </w:pPr>
      <w:r>
        <w:rPr>
          <w:rFonts w:ascii="Arial" w:hAnsi="Arial" w:cs="Arial"/>
          <w:sz w:val="24"/>
          <w:szCs w:val="24"/>
        </w:rPr>
        <w:t xml:space="preserve">There are also targets around growth in </w:t>
      </w:r>
      <w:r w:rsidR="00D3051C">
        <w:rPr>
          <w:rFonts w:ascii="Arial" w:hAnsi="Arial" w:cs="Arial"/>
          <w:sz w:val="24"/>
          <w:szCs w:val="24"/>
        </w:rPr>
        <w:t>S</w:t>
      </w:r>
      <w:r>
        <w:rPr>
          <w:rFonts w:ascii="Arial" w:hAnsi="Arial" w:cs="Arial"/>
          <w:sz w:val="24"/>
          <w:szCs w:val="24"/>
        </w:rPr>
        <w:t xml:space="preserve">kills; however, as mentioned in Page 2 of this report, </w:t>
      </w:r>
      <w:r w:rsidR="00BB2B44">
        <w:rPr>
          <w:rFonts w:ascii="Arial" w:hAnsi="Arial" w:cs="Arial"/>
          <w:sz w:val="24"/>
          <w:szCs w:val="24"/>
        </w:rPr>
        <w:t xml:space="preserve">we </w:t>
      </w:r>
      <w:r>
        <w:rPr>
          <w:rFonts w:ascii="Arial" w:hAnsi="Arial" w:cs="Arial"/>
          <w:sz w:val="24"/>
          <w:szCs w:val="24"/>
        </w:rPr>
        <w:t>are now aware that formal apprenticeships should be reported under the jobs targets</w:t>
      </w:r>
      <w:r w:rsidR="00BB2B44">
        <w:rPr>
          <w:rFonts w:ascii="Arial" w:hAnsi="Arial" w:cs="Arial"/>
          <w:sz w:val="24"/>
          <w:szCs w:val="24"/>
        </w:rPr>
        <w:t xml:space="preserve"> rather than under the skills section.  The </w:t>
      </w:r>
      <w:r>
        <w:rPr>
          <w:rFonts w:ascii="Arial" w:hAnsi="Arial" w:cs="Arial"/>
          <w:sz w:val="24"/>
          <w:szCs w:val="24"/>
        </w:rPr>
        <w:t>s</w:t>
      </w:r>
      <w:r w:rsidRPr="00B70889">
        <w:rPr>
          <w:rFonts w:ascii="Arial" w:hAnsi="Arial" w:cs="Arial"/>
          <w:sz w:val="24"/>
          <w:szCs w:val="24"/>
        </w:rPr>
        <w:t xml:space="preserve">kills participation </w:t>
      </w:r>
      <w:r>
        <w:rPr>
          <w:rFonts w:ascii="Arial" w:hAnsi="Arial" w:cs="Arial"/>
          <w:sz w:val="24"/>
          <w:szCs w:val="24"/>
        </w:rPr>
        <w:t xml:space="preserve">numbers </w:t>
      </w:r>
      <w:r w:rsidR="00D3051C">
        <w:rPr>
          <w:rFonts w:ascii="Arial" w:hAnsi="Arial" w:cs="Arial"/>
          <w:sz w:val="24"/>
          <w:szCs w:val="24"/>
        </w:rPr>
        <w:t>historically</w:t>
      </w:r>
      <w:r>
        <w:rPr>
          <w:rFonts w:ascii="Arial" w:hAnsi="Arial" w:cs="Arial"/>
          <w:sz w:val="24"/>
          <w:szCs w:val="24"/>
        </w:rPr>
        <w:t xml:space="preserve"> reported will be revisited and updated.</w:t>
      </w:r>
    </w:p>
    <w:p w14:paraId="250DC58A" w14:textId="77777777" w:rsidR="00793269" w:rsidRDefault="00793269">
      <w:pPr>
        <w:rPr>
          <w:rFonts w:ascii="Arial" w:hAnsi="Arial" w:cs="Arial"/>
          <w:b/>
          <w:sz w:val="24"/>
          <w:szCs w:val="24"/>
        </w:rPr>
      </w:pPr>
    </w:p>
    <w:p w14:paraId="6C4E1024" w14:textId="75324854" w:rsidR="00EB79CE" w:rsidRPr="00B70889" w:rsidRDefault="00EB79CE">
      <w:pPr>
        <w:rPr>
          <w:rFonts w:ascii="Arial" w:hAnsi="Arial" w:cs="Arial"/>
          <w:b/>
          <w:sz w:val="24"/>
          <w:szCs w:val="24"/>
        </w:rPr>
      </w:pPr>
      <w:r w:rsidRPr="00B70889">
        <w:rPr>
          <w:rFonts w:ascii="Arial" w:hAnsi="Arial" w:cs="Arial"/>
          <w:b/>
          <w:sz w:val="24"/>
          <w:szCs w:val="24"/>
        </w:rPr>
        <w:t>Comparative LEP Performance</w:t>
      </w:r>
    </w:p>
    <w:p w14:paraId="37EDE7D6" w14:textId="3B1B8DEE" w:rsidR="00EB79CE" w:rsidRPr="00B70889" w:rsidRDefault="00EB79CE">
      <w:pPr>
        <w:rPr>
          <w:rFonts w:ascii="Arial" w:hAnsi="Arial" w:cs="Arial"/>
          <w:sz w:val="24"/>
          <w:szCs w:val="24"/>
        </w:rPr>
      </w:pPr>
      <w:r w:rsidRPr="00B70889">
        <w:rPr>
          <w:rFonts w:ascii="Arial" w:hAnsi="Arial" w:cs="Arial"/>
          <w:sz w:val="24"/>
          <w:szCs w:val="24"/>
        </w:rPr>
        <w:t>The SSLEP does not have access to how other LEP’s are performing against their targets in respect of housing and jobs. Some general local growth data which has been captured by the City and Local Growth Unit, and is based on LEP boundaries, has been made available. This is based largely on ONS Labour Force Survey and ONS LEP GVA data.</w:t>
      </w:r>
      <w:r w:rsidR="005978E8" w:rsidRPr="00B70889">
        <w:rPr>
          <w:rFonts w:ascii="Arial" w:hAnsi="Arial" w:cs="Arial"/>
          <w:sz w:val="24"/>
          <w:szCs w:val="24"/>
        </w:rPr>
        <w:t xml:space="preserve"> These statistics broadly show the SSLEP to be in the middle third of LEP’s for local growth as measured by the employment rate, level 4 job rate, and nominal GVA (based on 2017).</w:t>
      </w:r>
    </w:p>
    <w:p w14:paraId="4D8FE179" w14:textId="77777777" w:rsidR="008E4BAE" w:rsidRPr="00B70889" w:rsidRDefault="008E4BAE">
      <w:pPr>
        <w:rPr>
          <w:rFonts w:ascii="Arial" w:hAnsi="Arial" w:cs="Arial"/>
          <w:sz w:val="24"/>
          <w:szCs w:val="24"/>
        </w:rPr>
      </w:pPr>
    </w:p>
    <w:p w14:paraId="23C9CAA2" w14:textId="77777777" w:rsidR="001B5225" w:rsidRPr="00B70889" w:rsidRDefault="001B5225">
      <w:pPr>
        <w:rPr>
          <w:rFonts w:ascii="Arial" w:hAnsi="Arial" w:cs="Arial"/>
          <w:b/>
          <w:sz w:val="24"/>
          <w:szCs w:val="24"/>
        </w:rPr>
      </w:pPr>
      <w:r w:rsidRPr="00B70889">
        <w:rPr>
          <w:rFonts w:ascii="Arial" w:hAnsi="Arial" w:cs="Arial"/>
          <w:b/>
          <w:sz w:val="24"/>
          <w:szCs w:val="24"/>
        </w:rPr>
        <w:t>Summary</w:t>
      </w:r>
    </w:p>
    <w:p w14:paraId="35EC4357" w14:textId="77777777" w:rsidR="00D3051C" w:rsidRPr="00B70889" w:rsidRDefault="00D3051C" w:rsidP="00D3051C">
      <w:pPr>
        <w:rPr>
          <w:rFonts w:ascii="Arial" w:hAnsi="Arial" w:cs="Arial"/>
          <w:sz w:val="24"/>
          <w:szCs w:val="24"/>
        </w:rPr>
      </w:pPr>
      <w:r w:rsidRPr="00B70889">
        <w:rPr>
          <w:rFonts w:ascii="Arial" w:hAnsi="Arial" w:cs="Arial"/>
          <w:sz w:val="24"/>
          <w:szCs w:val="24"/>
        </w:rPr>
        <w:t xml:space="preserve">A review of the current position on the formal Growth Deal targets suggests that SSLEP will succeed in delivering forecast jobs against target but will fail to deliver its targets for housing by March 2021. Whilst the housing targets will not be delivered by March 2021, they will be significantly over achieved after this date when existing schemes are completed, and benefits accrue.  </w:t>
      </w:r>
    </w:p>
    <w:p w14:paraId="2351F9FC" w14:textId="77777777" w:rsidR="00D3051C" w:rsidRDefault="00D3051C" w:rsidP="00D3051C">
      <w:pPr>
        <w:rPr>
          <w:rFonts w:ascii="Arial" w:hAnsi="Arial" w:cs="Arial"/>
          <w:sz w:val="24"/>
          <w:szCs w:val="24"/>
        </w:rPr>
      </w:pPr>
      <w:r w:rsidRPr="00B70889">
        <w:rPr>
          <w:rFonts w:ascii="Arial" w:hAnsi="Arial" w:cs="Arial"/>
          <w:sz w:val="24"/>
          <w:szCs w:val="24"/>
        </w:rPr>
        <w:t>Slippage has been identified previously and some schemes have been removed from the programme and replaced with other schemes in an effort to mitigate the issues of delivery of the targets, however given the timescales further action in this area is unlikely to deliver the estimated shortfall. There is also an argument that chasing targets can be detrimental to the overall long-term economic growth programme.</w:t>
      </w:r>
    </w:p>
    <w:p w14:paraId="1AEFFE3C" w14:textId="77777777" w:rsidR="00D3051C" w:rsidRDefault="00D3051C" w:rsidP="00D3051C">
      <w:pPr>
        <w:rPr>
          <w:rFonts w:ascii="Arial" w:hAnsi="Arial" w:cs="Arial"/>
          <w:sz w:val="24"/>
          <w:szCs w:val="24"/>
        </w:rPr>
      </w:pPr>
      <w:r>
        <w:rPr>
          <w:rFonts w:ascii="Arial" w:hAnsi="Arial" w:cs="Arial"/>
          <w:sz w:val="24"/>
          <w:szCs w:val="24"/>
        </w:rPr>
        <w:t>There is currently £0.5m unallocated Growth Deal Grant which is available to support other schemes.</w:t>
      </w:r>
    </w:p>
    <w:p w14:paraId="03F8F46E" w14:textId="5BFEF2C0" w:rsidR="00D3051C" w:rsidRDefault="00D3051C" w:rsidP="00D3051C">
      <w:pPr>
        <w:rPr>
          <w:rFonts w:ascii="Arial" w:hAnsi="Arial" w:cs="Arial"/>
          <w:sz w:val="24"/>
          <w:szCs w:val="24"/>
        </w:rPr>
      </w:pPr>
      <w:r>
        <w:rPr>
          <w:rFonts w:ascii="Arial" w:hAnsi="Arial" w:cs="Arial"/>
          <w:sz w:val="24"/>
          <w:szCs w:val="24"/>
        </w:rPr>
        <w:t>The financial target of spending all Growth Deal grant can be achieved and a contingency plan</w:t>
      </w:r>
      <w:r w:rsidR="005A421B">
        <w:rPr>
          <w:rFonts w:ascii="Arial" w:hAnsi="Arial" w:cs="Arial"/>
          <w:sz w:val="24"/>
          <w:szCs w:val="24"/>
        </w:rPr>
        <w:t xml:space="preserve"> i.e. switching the proposed funding of the I54 western extension to Growth Deal Funding</w:t>
      </w:r>
      <w:r>
        <w:rPr>
          <w:rFonts w:ascii="Arial" w:hAnsi="Arial" w:cs="Arial"/>
          <w:sz w:val="24"/>
          <w:szCs w:val="24"/>
        </w:rPr>
        <w:t xml:space="preserve">, subject to Executive Board approval is in place. </w:t>
      </w:r>
    </w:p>
    <w:p w14:paraId="00C5CF05" w14:textId="77777777" w:rsidR="00D3051C" w:rsidRDefault="00D3051C" w:rsidP="00D3051C">
      <w:pPr>
        <w:rPr>
          <w:rFonts w:ascii="Arial" w:hAnsi="Arial" w:cs="Arial"/>
          <w:b/>
          <w:sz w:val="24"/>
          <w:szCs w:val="24"/>
        </w:rPr>
      </w:pPr>
    </w:p>
    <w:p w14:paraId="1293C7D9" w14:textId="23EC74BC" w:rsidR="001B5225" w:rsidRPr="00FD6D10" w:rsidRDefault="001B5225">
      <w:pPr>
        <w:rPr>
          <w:rFonts w:ascii="Arial" w:hAnsi="Arial" w:cs="Arial"/>
          <w:b/>
          <w:sz w:val="24"/>
          <w:szCs w:val="24"/>
        </w:rPr>
      </w:pPr>
      <w:r w:rsidRPr="00FD6D10">
        <w:rPr>
          <w:rFonts w:ascii="Arial" w:hAnsi="Arial" w:cs="Arial"/>
          <w:b/>
          <w:sz w:val="24"/>
          <w:szCs w:val="24"/>
        </w:rPr>
        <w:t>Recommendations</w:t>
      </w:r>
    </w:p>
    <w:p w14:paraId="68485B03" w14:textId="77777777" w:rsidR="00D3051C" w:rsidRDefault="00D3051C" w:rsidP="00D3051C">
      <w:pPr>
        <w:rPr>
          <w:rFonts w:ascii="Arial" w:hAnsi="Arial" w:cs="Arial"/>
          <w:sz w:val="24"/>
          <w:szCs w:val="24"/>
        </w:rPr>
      </w:pPr>
      <w:r>
        <w:rPr>
          <w:rFonts w:ascii="Arial" w:hAnsi="Arial" w:cs="Arial"/>
          <w:sz w:val="24"/>
          <w:szCs w:val="24"/>
        </w:rPr>
        <w:t xml:space="preserve">The Executive Board note the contents of the report and </w:t>
      </w:r>
    </w:p>
    <w:p w14:paraId="3AD86BD0" w14:textId="6478977E" w:rsidR="00D3051C" w:rsidRPr="009F36C3" w:rsidRDefault="00D3051C" w:rsidP="00D3051C">
      <w:pPr>
        <w:pStyle w:val="ListParagraph"/>
        <w:numPr>
          <w:ilvl w:val="0"/>
          <w:numId w:val="1"/>
        </w:numPr>
        <w:rPr>
          <w:rFonts w:ascii="Arial" w:hAnsi="Arial" w:cs="Arial"/>
          <w:sz w:val="24"/>
          <w:szCs w:val="24"/>
        </w:rPr>
      </w:pPr>
      <w:r>
        <w:rPr>
          <w:rFonts w:ascii="Arial" w:hAnsi="Arial" w:cs="Arial"/>
          <w:sz w:val="24"/>
          <w:szCs w:val="24"/>
        </w:rPr>
        <w:t>Note the risk in respect of failing to deliver the housing target.</w:t>
      </w:r>
    </w:p>
    <w:p w14:paraId="1BACEFB8" w14:textId="185A8A4E" w:rsidR="00D3051C" w:rsidRPr="00B70889" w:rsidRDefault="00D3051C" w:rsidP="00D3051C">
      <w:pPr>
        <w:pStyle w:val="ListParagraph"/>
        <w:numPr>
          <w:ilvl w:val="0"/>
          <w:numId w:val="1"/>
        </w:numPr>
        <w:rPr>
          <w:rFonts w:ascii="Arial" w:hAnsi="Arial" w:cs="Arial"/>
          <w:sz w:val="24"/>
          <w:szCs w:val="24"/>
        </w:rPr>
      </w:pPr>
      <w:r>
        <w:rPr>
          <w:rFonts w:ascii="Arial" w:hAnsi="Arial" w:cs="Arial"/>
          <w:sz w:val="24"/>
          <w:szCs w:val="24"/>
        </w:rPr>
        <w:t xml:space="preserve">Note that a detailed review to gather the appropriate evidence to verify </w:t>
      </w:r>
      <w:r w:rsidRPr="00B70889">
        <w:rPr>
          <w:rFonts w:ascii="Arial" w:hAnsi="Arial" w:cs="Arial"/>
          <w:sz w:val="24"/>
          <w:szCs w:val="24"/>
        </w:rPr>
        <w:t>current forecast output figures</w:t>
      </w:r>
      <w:r>
        <w:rPr>
          <w:rFonts w:ascii="Arial" w:hAnsi="Arial" w:cs="Arial"/>
          <w:sz w:val="24"/>
          <w:szCs w:val="24"/>
        </w:rPr>
        <w:t xml:space="preserve"> is being undertaken</w:t>
      </w:r>
      <w:r w:rsidR="005A421B">
        <w:rPr>
          <w:rFonts w:ascii="Arial" w:hAnsi="Arial" w:cs="Arial"/>
          <w:sz w:val="24"/>
          <w:szCs w:val="24"/>
        </w:rPr>
        <w:t xml:space="preserve"> and a further update will be provided to the Board at the end of Quarter 2</w:t>
      </w:r>
      <w:r w:rsidRPr="00B70889">
        <w:rPr>
          <w:rFonts w:ascii="Arial" w:hAnsi="Arial" w:cs="Arial"/>
          <w:sz w:val="24"/>
          <w:szCs w:val="24"/>
        </w:rPr>
        <w:t>.</w:t>
      </w:r>
    </w:p>
    <w:p w14:paraId="54752190" w14:textId="0158AFB8" w:rsidR="00D3051C" w:rsidRDefault="00D3051C" w:rsidP="00D3051C">
      <w:pPr>
        <w:pStyle w:val="ListParagraph"/>
        <w:numPr>
          <w:ilvl w:val="0"/>
          <w:numId w:val="1"/>
        </w:numPr>
        <w:rPr>
          <w:rFonts w:ascii="Arial" w:hAnsi="Arial" w:cs="Arial"/>
          <w:sz w:val="24"/>
          <w:szCs w:val="24"/>
        </w:rPr>
      </w:pPr>
      <w:r>
        <w:rPr>
          <w:rFonts w:ascii="Arial" w:hAnsi="Arial" w:cs="Arial"/>
          <w:sz w:val="24"/>
          <w:szCs w:val="24"/>
        </w:rPr>
        <w:t>That</w:t>
      </w:r>
      <w:r w:rsidRPr="00B70889">
        <w:rPr>
          <w:rFonts w:ascii="Arial" w:hAnsi="Arial" w:cs="Arial"/>
          <w:sz w:val="24"/>
          <w:szCs w:val="24"/>
        </w:rPr>
        <w:t xml:space="preserve"> historic reporting data</w:t>
      </w:r>
      <w:r>
        <w:rPr>
          <w:rFonts w:ascii="Arial" w:hAnsi="Arial" w:cs="Arial"/>
          <w:sz w:val="24"/>
          <w:szCs w:val="24"/>
        </w:rPr>
        <w:t xml:space="preserve"> will be re-classified</w:t>
      </w:r>
      <w:r w:rsidRPr="00B70889">
        <w:rPr>
          <w:rFonts w:ascii="Arial" w:hAnsi="Arial" w:cs="Arial"/>
          <w:sz w:val="24"/>
          <w:szCs w:val="24"/>
        </w:rPr>
        <w:t xml:space="preserve"> so that inclusion of apprenticeships in the jobs figures does not continue to be under-reported but falls in line with BEIS recommendations and best practice from other LEPs.</w:t>
      </w:r>
    </w:p>
    <w:p w14:paraId="2C95623D" w14:textId="4228D242" w:rsidR="00D3051C" w:rsidRPr="007205A9" w:rsidRDefault="00D3051C" w:rsidP="00891147">
      <w:pPr>
        <w:pStyle w:val="ListParagraph"/>
        <w:numPr>
          <w:ilvl w:val="0"/>
          <w:numId w:val="1"/>
        </w:numPr>
        <w:rPr>
          <w:rFonts w:ascii="Arial" w:hAnsi="Arial" w:cs="Arial"/>
          <w:sz w:val="24"/>
          <w:szCs w:val="24"/>
        </w:rPr>
      </w:pPr>
      <w:r w:rsidRPr="007205A9">
        <w:rPr>
          <w:rFonts w:ascii="Arial" w:hAnsi="Arial" w:cs="Arial"/>
          <w:sz w:val="24"/>
          <w:szCs w:val="24"/>
        </w:rPr>
        <w:t>Confirm the approach to re-allocating the current unallocated Growth Deal funding.</w:t>
      </w:r>
    </w:p>
    <w:p w14:paraId="79E6783A" w14:textId="77777777" w:rsidR="00D3051C" w:rsidRPr="00B70889" w:rsidRDefault="00D3051C" w:rsidP="00D3051C">
      <w:pPr>
        <w:pStyle w:val="ListParagraph"/>
        <w:numPr>
          <w:ilvl w:val="0"/>
          <w:numId w:val="1"/>
        </w:numPr>
        <w:rPr>
          <w:rFonts w:ascii="Arial" w:hAnsi="Arial" w:cs="Arial"/>
          <w:sz w:val="24"/>
          <w:szCs w:val="24"/>
        </w:rPr>
      </w:pPr>
      <w:r>
        <w:rPr>
          <w:rFonts w:ascii="Arial" w:hAnsi="Arial" w:cs="Arial"/>
          <w:sz w:val="24"/>
          <w:szCs w:val="24"/>
        </w:rPr>
        <w:lastRenderedPageBreak/>
        <w:t>Considers the proposal to set final deadlines for a decision on existing schemes which are currently identified as a risk from a financial delivery point of view.</w:t>
      </w:r>
    </w:p>
    <w:p w14:paraId="199F4082" w14:textId="77777777" w:rsidR="00D3051C" w:rsidRPr="00B70889" w:rsidRDefault="00D3051C" w:rsidP="00D3051C">
      <w:pPr>
        <w:pStyle w:val="ListParagraph"/>
        <w:numPr>
          <w:ilvl w:val="0"/>
          <w:numId w:val="1"/>
        </w:numPr>
        <w:rPr>
          <w:rFonts w:ascii="Arial" w:hAnsi="Arial" w:cs="Arial"/>
          <w:sz w:val="24"/>
          <w:szCs w:val="24"/>
        </w:rPr>
      </w:pPr>
      <w:r>
        <w:rPr>
          <w:rFonts w:ascii="Arial" w:hAnsi="Arial" w:cs="Arial"/>
          <w:sz w:val="24"/>
          <w:szCs w:val="24"/>
        </w:rPr>
        <w:t>Approves</w:t>
      </w:r>
      <w:r w:rsidRPr="00B70889">
        <w:rPr>
          <w:rFonts w:ascii="Arial" w:hAnsi="Arial" w:cs="Arial"/>
          <w:sz w:val="24"/>
          <w:szCs w:val="24"/>
        </w:rPr>
        <w:t xml:space="preserve"> </w:t>
      </w:r>
      <w:r>
        <w:rPr>
          <w:rFonts w:ascii="Arial" w:hAnsi="Arial" w:cs="Arial"/>
          <w:sz w:val="24"/>
          <w:szCs w:val="24"/>
        </w:rPr>
        <w:t>a</w:t>
      </w:r>
      <w:r w:rsidRPr="00B70889">
        <w:rPr>
          <w:rFonts w:ascii="Arial" w:hAnsi="Arial" w:cs="Arial"/>
          <w:sz w:val="24"/>
          <w:szCs w:val="24"/>
        </w:rPr>
        <w:t xml:space="preserve"> proposed approach in respect of the potential finance slippage as set out in the finance section above.</w:t>
      </w:r>
    </w:p>
    <w:p w14:paraId="5D2C0395" w14:textId="77777777" w:rsidR="00922993" w:rsidRPr="00B70889" w:rsidRDefault="00922993" w:rsidP="00922993">
      <w:pPr>
        <w:rPr>
          <w:rFonts w:ascii="Arial" w:hAnsi="Arial" w:cs="Arial"/>
          <w:sz w:val="24"/>
          <w:szCs w:val="24"/>
        </w:rPr>
      </w:pPr>
    </w:p>
    <w:p w14:paraId="0BB7B862" w14:textId="22294711" w:rsidR="002649E8" w:rsidRPr="00B70889" w:rsidRDefault="002649E8">
      <w:pPr>
        <w:rPr>
          <w:rFonts w:ascii="Arial" w:hAnsi="Arial" w:cs="Arial"/>
          <w:sz w:val="24"/>
          <w:szCs w:val="24"/>
        </w:rPr>
      </w:pPr>
    </w:p>
    <w:p w14:paraId="24982B3F" w14:textId="7A6BC6F6" w:rsidR="002649E8" w:rsidRPr="00B70889" w:rsidRDefault="002649E8">
      <w:pPr>
        <w:rPr>
          <w:rFonts w:ascii="Arial" w:hAnsi="Arial" w:cs="Arial"/>
          <w:sz w:val="24"/>
          <w:szCs w:val="24"/>
        </w:rPr>
      </w:pPr>
      <w:r w:rsidRPr="00B70889">
        <w:rPr>
          <w:rFonts w:ascii="Arial" w:hAnsi="Arial" w:cs="Arial"/>
          <w:sz w:val="24"/>
          <w:szCs w:val="24"/>
        </w:rPr>
        <w:t>Jacqui Casey / Sharon Palphreyman</w:t>
      </w:r>
    </w:p>
    <w:p w14:paraId="7EB17F40" w14:textId="65CB932B" w:rsidR="002649E8" w:rsidRDefault="00E5201D">
      <w:pPr>
        <w:rPr>
          <w:rFonts w:ascii="Arial" w:hAnsi="Arial" w:cs="Arial"/>
          <w:sz w:val="24"/>
          <w:szCs w:val="24"/>
        </w:rPr>
      </w:pPr>
      <w:r>
        <w:rPr>
          <w:rFonts w:ascii="Arial" w:hAnsi="Arial" w:cs="Arial"/>
          <w:sz w:val="24"/>
          <w:szCs w:val="24"/>
        </w:rPr>
        <w:t>12</w:t>
      </w:r>
      <w:r w:rsidR="00C2213B" w:rsidRPr="00B70889">
        <w:rPr>
          <w:rFonts w:ascii="Arial" w:hAnsi="Arial" w:cs="Arial"/>
          <w:sz w:val="24"/>
          <w:szCs w:val="24"/>
          <w:vertAlign w:val="superscript"/>
        </w:rPr>
        <w:t>th</w:t>
      </w:r>
      <w:r w:rsidR="00C2213B" w:rsidRPr="00B70889">
        <w:rPr>
          <w:rFonts w:ascii="Arial" w:hAnsi="Arial" w:cs="Arial"/>
          <w:sz w:val="24"/>
          <w:szCs w:val="24"/>
        </w:rPr>
        <w:t xml:space="preserve"> September</w:t>
      </w:r>
      <w:r w:rsidR="002649E8" w:rsidRPr="00B70889">
        <w:rPr>
          <w:rFonts w:ascii="Arial" w:hAnsi="Arial" w:cs="Arial"/>
          <w:sz w:val="24"/>
          <w:szCs w:val="24"/>
        </w:rPr>
        <w:t xml:space="preserve"> 2019</w:t>
      </w:r>
    </w:p>
    <w:sectPr w:rsidR="002649E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5B3DD" w14:textId="77777777" w:rsidR="00FE673C" w:rsidRDefault="00FE673C" w:rsidP="00DF4F64">
      <w:pPr>
        <w:spacing w:after="0" w:line="240" w:lineRule="auto"/>
      </w:pPr>
      <w:r>
        <w:separator/>
      </w:r>
    </w:p>
  </w:endnote>
  <w:endnote w:type="continuationSeparator" w:id="0">
    <w:p w14:paraId="63781183" w14:textId="77777777" w:rsidR="00FE673C" w:rsidRDefault="00FE673C" w:rsidP="00DF4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5A5BF" w14:textId="77777777" w:rsidR="00FE673C" w:rsidRDefault="00FE673C" w:rsidP="00DF4F64">
      <w:pPr>
        <w:spacing w:after="0" w:line="240" w:lineRule="auto"/>
      </w:pPr>
      <w:r>
        <w:separator/>
      </w:r>
    </w:p>
  </w:footnote>
  <w:footnote w:type="continuationSeparator" w:id="0">
    <w:p w14:paraId="6BB0CBB9" w14:textId="77777777" w:rsidR="00FE673C" w:rsidRDefault="00FE673C" w:rsidP="00DF4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9BCE1" w14:textId="5AA2CBCD" w:rsidR="005C4D05" w:rsidRPr="00BE501D" w:rsidRDefault="005C4D05">
    <w:pPr>
      <w:pStyle w:val="Header"/>
      <w:rPr>
        <w:color w:val="FF0000"/>
      </w:rPr>
    </w:pPr>
    <w:r>
      <w:tab/>
    </w:r>
    <w:r>
      <w:tab/>
    </w:r>
    <w:r w:rsidRPr="00BE501D">
      <w:rPr>
        <w:color w:val="FF0000"/>
      </w:rPr>
      <w:t>CONFIDENTIAL</w:t>
    </w:r>
  </w:p>
  <w:p w14:paraId="51C25EF9" w14:textId="77777777" w:rsidR="005C4D05" w:rsidRDefault="005C4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81A1C"/>
    <w:multiLevelType w:val="hybridMultilevel"/>
    <w:tmpl w:val="9BEA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80DEE"/>
    <w:multiLevelType w:val="hybridMultilevel"/>
    <w:tmpl w:val="3CAC1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AA91249"/>
    <w:multiLevelType w:val="hybridMultilevel"/>
    <w:tmpl w:val="2F8ED12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73B24254"/>
    <w:multiLevelType w:val="hybridMultilevel"/>
    <w:tmpl w:val="EA6A66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24"/>
    <w:rsid w:val="0004103B"/>
    <w:rsid w:val="00041A05"/>
    <w:rsid w:val="00076E0A"/>
    <w:rsid w:val="00091DB6"/>
    <w:rsid w:val="000A34C1"/>
    <w:rsid w:val="000B54F8"/>
    <w:rsid w:val="000E5E1E"/>
    <w:rsid w:val="001042AC"/>
    <w:rsid w:val="0012614F"/>
    <w:rsid w:val="001627B5"/>
    <w:rsid w:val="0016348B"/>
    <w:rsid w:val="001B5225"/>
    <w:rsid w:val="0020476B"/>
    <w:rsid w:val="00221E11"/>
    <w:rsid w:val="00231143"/>
    <w:rsid w:val="002649E8"/>
    <w:rsid w:val="002E1BEA"/>
    <w:rsid w:val="003637DB"/>
    <w:rsid w:val="00364DE4"/>
    <w:rsid w:val="00385C7B"/>
    <w:rsid w:val="00392738"/>
    <w:rsid w:val="003A21EF"/>
    <w:rsid w:val="003B06F5"/>
    <w:rsid w:val="003B6CE1"/>
    <w:rsid w:val="003C76D5"/>
    <w:rsid w:val="00416710"/>
    <w:rsid w:val="00461650"/>
    <w:rsid w:val="004A3785"/>
    <w:rsid w:val="004F7869"/>
    <w:rsid w:val="00525FBA"/>
    <w:rsid w:val="005434B0"/>
    <w:rsid w:val="00546F62"/>
    <w:rsid w:val="00551CA6"/>
    <w:rsid w:val="00575216"/>
    <w:rsid w:val="00576D2A"/>
    <w:rsid w:val="005978E8"/>
    <w:rsid w:val="005A421B"/>
    <w:rsid w:val="005C4D05"/>
    <w:rsid w:val="005D129D"/>
    <w:rsid w:val="005E416D"/>
    <w:rsid w:val="005F0898"/>
    <w:rsid w:val="00633390"/>
    <w:rsid w:val="00640E3D"/>
    <w:rsid w:val="00652F13"/>
    <w:rsid w:val="00677122"/>
    <w:rsid w:val="006A73AC"/>
    <w:rsid w:val="006E366B"/>
    <w:rsid w:val="00701068"/>
    <w:rsid w:val="00713B70"/>
    <w:rsid w:val="007205A9"/>
    <w:rsid w:val="00754991"/>
    <w:rsid w:val="00793269"/>
    <w:rsid w:val="007F4B15"/>
    <w:rsid w:val="00834D45"/>
    <w:rsid w:val="0088304C"/>
    <w:rsid w:val="008E4BAE"/>
    <w:rsid w:val="008F4D7B"/>
    <w:rsid w:val="00922993"/>
    <w:rsid w:val="00931C12"/>
    <w:rsid w:val="00962596"/>
    <w:rsid w:val="00986E71"/>
    <w:rsid w:val="009C1AE1"/>
    <w:rsid w:val="009C6B02"/>
    <w:rsid w:val="009D541D"/>
    <w:rsid w:val="009F36C3"/>
    <w:rsid w:val="00A1526B"/>
    <w:rsid w:val="00A2614C"/>
    <w:rsid w:val="00A70F89"/>
    <w:rsid w:val="00AB18E7"/>
    <w:rsid w:val="00AE0EF9"/>
    <w:rsid w:val="00AF6AC4"/>
    <w:rsid w:val="00B2261A"/>
    <w:rsid w:val="00B22631"/>
    <w:rsid w:val="00B37037"/>
    <w:rsid w:val="00B70889"/>
    <w:rsid w:val="00B863D1"/>
    <w:rsid w:val="00B93422"/>
    <w:rsid w:val="00BB2B44"/>
    <w:rsid w:val="00BB3DAB"/>
    <w:rsid w:val="00BC6124"/>
    <w:rsid w:val="00BD3657"/>
    <w:rsid w:val="00BE501D"/>
    <w:rsid w:val="00C2213B"/>
    <w:rsid w:val="00C332E9"/>
    <w:rsid w:val="00C4660C"/>
    <w:rsid w:val="00C67A4C"/>
    <w:rsid w:val="00C74CF3"/>
    <w:rsid w:val="00D3051C"/>
    <w:rsid w:val="00DC01F3"/>
    <w:rsid w:val="00DF4F64"/>
    <w:rsid w:val="00E01BA3"/>
    <w:rsid w:val="00E330B7"/>
    <w:rsid w:val="00E50A43"/>
    <w:rsid w:val="00E5201D"/>
    <w:rsid w:val="00E57F67"/>
    <w:rsid w:val="00E661B9"/>
    <w:rsid w:val="00E745C8"/>
    <w:rsid w:val="00EA251E"/>
    <w:rsid w:val="00EA5BFC"/>
    <w:rsid w:val="00EB79CE"/>
    <w:rsid w:val="00F137E6"/>
    <w:rsid w:val="00FD6D10"/>
    <w:rsid w:val="00FE673C"/>
    <w:rsid w:val="00FF7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CC7F06"/>
  <w15:chartTrackingRefBased/>
  <w15:docId w15:val="{44F0F570-5648-40B2-806C-21F71CB9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5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3DAB"/>
    <w:rPr>
      <w:sz w:val="16"/>
      <w:szCs w:val="16"/>
    </w:rPr>
  </w:style>
  <w:style w:type="paragraph" w:styleId="CommentText">
    <w:name w:val="annotation text"/>
    <w:basedOn w:val="Normal"/>
    <w:link w:val="CommentTextChar"/>
    <w:uiPriority w:val="99"/>
    <w:semiHidden/>
    <w:unhideWhenUsed/>
    <w:rsid w:val="00BB3DAB"/>
    <w:pPr>
      <w:spacing w:line="240" w:lineRule="auto"/>
    </w:pPr>
    <w:rPr>
      <w:sz w:val="20"/>
      <w:szCs w:val="20"/>
    </w:rPr>
  </w:style>
  <w:style w:type="character" w:customStyle="1" w:styleId="CommentTextChar">
    <w:name w:val="Comment Text Char"/>
    <w:basedOn w:val="DefaultParagraphFont"/>
    <w:link w:val="CommentText"/>
    <w:uiPriority w:val="99"/>
    <w:semiHidden/>
    <w:rsid w:val="00BB3DAB"/>
    <w:rPr>
      <w:sz w:val="20"/>
      <w:szCs w:val="20"/>
    </w:rPr>
  </w:style>
  <w:style w:type="paragraph" w:styleId="CommentSubject">
    <w:name w:val="annotation subject"/>
    <w:basedOn w:val="CommentText"/>
    <w:next w:val="CommentText"/>
    <w:link w:val="CommentSubjectChar"/>
    <w:uiPriority w:val="99"/>
    <w:semiHidden/>
    <w:unhideWhenUsed/>
    <w:rsid w:val="00BB3DAB"/>
    <w:rPr>
      <w:b/>
      <w:bCs/>
    </w:rPr>
  </w:style>
  <w:style w:type="character" w:customStyle="1" w:styleId="CommentSubjectChar">
    <w:name w:val="Comment Subject Char"/>
    <w:basedOn w:val="CommentTextChar"/>
    <w:link w:val="CommentSubject"/>
    <w:uiPriority w:val="99"/>
    <w:semiHidden/>
    <w:rsid w:val="00BB3DAB"/>
    <w:rPr>
      <w:b/>
      <w:bCs/>
      <w:sz w:val="20"/>
      <w:szCs w:val="20"/>
    </w:rPr>
  </w:style>
  <w:style w:type="paragraph" w:styleId="BalloonText">
    <w:name w:val="Balloon Text"/>
    <w:basedOn w:val="Normal"/>
    <w:link w:val="BalloonTextChar"/>
    <w:uiPriority w:val="99"/>
    <w:semiHidden/>
    <w:unhideWhenUsed/>
    <w:rsid w:val="00BB3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DAB"/>
    <w:rPr>
      <w:rFonts w:ascii="Segoe UI" w:hAnsi="Segoe UI" w:cs="Segoe UI"/>
      <w:sz w:val="18"/>
      <w:szCs w:val="18"/>
    </w:rPr>
  </w:style>
  <w:style w:type="paragraph" w:styleId="ListParagraph">
    <w:name w:val="List Paragraph"/>
    <w:basedOn w:val="Normal"/>
    <w:uiPriority w:val="34"/>
    <w:qFormat/>
    <w:rsid w:val="00221E11"/>
    <w:pPr>
      <w:ind w:left="720"/>
      <w:contextualSpacing/>
    </w:pPr>
  </w:style>
  <w:style w:type="paragraph" w:styleId="Header">
    <w:name w:val="header"/>
    <w:basedOn w:val="Normal"/>
    <w:link w:val="HeaderChar"/>
    <w:uiPriority w:val="99"/>
    <w:unhideWhenUsed/>
    <w:rsid w:val="00BE5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01D"/>
  </w:style>
  <w:style w:type="paragraph" w:styleId="Footer">
    <w:name w:val="footer"/>
    <w:basedOn w:val="Normal"/>
    <w:link w:val="FooterChar"/>
    <w:uiPriority w:val="99"/>
    <w:unhideWhenUsed/>
    <w:rsid w:val="00BE5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837298">
      <w:bodyDiv w:val="1"/>
      <w:marLeft w:val="0"/>
      <w:marRight w:val="0"/>
      <w:marTop w:val="0"/>
      <w:marBottom w:val="0"/>
      <w:divBdr>
        <w:top w:val="none" w:sz="0" w:space="0" w:color="auto"/>
        <w:left w:val="none" w:sz="0" w:space="0" w:color="auto"/>
        <w:bottom w:val="none" w:sz="0" w:space="0" w:color="auto"/>
        <w:right w:val="none" w:sz="0" w:space="0" w:color="auto"/>
      </w:divBdr>
    </w:div>
    <w:div w:id="1444299936">
      <w:bodyDiv w:val="1"/>
      <w:marLeft w:val="0"/>
      <w:marRight w:val="0"/>
      <w:marTop w:val="0"/>
      <w:marBottom w:val="0"/>
      <w:divBdr>
        <w:top w:val="none" w:sz="0" w:space="0" w:color="auto"/>
        <w:left w:val="none" w:sz="0" w:space="0" w:color="auto"/>
        <w:bottom w:val="none" w:sz="0" w:space="0" w:color="auto"/>
        <w:right w:val="none" w:sz="0" w:space="0" w:color="auto"/>
      </w:divBdr>
    </w:div>
    <w:div w:id="1742823058">
      <w:bodyDiv w:val="1"/>
      <w:marLeft w:val="0"/>
      <w:marRight w:val="0"/>
      <w:marTop w:val="0"/>
      <w:marBottom w:val="0"/>
      <w:divBdr>
        <w:top w:val="none" w:sz="0" w:space="0" w:color="auto"/>
        <w:left w:val="none" w:sz="0" w:space="0" w:color="auto"/>
        <w:bottom w:val="none" w:sz="0" w:space="0" w:color="auto"/>
        <w:right w:val="none" w:sz="0" w:space="0" w:color="auto"/>
      </w:divBdr>
    </w:div>
    <w:div w:id="192545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23890-00C4-4B31-8A2C-E84AA987F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Ablewhite, Simon (Corporate)</dc:creator>
  <cp:keywords/>
  <dc:description/>
  <cp:lastModifiedBy>Casey, Jacqui (E,I&amp;S)</cp:lastModifiedBy>
  <cp:revision>9</cp:revision>
  <dcterms:created xsi:type="dcterms:W3CDTF">2019-09-12T15:39:00Z</dcterms:created>
  <dcterms:modified xsi:type="dcterms:W3CDTF">2019-09-13T15:22:00Z</dcterms:modified>
</cp:coreProperties>
</file>