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404" w:rsidRPr="00B877F7" w:rsidRDefault="00100094" w:rsidP="00C1697F">
      <w:pPr>
        <w:pStyle w:val="RecBodyText"/>
        <w:rPr>
          <w:b/>
        </w:rPr>
      </w:pPr>
      <w:bookmarkStart w:id="0" w:name="_GoBack"/>
      <w:bookmarkEnd w:id="0"/>
      <w:r>
        <w:tab/>
      </w:r>
      <w:r>
        <w:tab/>
      </w:r>
      <w:r>
        <w:tab/>
      </w:r>
      <w:r>
        <w:tab/>
      </w:r>
      <w:r>
        <w:tab/>
      </w:r>
      <w:r>
        <w:tab/>
      </w:r>
      <w:r>
        <w:tab/>
      </w:r>
      <w:r>
        <w:tab/>
      </w:r>
      <w:r>
        <w:tab/>
      </w:r>
      <w:r>
        <w:tab/>
      </w:r>
      <w:r w:rsidRPr="00B877F7">
        <w:rPr>
          <w:b/>
        </w:rPr>
        <w:t xml:space="preserve">Item </w:t>
      </w:r>
      <w:r w:rsidR="00B877F7" w:rsidRPr="00B877F7">
        <w:rPr>
          <w:b/>
        </w:rPr>
        <w:t>12</w:t>
      </w:r>
      <w:r w:rsidRPr="00B877F7">
        <w:rPr>
          <w:b/>
        </w:rPr>
        <w:t xml:space="preserve"> Appendix B</w:t>
      </w:r>
    </w:p>
    <w:p w:rsidR="00D64404" w:rsidRPr="00312D4C" w:rsidRDefault="00D64404" w:rsidP="00D64404">
      <w:pPr>
        <w:ind w:left="1260"/>
        <w:rPr>
          <w:rFonts w:ascii="Century Gothic" w:hAnsi="Century Gothic"/>
          <w:color w:val="000080"/>
        </w:rPr>
      </w:pPr>
    </w:p>
    <w:p w:rsidR="00D64404" w:rsidRPr="00312D4C" w:rsidRDefault="00D64404" w:rsidP="0099135D">
      <w:pPr>
        <w:rPr>
          <w:rFonts w:ascii="Century Gothic" w:hAnsi="Century Gothic"/>
          <w:color w:val="000080"/>
        </w:rPr>
      </w:pPr>
    </w:p>
    <w:p w:rsidR="00D64404" w:rsidRPr="00312D4C" w:rsidRDefault="00D64404" w:rsidP="00AA4F0E">
      <w:pPr>
        <w:rPr>
          <w:rFonts w:ascii="Century Gothic" w:hAnsi="Century Gothic"/>
          <w:color w:val="000080"/>
        </w:rPr>
      </w:pPr>
    </w:p>
    <w:p w:rsidR="00D64404" w:rsidRPr="00312D4C" w:rsidRDefault="0099135D" w:rsidP="00D64404">
      <w:pPr>
        <w:ind w:left="1260"/>
        <w:rPr>
          <w:rFonts w:ascii="Century Gothic" w:hAnsi="Century Gothic"/>
          <w:color w:val="000080"/>
        </w:rPr>
      </w:pPr>
      <w:r>
        <w:rPr>
          <w:rFonts w:ascii="Lucida Handwriting" w:hAnsi="Lucida Handwriting"/>
          <w:noProof/>
          <w:color w:val="000080"/>
          <w:sz w:val="30"/>
          <w:szCs w:val="30"/>
        </w:rPr>
        <w:drawing>
          <wp:inline distT="0" distB="0" distL="0" distR="0" wp14:anchorId="1DFDBE72" wp14:editId="2A7FD3C3">
            <wp:extent cx="279019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190" cy="762000"/>
                    </a:xfrm>
                    <a:prstGeom prst="rect">
                      <a:avLst/>
                    </a:prstGeom>
                    <a:noFill/>
                  </pic:spPr>
                </pic:pic>
              </a:graphicData>
            </a:graphic>
          </wp:inline>
        </w:drawing>
      </w:r>
    </w:p>
    <w:p w:rsidR="00D64404" w:rsidRPr="00312D4C" w:rsidRDefault="00D64404" w:rsidP="00D64404">
      <w:pPr>
        <w:ind w:left="1260"/>
        <w:rPr>
          <w:rFonts w:ascii="Century Gothic" w:hAnsi="Century Gothic"/>
          <w:color w:val="000080"/>
        </w:rPr>
      </w:pPr>
    </w:p>
    <w:p w:rsidR="00D64404" w:rsidRPr="00312D4C" w:rsidRDefault="00D64404" w:rsidP="00D64404">
      <w:pPr>
        <w:ind w:left="1260"/>
        <w:rPr>
          <w:rFonts w:ascii="Century Gothic" w:hAnsi="Century Gothic"/>
          <w:color w:val="000080"/>
        </w:rPr>
      </w:pPr>
    </w:p>
    <w:p w:rsidR="00D64404" w:rsidRPr="00312D4C" w:rsidRDefault="00D64404" w:rsidP="00D64404">
      <w:pPr>
        <w:ind w:left="1260"/>
        <w:rPr>
          <w:rFonts w:ascii="Century Gothic" w:hAnsi="Century Gothic"/>
          <w:color w:val="000080"/>
        </w:rPr>
      </w:pPr>
    </w:p>
    <w:p w:rsidR="00D64404" w:rsidRPr="00312D4C" w:rsidRDefault="00D64404" w:rsidP="00D64404">
      <w:pPr>
        <w:ind w:left="1260"/>
        <w:rPr>
          <w:rFonts w:ascii="Century Gothic" w:hAnsi="Century Gothic"/>
          <w:color w:val="000080"/>
        </w:rPr>
      </w:pPr>
    </w:p>
    <w:p w:rsidR="007B2963" w:rsidRDefault="00996539" w:rsidP="00AE6DB4">
      <w:pPr>
        <w:ind w:left="1260"/>
        <w:rPr>
          <w:rFonts w:cs="Arial"/>
          <w:color w:val="B58829"/>
          <w:sz w:val="72"/>
          <w:szCs w:val="72"/>
        </w:rPr>
      </w:pPr>
      <w:r>
        <w:rPr>
          <w:rFonts w:cs="Arial"/>
          <w:color w:val="B58829"/>
          <w:sz w:val="72"/>
          <w:szCs w:val="72"/>
        </w:rPr>
        <w:t xml:space="preserve">Local Enterprise Partnership </w:t>
      </w:r>
      <w:r w:rsidR="00AD3556">
        <w:rPr>
          <w:rFonts w:cs="Arial"/>
          <w:color w:val="B58829"/>
          <w:sz w:val="72"/>
          <w:szCs w:val="72"/>
        </w:rPr>
        <w:t>Governance</w:t>
      </w:r>
    </w:p>
    <w:p w:rsidR="007B2963" w:rsidRDefault="007B2963" w:rsidP="009D186C">
      <w:pPr>
        <w:rPr>
          <w:rFonts w:cs="Arial"/>
          <w:color w:val="B58829"/>
          <w:sz w:val="72"/>
          <w:szCs w:val="72"/>
        </w:rPr>
      </w:pPr>
    </w:p>
    <w:p w:rsidR="00AE6DB4" w:rsidRDefault="00554B54" w:rsidP="00AE6DB4">
      <w:pPr>
        <w:ind w:left="1260"/>
        <w:rPr>
          <w:rFonts w:cs="Arial"/>
          <w:color w:val="auto"/>
          <w:sz w:val="40"/>
          <w:szCs w:val="40"/>
        </w:rPr>
      </w:pPr>
      <w:r>
        <w:rPr>
          <w:rFonts w:cs="Arial"/>
          <w:color w:val="auto"/>
          <w:sz w:val="40"/>
          <w:szCs w:val="40"/>
        </w:rPr>
        <w:t>Final</w:t>
      </w:r>
      <w:r w:rsidR="00A51F7A">
        <w:rPr>
          <w:rFonts w:cs="Arial"/>
          <w:color w:val="auto"/>
          <w:sz w:val="40"/>
          <w:szCs w:val="40"/>
        </w:rPr>
        <w:t xml:space="preserve"> </w:t>
      </w:r>
      <w:r w:rsidR="00AE6DB4">
        <w:rPr>
          <w:rFonts w:cs="Arial"/>
          <w:color w:val="auto"/>
          <w:sz w:val="40"/>
          <w:szCs w:val="40"/>
        </w:rPr>
        <w:t xml:space="preserve">Audit Report </w:t>
      </w:r>
    </w:p>
    <w:p w:rsidR="00AE6DB4" w:rsidRPr="00512AD8" w:rsidRDefault="00AE6DB4" w:rsidP="00AE6DB4">
      <w:pPr>
        <w:ind w:left="1260"/>
        <w:rPr>
          <w:rFonts w:cs="Arial"/>
          <w:color w:val="auto"/>
          <w:sz w:val="40"/>
          <w:szCs w:val="40"/>
        </w:rPr>
      </w:pPr>
      <w:r>
        <w:rPr>
          <w:rFonts w:cs="Arial"/>
          <w:color w:val="auto"/>
          <w:sz w:val="40"/>
          <w:szCs w:val="40"/>
        </w:rPr>
        <w:t>2018/19</w:t>
      </w:r>
    </w:p>
    <w:p w:rsidR="00D64404" w:rsidRPr="00312D4C" w:rsidRDefault="00D64404" w:rsidP="00D64404">
      <w:pPr>
        <w:ind w:left="1260"/>
        <w:rPr>
          <w:rFonts w:ascii="Century Gothic" w:hAnsi="Century Gothic"/>
          <w:color w:val="000080"/>
        </w:rPr>
      </w:pPr>
    </w:p>
    <w:p w:rsidR="00D64404" w:rsidRDefault="00D64404" w:rsidP="00D64404">
      <w:pPr>
        <w:ind w:left="1260"/>
        <w:rPr>
          <w:rFonts w:ascii="Century Gothic" w:hAnsi="Century Gothic"/>
          <w:color w:val="000080"/>
        </w:rPr>
      </w:pPr>
    </w:p>
    <w:p w:rsidR="0099135D" w:rsidRDefault="0099135D" w:rsidP="00D64404">
      <w:pPr>
        <w:ind w:left="1260"/>
        <w:rPr>
          <w:rFonts w:ascii="Century Gothic" w:hAnsi="Century Gothic"/>
          <w:color w:val="000080"/>
        </w:rPr>
      </w:pPr>
    </w:p>
    <w:p w:rsidR="0099135D" w:rsidRDefault="0099135D" w:rsidP="00D64404">
      <w:pPr>
        <w:ind w:left="1260"/>
        <w:rPr>
          <w:rFonts w:ascii="Century Gothic" w:hAnsi="Century Gothic"/>
          <w:color w:val="000080"/>
        </w:rPr>
      </w:pPr>
    </w:p>
    <w:p w:rsidR="0099135D" w:rsidRPr="00312D4C" w:rsidRDefault="0099135D" w:rsidP="00D64404">
      <w:pPr>
        <w:ind w:left="1260"/>
        <w:rPr>
          <w:rFonts w:ascii="Century Gothic" w:hAnsi="Century Gothic"/>
          <w:color w:val="000080"/>
        </w:rPr>
      </w:pPr>
    </w:p>
    <w:p w:rsidR="00D64404" w:rsidRPr="00312D4C" w:rsidRDefault="00D64404" w:rsidP="00D64404">
      <w:pPr>
        <w:ind w:left="1260"/>
        <w:rPr>
          <w:rFonts w:ascii="Century Gothic" w:hAnsi="Century Gothic"/>
          <w:color w:val="000080"/>
        </w:rPr>
      </w:pPr>
    </w:p>
    <w:p w:rsidR="00D64404" w:rsidRPr="00512AD8" w:rsidRDefault="00D64404" w:rsidP="00D64404">
      <w:pPr>
        <w:ind w:left="1260"/>
        <w:rPr>
          <w:rFonts w:cs="Arial"/>
          <w:color w:val="B58829"/>
          <w:sz w:val="72"/>
          <w:szCs w:val="72"/>
        </w:rPr>
      </w:pPr>
      <w:bookmarkStart w:id="1" w:name="auditname"/>
      <w:bookmarkEnd w:id="1"/>
    </w:p>
    <w:p w:rsidR="00D64404" w:rsidRDefault="00D64404" w:rsidP="00D64404">
      <w:pPr>
        <w:ind w:left="1260"/>
        <w:rPr>
          <w:rFonts w:cs="Arial"/>
          <w:color w:val="auto"/>
          <w:sz w:val="40"/>
          <w:szCs w:val="40"/>
        </w:rPr>
      </w:pPr>
      <w:bookmarkStart w:id="2" w:name="reporttype"/>
      <w:bookmarkEnd w:id="2"/>
    </w:p>
    <w:p w:rsidR="00D64404" w:rsidRDefault="00D64404" w:rsidP="00AE6DB4">
      <w:pPr>
        <w:rPr>
          <w:rFonts w:ascii="Century Gothic" w:hAnsi="Century Gothic"/>
          <w:color w:val="333399"/>
          <w:sz w:val="40"/>
          <w:szCs w:val="40"/>
        </w:rPr>
        <w:sectPr w:rsidR="00D64404" w:rsidSect="00C2610C">
          <w:headerReference w:type="default" r:id="rId9"/>
          <w:footerReference w:type="default" r:id="rId10"/>
          <w:footerReference w:type="first" r:id="rId11"/>
          <w:pgSz w:w="11906" w:h="16838"/>
          <w:pgMar w:top="1440" w:right="1286" w:bottom="1440" w:left="360" w:header="360" w:footer="426" w:gutter="0"/>
          <w:cols w:space="708"/>
          <w:docGrid w:linePitch="360"/>
        </w:sectPr>
      </w:pPr>
    </w:p>
    <w:p w:rsidR="00D64404" w:rsidRDefault="00D64404" w:rsidP="00D64404">
      <w:pPr>
        <w:ind w:right="3060"/>
        <w:rPr>
          <w:rFonts w:ascii="Century Gothic" w:hAnsi="Century Gothic"/>
          <w:color w:val="333399"/>
        </w:rPr>
      </w:pPr>
    </w:p>
    <w:p w:rsidR="00D64404" w:rsidRDefault="00D64404" w:rsidP="00D64404">
      <w:pPr>
        <w:ind w:right="3060"/>
        <w:rPr>
          <w:rFonts w:ascii="Century Gothic" w:hAnsi="Century Gothic"/>
          <w:color w:val="333399"/>
        </w:rPr>
      </w:pPr>
    </w:p>
    <w:p w:rsidR="00D64404" w:rsidRPr="00312D4C" w:rsidRDefault="00D64404" w:rsidP="00D64404">
      <w:pPr>
        <w:ind w:right="3060"/>
        <w:rPr>
          <w:rFonts w:ascii="Century Gothic" w:hAnsi="Century Gothic"/>
          <w:color w:val="000080"/>
        </w:rPr>
      </w:pPr>
    </w:p>
    <w:p w:rsidR="00D64404" w:rsidRPr="00312D4C" w:rsidRDefault="00D64404" w:rsidP="00D64404">
      <w:pPr>
        <w:ind w:right="3060"/>
        <w:rPr>
          <w:rFonts w:ascii="Century Gothic" w:hAnsi="Century Gothic"/>
          <w:color w:val="000080"/>
        </w:rPr>
      </w:pPr>
    </w:p>
    <w:p w:rsidR="00D64404" w:rsidRPr="00312D4C" w:rsidRDefault="00D64404" w:rsidP="00D64404">
      <w:pPr>
        <w:ind w:right="3060"/>
        <w:rPr>
          <w:rFonts w:ascii="Century Gothic" w:hAnsi="Century Gothic"/>
          <w:color w:val="000080"/>
        </w:rPr>
      </w:pPr>
    </w:p>
    <w:p w:rsidR="00D64404" w:rsidRPr="00312D4C" w:rsidRDefault="00D64404" w:rsidP="00D64404">
      <w:pPr>
        <w:ind w:right="3060"/>
        <w:rPr>
          <w:rFonts w:ascii="Century Gothic" w:hAnsi="Century Gothic"/>
          <w:color w:val="000080"/>
        </w:rPr>
      </w:pPr>
    </w:p>
    <w:p w:rsidR="00D64404" w:rsidRPr="00312D4C" w:rsidRDefault="00D64404" w:rsidP="00D64404">
      <w:pPr>
        <w:ind w:right="3060"/>
        <w:rPr>
          <w:rFonts w:ascii="Century Gothic" w:hAnsi="Century Gothic"/>
          <w:color w:val="000080"/>
        </w:rPr>
      </w:pPr>
    </w:p>
    <w:p w:rsidR="00D64404" w:rsidRPr="001F39CC" w:rsidRDefault="00D64404" w:rsidP="00D64404">
      <w:pPr>
        <w:ind w:right="2520"/>
        <w:rPr>
          <w:rFonts w:cs="Arial"/>
          <w:color w:val="B58829"/>
          <w:sz w:val="48"/>
          <w:szCs w:val="48"/>
        </w:rPr>
      </w:pPr>
      <w:r w:rsidRPr="001F39CC">
        <w:rPr>
          <w:rFonts w:cs="Arial"/>
          <w:color w:val="B58829"/>
          <w:sz w:val="48"/>
          <w:szCs w:val="48"/>
        </w:rPr>
        <w:t xml:space="preserve">Our </w:t>
      </w:r>
      <w:r w:rsidR="001F39CC" w:rsidRPr="001F39CC">
        <w:rPr>
          <w:rFonts w:cs="Arial"/>
          <w:color w:val="B58829"/>
          <w:sz w:val="48"/>
          <w:szCs w:val="48"/>
        </w:rPr>
        <w:t>Mission</w:t>
      </w:r>
    </w:p>
    <w:p w:rsidR="00D64404" w:rsidRPr="001F39CC" w:rsidRDefault="00D64404" w:rsidP="00D64404">
      <w:pPr>
        <w:ind w:right="2520"/>
        <w:rPr>
          <w:rFonts w:cs="Arial"/>
          <w:color w:val="000080"/>
          <w:sz w:val="28"/>
          <w:szCs w:val="28"/>
        </w:rPr>
      </w:pPr>
    </w:p>
    <w:p w:rsidR="00D64404" w:rsidRPr="001F39CC" w:rsidRDefault="001F39CC" w:rsidP="001F39CC">
      <w:pPr>
        <w:tabs>
          <w:tab w:val="left" w:pos="7513"/>
          <w:tab w:val="left" w:pos="7797"/>
        </w:tabs>
        <w:ind w:right="2659"/>
        <w:rPr>
          <w:rFonts w:cs="Arial"/>
          <w:color w:val="auto"/>
          <w:sz w:val="32"/>
          <w:szCs w:val="32"/>
        </w:rPr>
      </w:pPr>
      <w:r w:rsidRPr="001F39CC">
        <w:rPr>
          <w:rFonts w:cs="Arial"/>
          <w:color w:val="auto"/>
          <w:sz w:val="32"/>
          <w:szCs w:val="32"/>
        </w:rPr>
        <w:t>To enhance and protect organisational value by providing risk-based and objective assurance, advice and insight.</w:t>
      </w:r>
    </w:p>
    <w:p w:rsidR="00D64404" w:rsidRPr="00312D4C" w:rsidRDefault="00D64404" w:rsidP="00D64404">
      <w:pPr>
        <w:ind w:right="3060"/>
        <w:rPr>
          <w:rFonts w:ascii="Century Gothic" w:hAnsi="Century Gothic"/>
          <w:color w:val="000080"/>
        </w:rPr>
      </w:pPr>
    </w:p>
    <w:p w:rsidR="00D64404" w:rsidRPr="00312D4C" w:rsidRDefault="00D64404" w:rsidP="00D64404">
      <w:pPr>
        <w:ind w:right="3060"/>
        <w:rPr>
          <w:rFonts w:ascii="Century Gothic" w:hAnsi="Century Gothic"/>
          <w:color w:val="000080"/>
        </w:rPr>
      </w:pPr>
    </w:p>
    <w:p w:rsidR="00D64404" w:rsidRPr="00312D4C" w:rsidRDefault="00D64404" w:rsidP="00D64404">
      <w:pPr>
        <w:ind w:right="3060"/>
        <w:rPr>
          <w:rFonts w:ascii="Century Gothic" w:hAnsi="Century Gothic"/>
          <w:color w:val="000080"/>
        </w:rPr>
      </w:pPr>
    </w:p>
    <w:p w:rsidR="00D64404" w:rsidRDefault="00D64404" w:rsidP="00D64404">
      <w:pPr>
        <w:ind w:right="3060"/>
        <w:rPr>
          <w:rFonts w:ascii="Century Gothic" w:hAnsi="Century Gothic"/>
          <w:color w:val="000080"/>
        </w:rPr>
      </w:pPr>
    </w:p>
    <w:p w:rsidR="00E66D9A" w:rsidRDefault="00E66D9A" w:rsidP="00D64404">
      <w:pPr>
        <w:ind w:right="3060"/>
        <w:rPr>
          <w:rFonts w:ascii="Century Gothic" w:hAnsi="Century Gothic"/>
          <w:color w:val="000080"/>
        </w:rPr>
      </w:pPr>
    </w:p>
    <w:p w:rsidR="00E66D9A" w:rsidRDefault="00E66D9A" w:rsidP="00D64404">
      <w:pPr>
        <w:ind w:right="3060"/>
        <w:rPr>
          <w:rFonts w:ascii="Century Gothic" w:hAnsi="Century Gothic"/>
          <w:color w:val="000080"/>
        </w:rPr>
      </w:pPr>
    </w:p>
    <w:p w:rsidR="00E66D9A" w:rsidRDefault="00E66D9A" w:rsidP="00D64404">
      <w:pPr>
        <w:ind w:right="3060"/>
        <w:rPr>
          <w:rFonts w:ascii="Century Gothic" w:hAnsi="Century Gothic"/>
          <w:color w:val="000080"/>
        </w:rPr>
      </w:pPr>
    </w:p>
    <w:p w:rsidR="00E66D9A" w:rsidRDefault="00E66D9A" w:rsidP="00D64404">
      <w:pPr>
        <w:ind w:right="3060"/>
        <w:rPr>
          <w:rFonts w:ascii="Century Gothic" w:hAnsi="Century Gothic"/>
          <w:color w:val="000080"/>
        </w:rPr>
      </w:pPr>
    </w:p>
    <w:p w:rsidR="00E66D9A" w:rsidRDefault="00E66D9A" w:rsidP="00D64404">
      <w:pPr>
        <w:ind w:right="3060"/>
        <w:rPr>
          <w:rFonts w:ascii="Century Gothic" w:hAnsi="Century Gothic"/>
          <w:color w:val="000080"/>
        </w:rPr>
      </w:pPr>
    </w:p>
    <w:p w:rsidR="001045AC" w:rsidRDefault="001045AC" w:rsidP="00D64404">
      <w:pPr>
        <w:ind w:right="3060"/>
        <w:rPr>
          <w:rFonts w:ascii="Century Gothic" w:hAnsi="Century Gothic"/>
          <w:color w:val="000080"/>
        </w:rPr>
      </w:pPr>
    </w:p>
    <w:p w:rsidR="00E66D9A" w:rsidRDefault="00E66D9A" w:rsidP="00D64404">
      <w:pPr>
        <w:ind w:right="3060"/>
        <w:rPr>
          <w:rFonts w:ascii="Century Gothic" w:hAnsi="Century Gothic"/>
          <w:color w:val="000080"/>
        </w:rPr>
      </w:pPr>
    </w:p>
    <w:p w:rsidR="00E66D9A" w:rsidRDefault="00E66D9A" w:rsidP="00D64404">
      <w:pPr>
        <w:ind w:right="3060"/>
        <w:rPr>
          <w:rFonts w:ascii="Century Gothic" w:hAnsi="Century Gothic"/>
          <w:color w:val="000080"/>
        </w:rPr>
      </w:pPr>
    </w:p>
    <w:p w:rsidR="00D64404" w:rsidRPr="00312D4C" w:rsidRDefault="00D64404" w:rsidP="00D64404">
      <w:pPr>
        <w:ind w:right="3060"/>
        <w:rPr>
          <w:rFonts w:ascii="Century Gothic" w:hAnsi="Century Gothic"/>
          <w:color w:val="000080"/>
        </w:rPr>
      </w:pPr>
    </w:p>
    <w:p w:rsidR="00D64404" w:rsidRPr="00312D4C" w:rsidRDefault="00D64404" w:rsidP="00D64404">
      <w:pPr>
        <w:ind w:right="3060"/>
        <w:rPr>
          <w:rFonts w:ascii="Century Gothic" w:hAnsi="Century Gothic"/>
          <w:color w:val="0000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1045AC" w:rsidTr="007B2963">
        <w:tc>
          <w:tcPr>
            <w:tcW w:w="9180" w:type="dxa"/>
          </w:tcPr>
          <w:p w:rsidR="001045AC" w:rsidRDefault="001045AC" w:rsidP="00D64404">
            <w:pPr>
              <w:ind w:right="3060"/>
              <w:rPr>
                <w:rFonts w:cs="Arial"/>
                <w:b/>
                <w:color w:val="B58829"/>
              </w:rPr>
            </w:pPr>
            <w:r>
              <w:rPr>
                <w:rFonts w:cs="Arial"/>
                <w:b/>
                <w:color w:val="B58829"/>
              </w:rPr>
              <w:t>Chief Internal Auditor</w:t>
            </w:r>
          </w:p>
        </w:tc>
      </w:tr>
      <w:tr w:rsidR="001045AC" w:rsidTr="007B2963">
        <w:tc>
          <w:tcPr>
            <w:tcW w:w="9180" w:type="dxa"/>
          </w:tcPr>
          <w:p w:rsidR="001045AC" w:rsidRPr="001045AC" w:rsidRDefault="00112897" w:rsidP="00112897">
            <w:pPr>
              <w:ind w:right="3060"/>
              <w:rPr>
                <w:rFonts w:cs="Arial"/>
                <w:color w:val="B58829"/>
                <w:szCs w:val="20"/>
              </w:rPr>
            </w:pPr>
            <w:r>
              <w:rPr>
                <w:rFonts w:cs="Arial"/>
                <w:szCs w:val="20"/>
              </w:rPr>
              <w:t>Deborah Harris</w:t>
            </w:r>
          </w:p>
        </w:tc>
      </w:tr>
      <w:tr w:rsidR="001045AC" w:rsidTr="007B2963">
        <w:tc>
          <w:tcPr>
            <w:tcW w:w="9180" w:type="dxa"/>
          </w:tcPr>
          <w:p w:rsidR="001045AC" w:rsidRDefault="001045AC" w:rsidP="00D64404">
            <w:pPr>
              <w:ind w:right="3060"/>
              <w:rPr>
                <w:rFonts w:cs="Arial"/>
                <w:b/>
                <w:color w:val="B58829"/>
              </w:rPr>
            </w:pPr>
          </w:p>
        </w:tc>
      </w:tr>
      <w:tr w:rsidR="00E66D9A" w:rsidTr="007B2963">
        <w:tc>
          <w:tcPr>
            <w:tcW w:w="9180" w:type="dxa"/>
          </w:tcPr>
          <w:p w:rsidR="00E66D9A" w:rsidRPr="00E66D9A" w:rsidRDefault="001045AC" w:rsidP="00D64404">
            <w:pPr>
              <w:ind w:right="3060"/>
              <w:rPr>
                <w:rFonts w:cs="Arial"/>
                <w:b/>
                <w:color w:val="B58829"/>
              </w:rPr>
            </w:pPr>
            <w:r>
              <w:rPr>
                <w:rFonts w:cs="Arial"/>
                <w:b/>
                <w:color w:val="B58829"/>
              </w:rPr>
              <w:t xml:space="preserve">Lead </w:t>
            </w:r>
            <w:r w:rsidR="00E66D9A">
              <w:rPr>
                <w:rFonts w:cs="Arial"/>
                <w:b/>
                <w:color w:val="B58829"/>
              </w:rPr>
              <w:t>Auditor</w:t>
            </w:r>
          </w:p>
        </w:tc>
      </w:tr>
      <w:tr w:rsidR="00E66D9A" w:rsidTr="007B2963">
        <w:tc>
          <w:tcPr>
            <w:tcW w:w="9180" w:type="dxa"/>
          </w:tcPr>
          <w:p w:rsidR="00E66D9A" w:rsidRPr="0044661C" w:rsidRDefault="006A711C" w:rsidP="00D64404">
            <w:pPr>
              <w:ind w:right="3060"/>
              <w:rPr>
                <w:rFonts w:cs="Arial"/>
                <w:szCs w:val="20"/>
              </w:rPr>
            </w:pPr>
            <w:r>
              <w:rPr>
                <w:rFonts w:cs="Arial"/>
                <w:szCs w:val="20"/>
              </w:rPr>
              <w:t>Gurpreet Dulay</w:t>
            </w:r>
          </w:p>
        </w:tc>
      </w:tr>
      <w:tr w:rsidR="00E66D9A" w:rsidTr="007B2963">
        <w:tc>
          <w:tcPr>
            <w:tcW w:w="9180" w:type="dxa"/>
          </w:tcPr>
          <w:p w:rsidR="00E66D9A" w:rsidRPr="00E66D9A" w:rsidRDefault="00E66D9A" w:rsidP="00D64404">
            <w:pPr>
              <w:ind w:right="3060"/>
              <w:rPr>
                <w:rFonts w:cs="Arial"/>
                <w:b/>
                <w:color w:val="B58829"/>
              </w:rPr>
            </w:pPr>
          </w:p>
        </w:tc>
      </w:tr>
      <w:tr w:rsidR="00E66D9A" w:rsidTr="007B2963">
        <w:tc>
          <w:tcPr>
            <w:tcW w:w="9180" w:type="dxa"/>
          </w:tcPr>
          <w:p w:rsidR="00E66D9A" w:rsidRPr="00E66D9A" w:rsidRDefault="00E66D9A" w:rsidP="00D64404">
            <w:pPr>
              <w:ind w:right="3060"/>
              <w:rPr>
                <w:rFonts w:cs="Arial"/>
                <w:b/>
                <w:color w:val="auto"/>
              </w:rPr>
            </w:pPr>
            <w:r w:rsidRPr="00E66D9A">
              <w:rPr>
                <w:rFonts w:cs="Arial"/>
                <w:b/>
                <w:color w:val="B58829"/>
              </w:rPr>
              <w:t>Report Status</w:t>
            </w:r>
          </w:p>
        </w:tc>
      </w:tr>
      <w:tr w:rsidR="00E66D9A" w:rsidTr="007B2963">
        <w:tc>
          <w:tcPr>
            <w:tcW w:w="9180" w:type="dxa"/>
          </w:tcPr>
          <w:p w:rsidR="00E66D9A" w:rsidRPr="00E66D9A" w:rsidRDefault="00E66D9A" w:rsidP="007B2963">
            <w:pPr>
              <w:ind w:right="3060"/>
              <w:rPr>
                <w:rFonts w:cs="Arial"/>
                <w:color w:val="auto"/>
                <w:szCs w:val="20"/>
              </w:rPr>
            </w:pPr>
            <w:r w:rsidRPr="00E66D9A">
              <w:rPr>
                <w:rFonts w:cs="Arial"/>
                <w:color w:val="auto"/>
                <w:szCs w:val="20"/>
              </w:rPr>
              <w:t xml:space="preserve">Draft Report Issued – </w:t>
            </w:r>
            <w:r w:rsidR="00554B54">
              <w:rPr>
                <w:rFonts w:cs="Arial"/>
                <w:color w:val="auto"/>
                <w:szCs w:val="20"/>
              </w:rPr>
              <w:t>16 May 2019</w:t>
            </w:r>
          </w:p>
        </w:tc>
      </w:tr>
      <w:tr w:rsidR="00E66D9A" w:rsidTr="007B2963">
        <w:tc>
          <w:tcPr>
            <w:tcW w:w="9180" w:type="dxa"/>
          </w:tcPr>
          <w:p w:rsidR="00E66D9A" w:rsidRPr="00E66D9A" w:rsidRDefault="00E66D9A" w:rsidP="007B2963">
            <w:pPr>
              <w:ind w:right="3060"/>
              <w:rPr>
                <w:rFonts w:cs="Arial"/>
                <w:color w:val="auto"/>
                <w:szCs w:val="20"/>
              </w:rPr>
            </w:pPr>
            <w:r w:rsidRPr="00E66D9A">
              <w:rPr>
                <w:rFonts w:cs="Arial"/>
                <w:color w:val="auto"/>
                <w:szCs w:val="20"/>
              </w:rPr>
              <w:t xml:space="preserve">Final Report Issued – </w:t>
            </w:r>
            <w:r w:rsidR="00554B54">
              <w:rPr>
                <w:rFonts w:cs="Arial"/>
                <w:color w:val="auto"/>
                <w:szCs w:val="20"/>
              </w:rPr>
              <w:t>23 May 2019</w:t>
            </w:r>
          </w:p>
        </w:tc>
      </w:tr>
      <w:tr w:rsidR="00E66D9A" w:rsidTr="007B2963">
        <w:tc>
          <w:tcPr>
            <w:tcW w:w="9180" w:type="dxa"/>
          </w:tcPr>
          <w:p w:rsidR="00E66D9A" w:rsidRPr="00E66D9A" w:rsidRDefault="00E66D9A" w:rsidP="00D64404">
            <w:pPr>
              <w:ind w:right="3060"/>
              <w:rPr>
                <w:rFonts w:cs="Arial"/>
                <w:color w:val="auto"/>
                <w:szCs w:val="20"/>
              </w:rPr>
            </w:pPr>
          </w:p>
        </w:tc>
      </w:tr>
      <w:tr w:rsidR="00E66D9A" w:rsidTr="007B2963">
        <w:tc>
          <w:tcPr>
            <w:tcW w:w="9180" w:type="dxa"/>
          </w:tcPr>
          <w:p w:rsidR="00E66D9A" w:rsidRPr="00E66D9A" w:rsidRDefault="00E66D9A" w:rsidP="00D64404">
            <w:pPr>
              <w:ind w:right="3060"/>
              <w:rPr>
                <w:rFonts w:cs="Arial"/>
                <w:b/>
                <w:color w:val="auto"/>
              </w:rPr>
            </w:pPr>
            <w:r w:rsidRPr="00E66D9A">
              <w:rPr>
                <w:rFonts w:cs="Arial"/>
                <w:b/>
                <w:color w:val="B58829"/>
              </w:rPr>
              <w:t>Draft Report Distribution</w:t>
            </w:r>
          </w:p>
        </w:tc>
      </w:tr>
      <w:tr w:rsidR="00E66D9A" w:rsidTr="007B2963">
        <w:tc>
          <w:tcPr>
            <w:tcW w:w="9180" w:type="dxa"/>
          </w:tcPr>
          <w:p w:rsidR="00E66D9A" w:rsidRPr="00E66D9A" w:rsidRDefault="00E66D9A" w:rsidP="00E66D9A">
            <w:pPr>
              <w:ind w:right="3060"/>
              <w:rPr>
                <w:rFonts w:cs="Arial"/>
                <w:color w:val="auto"/>
                <w:szCs w:val="20"/>
              </w:rPr>
            </w:pPr>
          </w:p>
        </w:tc>
      </w:tr>
      <w:tr w:rsidR="00AD3556" w:rsidTr="007B2963">
        <w:tc>
          <w:tcPr>
            <w:tcW w:w="9180" w:type="dxa"/>
          </w:tcPr>
          <w:p w:rsidR="00AD3556" w:rsidRPr="009F29FF" w:rsidRDefault="00AD3556" w:rsidP="00AD3556">
            <w:pPr>
              <w:ind w:right="3060"/>
            </w:pPr>
            <w:r w:rsidRPr="00303583">
              <w:t>Simon Ablewhite, Strategic Financial Business Partner</w:t>
            </w:r>
          </w:p>
        </w:tc>
      </w:tr>
      <w:tr w:rsidR="00AD3556" w:rsidTr="007B2963">
        <w:tc>
          <w:tcPr>
            <w:tcW w:w="9180" w:type="dxa"/>
          </w:tcPr>
          <w:p w:rsidR="00AD3556" w:rsidRDefault="00AD3556" w:rsidP="00AD3556">
            <w:pPr>
              <w:ind w:right="3060"/>
            </w:pPr>
            <w:r w:rsidRPr="00303583">
              <w:t xml:space="preserve">Jacqui Casey, </w:t>
            </w:r>
            <w:r w:rsidR="00421740">
              <w:t xml:space="preserve"> LEP Interim Partnership Manager</w:t>
            </w:r>
          </w:p>
          <w:p w:rsidR="00AD3556" w:rsidRPr="00351438" w:rsidRDefault="00BE4380" w:rsidP="00AD3556">
            <w:pPr>
              <w:pStyle w:val="NoSpacing"/>
              <w:rPr>
                <w:rFonts w:ascii="Arial" w:hAnsi="Arial"/>
                <w:color w:val="000000" w:themeColor="text1"/>
                <w:szCs w:val="24"/>
              </w:rPr>
            </w:pPr>
            <w:r>
              <w:rPr>
                <w:rFonts w:ascii="Arial" w:hAnsi="Arial"/>
                <w:color w:val="000000" w:themeColor="text1"/>
                <w:szCs w:val="24"/>
              </w:rPr>
              <w:t>Sharon Palphreyman</w:t>
            </w:r>
            <w:r w:rsidR="00AD3556" w:rsidRPr="00351438">
              <w:rPr>
                <w:rFonts w:ascii="Arial" w:hAnsi="Arial"/>
                <w:color w:val="000000" w:themeColor="text1"/>
                <w:szCs w:val="24"/>
              </w:rPr>
              <w:t>, Project Manager</w:t>
            </w:r>
          </w:p>
        </w:tc>
      </w:tr>
      <w:tr w:rsidR="00AE6DB4" w:rsidTr="007B2963">
        <w:tc>
          <w:tcPr>
            <w:tcW w:w="9180" w:type="dxa"/>
          </w:tcPr>
          <w:p w:rsidR="00AE6DB4" w:rsidRPr="00E66D9A" w:rsidRDefault="00AE6DB4" w:rsidP="00AE6DB4">
            <w:pPr>
              <w:ind w:right="3060"/>
              <w:rPr>
                <w:rFonts w:cs="Arial"/>
                <w:color w:val="000080"/>
                <w:szCs w:val="20"/>
              </w:rPr>
            </w:pPr>
          </w:p>
        </w:tc>
      </w:tr>
      <w:tr w:rsidR="00AE6DB4" w:rsidTr="007B2963">
        <w:tc>
          <w:tcPr>
            <w:tcW w:w="9180" w:type="dxa"/>
          </w:tcPr>
          <w:p w:rsidR="00AE6DB4" w:rsidRPr="00E66D9A" w:rsidRDefault="00AE6DB4" w:rsidP="00AE6DB4">
            <w:pPr>
              <w:ind w:right="3060"/>
              <w:rPr>
                <w:rFonts w:cs="Arial"/>
                <w:b/>
                <w:color w:val="000080"/>
              </w:rPr>
            </w:pPr>
            <w:r w:rsidRPr="00E66D9A">
              <w:rPr>
                <w:rFonts w:cs="Arial"/>
                <w:b/>
                <w:color w:val="B58829"/>
              </w:rPr>
              <w:t>Final Report Distribution</w:t>
            </w:r>
          </w:p>
        </w:tc>
      </w:tr>
      <w:tr w:rsidR="00AE6DB4" w:rsidTr="007B2963">
        <w:tc>
          <w:tcPr>
            <w:tcW w:w="9180" w:type="dxa"/>
          </w:tcPr>
          <w:p w:rsidR="00AE6DB4" w:rsidRPr="00E66D9A" w:rsidRDefault="00AE6DB4" w:rsidP="00AE6DB4">
            <w:pPr>
              <w:rPr>
                <w:rFonts w:cs="Arial"/>
                <w:szCs w:val="20"/>
              </w:rPr>
            </w:pPr>
          </w:p>
        </w:tc>
      </w:tr>
      <w:tr w:rsidR="007B2963" w:rsidTr="007B2963">
        <w:tc>
          <w:tcPr>
            <w:tcW w:w="9180" w:type="dxa"/>
          </w:tcPr>
          <w:p w:rsidR="00E21183" w:rsidRDefault="00E21183" w:rsidP="007B2963">
            <w:r>
              <w:t>As above</w:t>
            </w:r>
            <w:r w:rsidR="00421740">
              <w:t xml:space="preserve"> </w:t>
            </w:r>
          </w:p>
          <w:p w:rsidR="007B2963" w:rsidRDefault="00421740" w:rsidP="007B2963">
            <w:pPr>
              <w:rPr>
                <w:rFonts w:cs="Arial"/>
                <w:szCs w:val="20"/>
              </w:rPr>
            </w:pPr>
            <w:r>
              <w:rPr>
                <w:rFonts w:cs="Arial"/>
                <w:szCs w:val="20"/>
              </w:rPr>
              <w:t>Darryl Eyers, Director of Economy, Infrastructure &amp; Skills</w:t>
            </w:r>
          </w:p>
          <w:p w:rsidR="009F0A75" w:rsidRPr="00E66D9A" w:rsidRDefault="009F0A75" w:rsidP="007B2963">
            <w:pPr>
              <w:rPr>
                <w:rFonts w:cs="Arial"/>
                <w:szCs w:val="20"/>
              </w:rPr>
            </w:pPr>
            <w:r>
              <w:rPr>
                <w:rFonts w:cs="Arial"/>
                <w:szCs w:val="20"/>
              </w:rPr>
              <w:t>Rob Salmon, County Treasurer</w:t>
            </w:r>
          </w:p>
        </w:tc>
      </w:tr>
    </w:tbl>
    <w:p w:rsidR="00D64404" w:rsidRPr="006A70AC" w:rsidRDefault="00D64404" w:rsidP="00D64404">
      <w:pPr>
        <w:ind w:right="3060"/>
        <w:rPr>
          <w:rFonts w:ascii="Century Gothic" w:hAnsi="Century Gothic"/>
          <w:color w:val="333399"/>
        </w:rPr>
        <w:sectPr w:rsidR="00D64404" w:rsidRPr="006A70AC" w:rsidSect="00994338">
          <w:headerReference w:type="default" r:id="rId12"/>
          <w:footerReference w:type="default" r:id="rId13"/>
          <w:pgSz w:w="11906" w:h="16838"/>
          <w:pgMar w:top="1260" w:right="1286" w:bottom="1440" w:left="1440" w:header="360" w:footer="243" w:gutter="0"/>
          <w:pgBorders w:display="firstPage" w:offsetFrom="page">
            <w:top w:val="single" w:sz="12" w:space="24" w:color="B58829"/>
            <w:left w:val="single" w:sz="12" w:space="24" w:color="B58829"/>
            <w:bottom w:val="single" w:sz="12" w:space="24" w:color="B58829"/>
            <w:right w:val="single" w:sz="12" w:space="24" w:color="B58829"/>
          </w:pgBorders>
          <w:cols w:space="708"/>
          <w:docGrid w:linePitch="360"/>
        </w:sectPr>
      </w:pPr>
    </w:p>
    <w:p w:rsidR="00D64404" w:rsidRPr="00E66D9A" w:rsidRDefault="00D64404" w:rsidP="00F203A7">
      <w:pPr>
        <w:pStyle w:val="TOC1"/>
      </w:pPr>
      <w:r w:rsidRPr="00E66D9A">
        <w:lastRenderedPageBreak/>
        <w:t>Table of Contents</w:t>
      </w:r>
    </w:p>
    <w:p w:rsidR="00994338" w:rsidRPr="00994338" w:rsidRDefault="00994338" w:rsidP="00994338">
      <w:pPr>
        <w:rPr>
          <w:lang w:eastAsia="en-US"/>
        </w:rPr>
      </w:pPr>
    </w:p>
    <w:p w:rsidR="00554B54" w:rsidRDefault="00A0765F">
      <w:pPr>
        <w:pStyle w:val="TOC1"/>
        <w:rPr>
          <w:rFonts w:asciiTheme="minorHAnsi" w:eastAsiaTheme="minorEastAsia" w:hAnsiTheme="minorHAnsi" w:cstheme="minorBidi"/>
          <w:b w:val="0"/>
          <w:color w:val="auto"/>
          <w:sz w:val="22"/>
          <w:szCs w:val="22"/>
          <w:lang w:eastAsia="en-GB"/>
        </w:rPr>
      </w:pPr>
      <w:r>
        <w:rPr>
          <w:rStyle w:val="Hyperlink"/>
          <w:b w:val="0"/>
          <w:color w:val="000080"/>
          <w:szCs w:val="24"/>
        </w:rPr>
        <w:fldChar w:fldCharType="begin"/>
      </w:r>
      <w:r>
        <w:rPr>
          <w:rStyle w:val="Hyperlink"/>
          <w:b w:val="0"/>
          <w:color w:val="000080"/>
          <w:szCs w:val="24"/>
        </w:rPr>
        <w:instrText xml:space="preserve"> TOC \o "1-2" \h \z \u </w:instrText>
      </w:r>
      <w:r>
        <w:rPr>
          <w:rStyle w:val="Hyperlink"/>
          <w:b w:val="0"/>
          <w:color w:val="000080"/>
          <w:szCs w:val="24"/>
        </w:rPr>
        <w:fldChar w:fldCharType="separate"/>
      </w:r>
      <w:hyperlink w:anchor="_Toc9488565" w:history="1">
        <w:r w:rsidR="00554B54" w:rsidRPr="00AB7B68">
          <w:rPr>
            <w:rStyle w:val="Hyperlink"/>
          </w:rPr>
          <w:t>1</w:t>
        </w:r>
        <w:r w:rsidR="00554B54">
          <w:rPr>
            <w:rFonts w:asciiTheme="minorHAnsi" w:eastAsiaTheme="minorEastAsia" w:hAnsiTheme="minorHAnsi" w:cstheme="minorBidi"/>
            <w:b w:val="0"/>
            <w:color w:val="auto"/>
            <w:sz w:val="22"/>
            <w:szCs w:val="22"/>
            <w:lang w:eastAsia="en-GB"/>
          </w:rPr>
          <w:tab/>
        </w:r>
        <w:r w:rsidR="00554B54" w:rsidRPr="00AB7B68">
          <w:rPr>
            <w:rStyle w:val="Hyperlink"/>
          </w:rPr>
          <w:t>Executive Summary</w:t>
        </w:r>
        <w:r w:rsidR="00554B54">
          <w:rPr>
            <w:webHidden/>
          </w:rPr>
          <w:tab/>
        </w:r>
        <w:r w:rsidR="00554B54">
          <w:rPr>
            <w:webHidden/>
          </w:rPr>
          <w:fldChar w:fldCharType="begin"/>
        </w:r>
        <w:r w:rsidR="00554B54">
          <w:rPr>
            <w:webHidden/>
          </w:rPr>
          <w:instrText xml:space="preserve"> PAGEREF _Toc9488565 \h </w:instrText>
        </w:r>
        <w:r w:rsidR="00554B54">
          <w:rPr>
            <w:webHidden/>
          </w:rPr>
        </w:r>
        <w:r w:rsidR="00554B54">
          <w:rPr>
            <w:webHidden/>
          </w:rPr>
          <w:fldChar w:fldCharType="separate"/>
        </w:r>
        <w:r w:rsidR="00554B54">
          <w:rPr>
            <w:webHidden/>
          </w:rPr>
          <w:t>1</w:t>
        </w:r>
        <w:r w:rsidR="00554B54">
          <w:rPr>
            <w:webHidden/>
          </w:rPr>
          <w:fldChar w:fldCharType="end"/>
        </w:r>
      </w:hyperlink>
    </w:p>
    <w:p w:rsidR="00554B54" w:rsidRDefault="00CF44ED">
      <w:pPr>
        <w:pStyle w:val="TOC2"/>
        <w:rPr>
          <w:rFonts w:asciiTheme="minorHAnsi" w:eastAsiaTheme="minorEastAsia" w:hAnsiTheme="minorHAnsi" w:cstheme="minorBidi"/>
          <w:color w:val="auto"/>
          <w:szCs w:val="22"/>
          <w:lang w:eastAsia="en-GB"/>
        </w:rPr>
      </w:pPr>
      <w:hyperlink w:anchor="_Toc9488566" w:history="1">
        <w:r w:rsidR="00554B54" w:rsidRPr="00AB7B68">
          <w:rPr>
            <w:rStyle w:val="Hyperlink"/>
          </w:rPr>
          <w:t>1.1</w:t>
        </w:r>
        <w:r w:rsidR="00554B54">
          <w:rPr>
            <w:rFonts w:asciiTheme="minorHAnsi" w:eastAsiaTheme="minorEastAsia" w:hAnsiTheme="minorHAnsi" w:cstheme="minorBidi"/>
            <w:color w:val="auto"/>
            <w:szCs w:val="22"/>
            <w:lang w:eastAsia="en-GB"/>
          </w:rPr>
          <w:tab/>
        </w:r>
        <w:r w:rsidR="00554B54" w:rsidRPr="00AB7B68">
          <w:rPr>
            <w:rStyle w:val="Hyperlink"/>
          </w:rPr>
          <w:t>Scope and Background of Audit</w:t>
        </w:r>
        <w:r w:rsidR="00554B54">
          <w:rPr>
            <w:webHidden/>
          </w:rPr>
          <w:tab/>
        </w:r>
        <w:r w:rsidR="00554B54">
          <w:rPr>
            <w:webHidden/>
          </w:rPr>
          <w:fldChar w:fldCharType="begin"/>
        </w:r>
        <w:r w:rsidR="00554B54">
          <w:rPr>
            <w:webHidden/>
          </w:rPr>
          <w:instrText xml:space="preserve"> PAGEREF _Toc9488566 \h </w:instrText>
        </w:r>
        <w:r w:rsidR="00554B54">
          <w:rPr>
            <w:webHidden/>
          </w:rPr>
        </w:r>
        <w:r w:rsidR="00554B54">
          <w:rPr>
            <w:webHidden/>
          </w:rPr>
          <w:fldChar w:fldCharType="separate"/>
        </w:r>
        <w:r w:rsidR="00554B54">
          <w:rPr>
            <w:webHidden/>
          </w:rPr>
          <w:t>1</w:t>
        </w:r>
        <w:r w:rsidR="00554B54">
          <w:rPr>
            <w:webHidden/>
          </w:rPr>
          <w:fldChar w:fldCharType="end"/>
        </w:r>
      </w:hyperlink>
    </w:p>
    <w:p w:rsidR="00554B54" w:rsidRDefault="00CF44ED">
      <w:pPr>
        <w:pStyle w:val="TOC2"/>
        <w:rPr>
          <w:rFonts w:asciiTheme="minorHAnsi" w:eastAsiaTheme="minorEastAsia" w:hAnsiTheme="minorHAnsi" w:cstheme="minorBidi"/>
          <w:color w:val="auto"/>
          <w:szCs w:val="22"/>
          <w:lang w:eastAsia="en-GB"/>
        </w:rPr>
      </w:pPr>
      <w:hyperlink w:anchor="_Toc9488567" w:history="1">
        <w:r w:rsidR="00554B54" w:rsidRPr="00AB7B68">
          <w:rPr>
            <w:rStyle w:val="Hyperlink"/>
          </w:rPr>
          <w:t>1.2</w:t>
        </w:r>
        <w:r w:rsidR="00554B54">
          <w:rPr>
            <w:rFonts w:asciiTheme="minorHAnsi" w:eastAsiaTheme="minorEastAsia" w:hAnsiTheme="minorHAnsi" w:cstheme="minorBidi"/>
            <w:color w:val="auto"/>
            <w:szCs w:val="22"/>
            <w:lang w:eastAsia="en-GB"/>
          </w:rPr>
          <w:tab/>
        </w:r>
        <w:r w:rsidR="00554B54" w:rsidRPr="00AB7B68">
          <w:rPr>
            <w:rStyle w:val="Hyperlink"/>
          </w:rPr>
          <w:t>Summary of Control Assurance Provided</w:t>
        </w:r>
        <w:r w:rsidR="00554B54">
          <w:rPr>
            <w:webHidden/>
          </w:rPr>
          <w:tab/>
        </w:r>
        <w:r w:rsidR="00554B54">
          <w:rPr>
            <w:webHidden/>
          </w:rPr>
          <w:fldChar w:fldCharType="begin"/>
        </w:r>
        <w:r w:rsidR="00554B54">
          <w:rPr>
            <w:webHidden/>
          </w:rPr>
          <w:instrText xml:space="preserve"> PAGEREF _Toc9488567 \h </w:instrText>
        </w:r>
        <w:r w:rsidR="00554B54">
          <w:rPr>
            <w:webHidden/>
          </w:rPr>
        </w:r>
        <w:r w:rsidR="00554B54">
          <w:rPr>
            <w:webHidden/>
          </w:rPr>
          <w:fldChar w:fldCharType="separate"/>
        </w:r>
        <w:r w:rsidR="00554B54">
          <w:rPr>
            <w:webHidden/>
          </w:rPr>
          <w:t>3</w:t>
        </w:r>
        <w:r w:rsidR="00554B54">
          <w:rPr>
            <w:webHidden/>
          </w:rPr>
          <w:fldChar w:fldCharType="end"/>
        </w:r>
      </w:hyperlink>
    </w:p>
    <w:p w:rsidR="00554B54" w:rsidRDefault="00CF44ED">
      <w:pPr>
        <w:pStyle w:val="TOC1"/>
        <w:rPr>
          <w:rFonts w:asciiTheme="minorHAnsi" w:eastAsiaTheme="minorEastAsia" w:hAnsiTheme="minorHAnsi" w:cstheme="minorBidi"/>
          <w:b w:val="0"/>
          <w:color w:val="auto"/>
          <w:sz w:val="22"/>
          <w:szCs w:val="22"/>
          <w:lang w:eastAsia="en-GB"/>
        </w:rPr>
      </w:pPr>
      <w:hyperlink w:anchor="_Toc9488568" w:history="1">
        <w:r w:rsidR="00554B54" w:rsidRPr="00AB7B68">
          <w:rPr>
            <w:rStyle w:val="Hyperlink"/>
          </w:rPr>
          <w:t>2</w:t>
        </w:r>
        <w:r w:rsidR="00554B54">
          <w:rPr>
            <w:rFonts w:asciiTheme="minorHAnsi" w:eastAsiaTheme="minorEastAsia" w:hAnsiTheme="minorHAnsi" w:cstheme="minorBidi"/>
            <w:b w:val="0"/>
            <w:color w:val="auto"/>
            <w:sz w:val="22"/>
            <w:szCs w:val="22"/>
            <w:lang w:eastAsia="en-GB"/>
          </w:rPr>
          <w:tab/>
        </w:r>
        <w:r w:rsidR="00554B54" w:rsidRPr="00AB7B68">
          <w:rPr>
            <w:rStyle w:val="Hyperlink"/>
          </w:rPr>
          <w:t>Positive Assurance</w:t>
        </w:r>
        <w:r w:rsidR="00554B54">
          <w:rPr>
            <w:webHidden/>
          </w:rPr>
          <w:tab/>
        </w:r>
        <w:r w:rsidR="00554B54">
          <w:rPr>
            <w:webHidden/>
          </w:rPr>
          <w:fldChar w:fldCharType="begin"/>
        </w:r>
        <w:r w:rsidR="00554B54">
          <w:rPr>
            <w:webHidden/>
          </w:rPr>
          <w:instrText xml:space="preserve"> PAGEREF _Toc9488568 \h </w:instrText>
        </w:r>
        <w:r w:rsidR="00554B54">
          <w:rPr>
            <w:webHidden/>
          </w:rPr>
        </w:r>
        <w:r w:rsidR="00554B54">
          <w:rPr>
            <w:webHidden/>
          </w:rPr>
          <w:fldChar w:fldCharType="separate"/>
        </w:r>
        <w:r w:rsidR="00554B54">
          <w:rPr>
            <w:webHidden/>
          </w:rPr>
          <w:t>4</w:t>
        </w:r>
        <w:r w:rsidR="00554B54">
          <w:rPr>
            <w:webHidden/>
          </w:rPr>
          <w:fldChar w:fldCharType="end"/>
        </w:r>
      </w:hyperlink>
    </w:p>
    <w:p w:rsidR="00554B54" w:rsidRDefault="00CF44ED">
      <w:pPr>
        <w:pStyle w:val="TOC2"/>
        <w:rPr>
          <w:rFonts w:asciiTheme="minorHAnsi" w:eastAsiaTheme="minorEastAsia" w:hAnsiTheme="minorHAnsi" w:cstheme="minorBidi"/>
          <w:color w:val="auto"/>
          <w:szCs w:val="22"/>
          <w:lang w:eastAsia="en-GB"/>
        </w:rPr>
      </w:pPr>
      <w:hyperlink w:anchor="_Toc9488569" w:history="1">
        <w:r w:rsidR="00554B54" w:rsidRPr="00AB7B68">
          <w:rPr>
            <w:rStyle w:val="Hyperlink"/>
          </w:rPr>
          <w:t>2.1</w:t>
        </w:r>
        <w:r w:rsidR="00554B54">
          <w:rPr>
            <w:rFonts w:asciiTheme="minorHAnsi" w:eastAsiaTheme="minorEastAsia" w:hAnsiTheme="minorHAnsi" w:cstheme="minorBidi"/>
            <w:color w:val="auto"/>
            <w:szCs w:val="22"/>
            <w:lang w:eastAsia="en-GB"/>
          </w:rPr>
          <w:tab/>
        </w:r>
        <w:r w:rsidR="00554B54" w:rsidRPr="00AB7B68">
          <w:rPr>
            <w:rStyle w:val="Hyperlink"/>
          </w:rPr>
          <w:t>Compliance with National Assurance Framework</w:t>
        </w:r>
        <w:r w:rsidR="00554B54">
          <w:rPr>
            <w:webHidden/>
          </w:rPr>
          <w:tab/>
        </w:r>
        <w:r w:rsidR="00554B54">
          <w:rPr>
            <w:webHidden/>
          </w:rPr>
          <w:fldChar w:fldCharType="begin"/>
        </w:r>
        <w:r w:rsidR="00554B54">
          <w:rPr>
            <w:webHidden/>
          </w:rPr>
          <w:instrText xml:space="preserve"> PAGEREF _Toc9488569 \h </w:instrText>
        </w:r>
        <w:r w:rsidR="00554B54">
          <w:rPr>
            <w:webHidden/>
          </w:rPr>
        </w:r>
        <w:r w:rsidR="00554B54">
          <w:rPr>
            <w:webHidden/>
          </w:rPr>
          <w:fldChar w:fldCharType="separate"/>
        </w:r>
        <w:r w:rsidR="00554B54">
          <w:rPr>
            <w:webHidden/>
          </w:rPr>
          <w:t>4</w:t>
        </w:r>
        <w:r w:rsidR="00554B54">
          <w:rPr>
            <w:webHidden/>
          </w:rPr>
          <w:fldChar w:fldCharType="end"/>
        </w:r>
      </w:hyperlink>
    </w:p>
    <w:p w:rsidR="00554B54" w:rsidRDefault="00CF44ED">
      <w:pPr>
        <w:pStyle w:val="TOC1"/>
        <w:rPr>
          <w:rFonts w:asciiTheme="minorHAnsi" w:eastAsiaTheme="minorEastAsia" w:hAnsiTheme="minorHAnsi" w:cstheme="minorBidi"/>
          <w:b w:val="0"/>
          <w:color w:val="auto"/>
          <w:sz w:val="22"/>
          <w:szCs w:val="22"/>
          <w:lang w:eastAsia="en-GB"/>
        </w:rPr>
      </w:pPr>
      <w:hyperlink w:anchor="_Toc9488570" w:history="1">
        <w:r w:rsidR="00554B54" w:rsidRPr="00AB7B68">
          <w:rPr>
            <w:rStyle w:val="Hyperlink"/>
          </w:rPr>
          <w:t>3</w:t>
        </w:r>
        <w:r w:rsidR="00554B54">
          <w:rPr>
            <w:rFonts w:asciiTheme="minorHAnsi" w:eastAsiaTheme="minorEastAsia" w:hAnsiTheme="minorHAnsi" w:cstheme="minorBidi"/>
            <w:b w:val="0"/>
            <w:color w:val="auto"/>
            <w:sz w:val="22"/>
            <w:szCs w:val="22"/>
            <w:lang w:eastAsia="en-GB"/>
          </w:rPr>
          <w:tab/>
        </w:r>
        <w:r w:rsidR="00554B54" w:rsidRPr="00AB7B68">
          <w:rPr>
            <w:rStyle w:val="Hyperlink"/>
          </w:rPr>
          <w:t>Control Weaknesses and Recommendations</w:t>
        </w:r>
        <w:r w:rsidR="00554B54">
          <w:rPr>
            <w:webHidden/>
          </w:rPr>
          <w:tab/>
        </w:r>
        <w:r w:rsidR="00554B54">
          <w:rPr>
            <w:webHidden/>
          </w:rPr>
          <w:fldChar w:fldCharType="begin"/>
        </w:r>
        <w:r w:rsidR="00554B54">
          <w:rPr>
            <w:webHidden/>
          </w:rPr>
          <w:instrText xml:space="preserve"> PAGEREF _Toc9488570 \h </w:instrText>
        </w:r>
        <w:r w:rsidR="00554B54">
          <w:rPr>
            <w:webHidden/>
          </w:rPr>
        </w:r>
        <w:r w:rsidR="00554B54">
          <w:rPr>
            <w:webHidden/>
          </w:rPr>
          <w:fldChar w:fldCharType="separate"/>
        </w:r>
        <w:r w:rsidR="00554B54">
          <w:rPr>
            <w:webHidden/>
          </w:rPr>
          <w:t>6</w:t>
        </w:r>
        <w:r w:rsidR="00554B54">
          <w:rPr>
            <w:webHidden/>
          </w:rPr>
          <w:fldChar w:fldCharType="end"/>
        </w:r>
      </w:hyperlink>
    </w:p>
    <w:p w:rsidR="00554B54" w:rsidRDefault="00CF44ED">
      <w:pPr>
        <w:pStyle w:val="TOC2"/>
        <w:rPr>
          <w:rFonts w:asciiTheme="minorHAnsi" w:eastAsiaTheme="minorEastAsia" w:hAnsiTheme="minorHAnsi" w:cstheme="minorBidi"/>
          <w:color w:val="auto"/>
          <w:szCs w:val="22"/>
          <w:lang w:eastAsia="en-GB"/>
        </w:rPr>
      </w:pPr>
      <w:hyperlink w:anchor="_Toc9488571" w:history="1">
        <w:r w:rsidR="00554B54" w:rsidRPr="00AB7B68">
          <w:rPr>
            <w:rStyle w:val="Hyperlink"/>
          </w:rPr>
          <w:t>3.1</w:t>
        </w:r>
        <w:r w:rsidR="00554B54">
          <w:rPr>
            <w:rFonts w:asciiTheme="minorHAnsi" w:eastAsiaTheme="minorEastAsia" w:hAnsiTheme="minorHAnsi" w:cstheme="minorBidi"/>
            <w:color w:val="auto"/>
            <w:szCs w:val="22"/>
            <w:lang w:eastAsia="en-GB"/>
          </w:rPr>
          <w:tab/>
        </w:r>
        <w:r w:rsidR="00554B54" w:rsidRPr="00AB7B68">
          <w:rPr>
            <w:rStyle w:val="Hyperlink"/>
          </w:rPr>
          <w:t>Compliance with National Assurance Framework</w:t>
        </w:r>
        <w:r w:rsidR="00554B54">
          <w:rPr>
            <w:webHidden/>
          </w:rPr>
          <w:tab/>
        </w:r>
        <w:r w:rsidR="00554B54">
          <w:rPr>
            <w:webHidden/>
          </w:rPr>
          <w:fldChar w:fldCharType="begin"/>
        </w:r>
        <w:r w:rsidR="00554B54">
          <w:rPr>
            <w:webHidden/>
          </w:rPr>
          <w:instrText xml:space="preserve"> PAGEREF _Toc9488571 \h </w:instrText>
        </w:r>
        <w:r w:rsidR="00554B54">
          <w:rPr>
            <w:webHidden/>
          </w:rPr>
        </w:r>
        <w:r w:rsidR="00554B54">
          <w:rPr>
            <w:webHidden/>
          </w:rPr>
          <w:fldChar w:fldCharType="separate"/>
        </w:r>
        <w:r w:rsidR="00554B54">
          <w:rPr>
            <w:webHidden/>
          </w:rPr>
          <w:t>6</w:t>
        </w:r>
        <w:r w:rsidR="00554B54">
          <w:rPr>
            <w:webHidden/>
          </w:rPr>
          <w:fldChar w:fldCharType="end"/>
        </w:r>
      </w:hyperlink>
    </w:p>
    <w:p w:rsidR="00554B54" w:rsidRDefault="00CF44ED">
      <w:pPr>
        <w:pStyle w:val="TOC2"/>
        <w:rPr>
          <w:rFonts w:asciiTheme="minorHAnsi" w:eastAsiaTheme="minorEastAsia" w:hAnsiTheme="minorHAnsi" w:cstheme="minorBidi"/>
          <w:color w:val="auto"/>
          <w:szCs w:val="22"/>
          <w:lang w:eastAsia="en-GB"/>
        </w:rPr>
      </w:pPr>
      <w:hyperlink w:anchor="_Toc9488572" w:history="1">
        <w:r w:rsidR="00554B54" w:rsidRPr="00AB7B68">
          <w:rPr>
            <w:rStyle w:val="Hyperlink"/>
          </w:rPr>
          <w:t>3.2.</w:t>
        </w:r>
        <w:r w:rsidR="00554B54">
          <w:rPr>
            <w:rFonts w:asciiTheme="minorHAnsi" w:eastAsiaTheme="minorEastAsia" w:hAnsiTheme="minorHAnsi" w:cstheme="minorBidi"/>
            <w:color w:val="auto"/>
            <w:szCs w:val="22"/>
            <w:lang w:eastAsia="en-GB"/>
          </w:rPr>
          <w:tab/>
        </w:r>
        <w:r w:rsidR="00554B54" w:rsidRPr="00AB7B68">
          <w:rPr>
            <w:rStyle w:val="Hyperlink"/>
          </w:rPr>
          <w:t>The LEP have a standardised process for holding confidential information</w:t>
        </w:r>
        <w:r w:rsidR="00554B54">
          <w:rPr>
            <w:webHidden/>
          </w:rPr>
          <w:tab/>
        </w:r>
        <w:r w:rsidR="00554B54">
          <w:rPr>
            <w:webHidden/>
          </w:rPr>
          <w:fldChar w:fldCharType="begin"/>
        </w:r>
        <w:r w:rsidR="00554B54">
          <w:rPr>
            <w:webHidden/>
          </w:rPr>
          <w:instrText xml:space="preserve"> PAGEREF _Toc9488572 \h </w:instrText>
        </w:r>
        <w:r w:rsidR="00554B54">
          <w:rPr>
            <w:webHidden/>
          </w:rPr>
        </w:r>
        <w:r w:rsidR="00554B54">
          <w:rPr>
            <w:webHidden/>
          </w:rPr>
          <w:fldChar w:fldCharType="separate"/>
        </w:r>
        <w:r w:rsidR="00554B54">
          <w:rPr>
            <w:webHidden/>
          </w:rPr>
          <w:t>11</w:t>
        </w:r>
        <w:r w:rsidR="00554B54">
          <w:rPr>
            <w:webHidden/>
          </w:rPr>
          <w:fldChar w:fldCharType="end"/>
        </w:r>
      </w:hyperlink>
    </w:p>
    <w:p w:rsidR="00554B54" w:rsidRDefault="00CF44ED">
      <w:pPr>
        <w:pStyle w:val="TOC1"/>
        <w:rPr>
          <w:rFonts w:asciiTheme="minorHAnsi" w:eastAsiaTheme="minorEastAsia" w:hAnsiTheme="minorHAnsi" w:cstheme="minorBidi"/>
          <w:b w:val="0"/>
          <w:color w:val="auto"/>
          <w:sz w:val="22"/>
          <w:szCs w:val="22"/>
          <w:lang w:eastAsia="en-GB"/>
        </w:rPr>
      </w:pPr>
      <w:hyperlink w:anchor="_Toc9488573" w:history="1">
        <w:r w:rsidR="00554B54" w:rsidRPr="00AB7B68">
          <w:rPr>
            <w:rStyle w:val="Hyperlink"/>
          </w:rPr>
          <w:t>4</w:t>
        </w:r>
        <w:r w:rsidR="00554B54">
          <w:rPr>
            <w:rFonts w:asciiTheme="minorHAnsi" w:eastAsiaTheme="minorEastAsia" w:hAnsiTheme="minorHAnsi" w:cstheme="minorBidi"/>
            <w:b w:val="0"/>
            <w:color w:val="auto"/>
            <w:sz w:val="22"/>
            <w:szCs w:val="22"/>
            <w:lang w:eastAsia="en-GB"/>
          </w:rPr>
          <w:tab/>
        </w:r>
        <w:r w:rsidR="00554B54" w:rsidRPr="00AB7B68">
          <w:rPr>
            <w:rStyle w:val="Hyperlink"/>
          </w:rPr>
          <w:t>Minor Priority Issues</w:t>
        </w:r>
        <w:r w:rsidR="00554B54">
          <w:rPr>
            <w:webHidden/>
          </w:rPr>
          <w:tab/>
        </w:r>
        <w:r w:rsidR="00554B54">
          <w:rPr>
            <w:webHidden/>
          </w:rPr>
          <w:fldChar w:fldCharType="begin"/>
        </w:r>
        <w:r w:rsidR="00554B54">
          <w:rPr>
            <w:webHidden/>
          </w:rPr>
          <w:instrText xml:space="preserve"> PAGEREF _Toc9488573 \h </w:instrText>
        </w:r>
        <w:r w:rsidR="00554B54">
          <w:rPr>
            <w:webHidden/>
          </w:rPr>
        </w:r>
        <w:r w:rsidR="00554B54">
          <w:rPr>
            <w:webHidden/>
          </w:rPr>
          <w:fldChar w:fldCharType="separate"/>
        </w:r>
        <w:r w:rsidR="00554B54">
          <w:rPr>
            <w:webHidden/>
          </w:rPr>
          <w:t>13</w:t>
        </w:r>
        <w:r w:rsidR="00554B54">
          <w:rPr>
            <w:webHidden/>
          </w:rPr>
          <w:fldChar w:fldCharType="end"/>
        </w:r>
      </w:hyperlink>
    </w:p>
    <w:p w:rsidR="00554B54" w:rsidRDefault="00CF44ED">
      <w:pPr>
        <w:pStyle w:val="TOC2"/>
        <w:rPr>
          <w:rFonts w:asciiTheme="minorHAnsi" w:eastAsiaTheme="minorEastAsia" w:hAnsiTheme="minorHAnsi" w:cstheme="minorBidi"/>
          <w:color w:val="auto"/>
          <w:szCs w:val="22"/>
          <w:lang w:eastAsia="en-GB"/>
        </w:rPr>
      </w:pPr>
      <w:hyperlink w:anchor="_Toc9488574" w:history="1">
        <w:r w:rsidR="00554B54" w:rsidRPr="00AB7B68">
          <w:rPr>
            <w:rStyle w:val="Hyperlink"/>
          </w:rPr>
          <w:t>4.1</w:t>
        </w:r>
        <w:r w:rsidR="00554B54">
          <w:rPr>
            <w:rFonts w:asciiTheme="minorHAnsi" w:eastAsiaTheme="minorEastAsia" w:hAnsiTheme="minorHAnsi" w:cstheme="minorBidi"/>
            <w:color w:val="auto"/>
            <w:szCs w:val="22"/>
            <w:lang w:eastAsia="en-GB"/>
          </w:rPr>
          <w:tab/>
        </w:r>
        <w:r w:rsidR="00554B54" w:rsidRPr="00AB7B68">
          <w:rPr>
            <w:rStyle w:val="Hyperlink"/>
          </w:rPr>
          <w:t>Board Member as Diversity Lead</w:t>
        </w:r>
        <w:r w:rsidR="00554B54">
          <w:rPr>
            <w:webHidden/>
          </w:rPr>
          <w:tab/>
        </w:r>
        <w:r w:rsidR="00554B54">
          <w:rPr>
            <w:webHidden/>
          </w:rPr>
          <w:fldChar w:fldCharType="begin"/>
        </w:r>
        <w:r w:rsidR="00554B54">
          <w:rPr>
            <w:webHidden/>
          </w:rPr>
          <w:instrText xml:space="preserve"> PAGEREF _Toc9488574 \h </w:instrText>
        </w:r>
        <w:r w:rsidR="00554B54">
          <w:rPr>
            <w:webHidden/>
          </w:rPr>
        </w:r>
        <w:r w:rsidR="00554B54">
          <w:rPr>
            <w:webHidden/>
          </w:rPr>
          <w:fldChar w:fldCharType="separate"/>
        </w:r>
        <w:r w:rsidR="00554B54">
          <w:rPr>
            <w:webHidden/>
          </w:rPr>
          <w:t>13</w:t>
        </w:r>
        <w:r w:rsidR="00554B54">
          <w:rPr>
            <w:webHidden/>
          </w:rPr>
          <w:fldChar w:fldCharType="end"/>
        </w:r>
      </w:hyperlink>
    </w:p>
    <w:p w:rsidR="00D64404" w:rsidRDefault="00A0765F" w:rsidP="00774C5D">
      <w:pPr>
        <w:pStyle w:val="TOC2"/>
      </w:pPr>
      <w:r>
        <w:rPr>
          <w:rStyle w:val="Hyperlink"/>
          <w:rFonts w:cs="Arial"/>
          <w:b/>
          <w:color w:val="000080"/>
          <w:sz w:val="32"/>
          <w:szCs w:val="24"/>
        </w:rPr>
        <w:fldChar w:fldCharType="end"/>
      </w:r>
    </w:p>
    <w:p w:rsidR="00D64404" w:rsidRDefault="00D64404" w:rsidP="00774C5D">
      <w:pPr>
        <w:pStyle w:val="TOC2"/>
        <w:sectPr w:rsidR="00D64404" w:rsidSect="00A95D0F">
          <w:headerReference w:type="default" r:id="rId14"/>
          <w:footerReference w:type="default" r:id="rId15"/>
          <w:pgSz w:w="11906" w:h="16838"/>
          <w:pgMar w:top="2127" w:right="746" w:bottom="0" w:left="1260" w:header="708" w:footer="328" w:gutter="0"/>
          <w:cols w:space="708"/>
          <w:docGrid w:linePitch="360"/>
        </w:sectPr>
      </w:pPr>
    </w:p>
    <w:p w:rsidR="00D64404" w:rsidRPr="00312D4C" w:rsidRDefault="00D64404" w:rsidP="009F0A75">
      <w:pPr>
        <w:pStyle w:val="Heading1"/>
        <w:tabs>
          <w:tab w:val="clear" w:pos="360"/>
          <w:tab w:val="num" w:pos="709"/>
        </w:tabs>
        <w:ind w:left="709" w:hanging="709"/>
      </w:pPr>
      <w:bookmarkStart w:id="5" w:name="_Toc9488565"/>
      <w:bookmarkStart w:id="6" w:name="_Toc44236334"/>
      <w:r w:rsidRPr="00312D4C">
        <w:lastRenderedPageBreak/>
        <w:t>Executive Summary</w:t>
      </w:r>
      <w:bookmarkEnd w:id="5"/>
    </w:p>
    <w:p w:rsidR="00D64404" w:rsidRPr="00312D4C" w:rsidRDefault="00D64404" w:rsidP="00D64404">
      <w:pPr>
        <w:pStyle w:val="Heading2"/>
      </w:pPr>
      <w:bookmarkStart w:id="7" w:name="_Toc36263626"/>
      <w:bookmarkStart w:id="8" w:name="_Toc36263972"/>
      <w:bookmarkStart w:id="9" w:name="_Toc44236340"/>
      <w:bookmarkStart w:id="10" w:name="_Toc9488566"/>
      <w:bookmarkStart w:id="11" w:name="_Toc44236335"/>
      <w:bookmarkEnd w:id="6"/>
      <w:r w:rsidRPr="00312D4C">
        <w:t xml:space="preserve">Scope </w:t>
      </w:r>
      <w:r w:rsidR="0010200B">
        <w:t xml:space="preserve">and Background </w:t>
      </w:r>
      <w:r w:rsidRPr="00312D4C">
        <w:t xml:space="preserve">of </w:t>
      </w:r>
      <w:bookmarkEnd w:id="7"/>
      <w:bookmarkEnd w:id="8"/>
      <w:r w:rsidRPr="00312D4C">
        <w:t>Audit</w:t>
      </w:r>
      <w:bookmarkEnd w:id="9"/>
      <w:bookmarkEnd w:id="10"/>
    </w:p>
    <w:p w:rsidR="00ED5012" w:rsidRPr="00BC31D4" w:rsidRDefault="00AD3556" w:rsidP="009F0A75">
      <w:pPr>
        <w:pStyle w:val="BodyText"/>
        <w:tabs>
          <w:tab w:val="clear" w:pos="862"/>
          <w:tab w:val="num" w:pos="709"/>
        </w:tabs>
        <w:ind w:left="709" w:hanging="709"/>
        <w:rPr>
          <w:rFonts w:eastAsiaTheme="minorHAnsi"/>
          <w:color w:val="auto"/>
        </w:rPr>
      </w:pPr>
      <w:r w:rsidRPr="009470E3">
        <w:t xml:space="preserve">This audit </w:t>
      </w:r>
      <w:r w:rsidR="00996539">
        <w:t>reviewed</w:t>
      </w:r>
      <w:r w:rsidRPr="009470E3">
        <w:t xml:space="preserve"> </w:t>
      </w:r>
      <w:r w:rsidR="00996539">
        <w:t>the Staffordshire &amp; Stoke-on-Trent Local Enterprise Partnership’s (</w:t>
      </w:r>
      <w:r w:rsidRPr="009470E3">
        <w:t>LEP</w:t>
      </w:r>
      <w:r w:rsidR="00996539">
        <w:t>)</w:t>
      </w:r>
      <w:r w:rsidRPr="009470E3">
        <w:t xml:space="preserve"> compliance with requirements set out in the </w:t>
      </w:r>
      <w:r>
        <w:t>Government’s updated National Assurance Framework, which is due to be published in January 2019 and which the LEP is required to have implemented by 31 March 2019</w:t>
      </w:r>
      <w:r w:rsidRPr="009470E3">
        <w:t xml:space="preserve">. </w:t>
      </w:r>
    </w:p>
    <w:p w:rsidR="00AD3556" w:rsidRPr="00AD3556" w:rsidRDefault="00AE6DB4" w:rsidP="009F0A75">
      <w:pPr>
        <w:pStyle w:val="BodyText"/>
        <w:tabs>
          <w:tab w:val="clear" w:pos="862"/>
          <w:tab w:val="num" w:pos="709"/>
        </w:tabs>
        <w:ind w:left="709" w:hanging="709"/>
      </w:pPr>
      <w:r w:rsidRPr="003216A4">
        <w:t xml:space="preserve">The </w:t>
      </w:r>
      <w:r w:rsidR="00ED5012">
        <w:t xml:space="preserve">scope of the </w:t>
      </w:r>
      <w:r w:rsidRPr="003216A4">
        <w:t xml:space="preserve">audit </w:t>
      </w:r>
      <w:r w:rsidR="009F0A75">
        <w:t xml:space="preserve">was to </w:t>
      </w:r>
      <w:r w:rsidRPr="003216A4">
        <w:t xml:space="preserve">examine the </w:t>
      </w:r>
      <w:r w:rsidR="00AD3556" w:rsidRPr="00AD3556">
        <w:t>LEP</w:t>
      </w:r>
      <w:r w:rsidR="009F0A75">
        <w:t>’s</w:t>
      </w:r>
      <w:r w:rsidR="00AD3556" w:rsidRPr="00AD3556">
        <w:t xml:space="preserve"> </w:t>
      </w:r>
      <w:r w:rsidR="009F0A75">
        <w:t>L</w:t>
      </w:r>
      <w:r w:rsidR="00AD3556" w:rsidRPr="00AD3556">
        <w:t xml:space="preserve">ocal </w:t>
      </w:r>
      <w:r w:rsidR="009F0A75">
        <w:t>A</w:t>
      </w:r>
      <w:r w:rsidR="00AD3556" w:rsidRPr="00AD3556">
        <w:t xml:space="preserve">ssurance </w:t>
      </w:r>
      <w:r w:rsidR="009F0A75">
        <w:t>F</w:t>
      </w:r>
      <w:r w:rsidR="00AD3556" w:rsidRPr="00AD3556">
        <w:t>ramework and associated policies and procedures of the LEP</w:t>
      </w:r>
      <w:r w:rsidR="009F0A75">
        <w:t xml:space="preserve"> to ensure</w:t>
      </w:r>
      <w:r w:rsidR="00AD3556" w:rsidRPr="00AD3556">
        <w:t xml:space="preserve"> </w:t>
      </w:r>
      <w:r w:rsidR="009F0A75" w:rsidRPr="00AD3556">
        <w:t>compl</w:t>
      </w:r>
      <w:r w:rsidR="009F0A75">
        <w:t>iance</w:t>
      </w:r>
      <w:r w:rsidR="00AD3556" w:rsidRPr="00AD3556">
        <w:t xml:space="preserve"> with the updated National Assurance Framework for LEPs issued by the Department for Business, Energy and Industrial Strategy (BEIS) in January 2019</w:t>
      </w:r>
      <w:r w:rsidR="00AD3556">
        <w:t>.</w:t>
      </w:r>
    </w:p>
    <w:p w:rsidR="00AD3556" w:rsidRPr="009470E3" w:rsidRDefault="00AD3556" w:rsidP="009F0A75">
      <w:pPr>
        <w:pStyle w:val="BodyText"/>
        <w:tabs>
          <w:tab w:val="clear" w:pos="862"/>
          <w:tab w:val="num" w:pos="709"/>
        </w:tabs>
        <w:ind w:left="709" w:hanging="709"/>
      </w:pPr>
      <w:r>
        <w:t>The</w:t>
      </w:r>
      <w:r w:rsidRPr="009470E3">
        <w:t xml:space="preserve"> Council is a member of the Stoke and Staffordshire Local Enterprise Partnership (SSLEP)</w:t>
      </w:r>
      <w:r>
        <w:t>, and also acts as the Accountable Body for the SSLEP</w:t>
      </w:r>
      <w:r w:rsidRPr="009470E3">
        <w:t>. The SSLEP is a partnership between business</w:t>
      </w:r>
      <w:r w:rsidR="00996539">
        <w:t>es</w:t>
      </w:r>
      <w:r w:rsidRPr="009470E3">
        <w:t xml:space="preserve"> and the public sector in the Stoke and Staffordshire area.</w:t>
      </w:r>
    </w:p>
    <w:p w:rsidR="003006DF" w:rsidRDefault="00AD3556" w:rsidP="009F0A75">
      <w:pPr>
        <w:pStyle w:val="BodyText"/>
        <w:tabs>
          <w:tab w:val="clear" w:pos="862"/>
        </w:tabs>
        <w:ind w:left="709" w:hanging="709"/>
      </w:pPr>
      <w:r w:rsidRPr="009470E3">
        <w:t>As SSLEP is a recipient of public funds – primarily the Local Growth Fund – the Government requires SSLEP to fulfil various</w:t>
      </w:r>
      <w:r>
        <w:t xml:space="preserve"> governance requirements. An updated version of the National Assurance Framework is due to be issued by the Department for Business, Energy and Industrial Strategy (BEIS) in January 2019. </w:t>
      </w:r>
      <w:r w:rsidRPr="009470E3">
        <w:t xml:space="preserve">The Council’s Section 151 Officer must complete an annual return to DCLG setting out whether or </w:t>
      </w:r>
      <w:r>
        <w:t>not the LEP has discharged its governance</w:t>
      </w:r>
      <w:r w:rsidRPr="009470E3">
        <w:t xml:space="preserve"> obligations. This audit supports this process</w:t>
      </w:r>
      <w:r w:rsidR="00893431">
        <w:t>.</w:t>
      </w:r>
    </w:p>
    <w:p w:rsidR="00014576" w:rsidRDefault="00014576" w:rsidP="00014576">
      <w:pPr>
        <w:pStyle w:val="BodyText2"/>
        <w:ind w:left="709" w:hanging="709"/>
      </w:pPr>
      <w:r>
        <w:t>1.1.5.</w:t>
      </w:r>
      <w:r>
        <w:tab/>
        <w:t>The National Assurance Framework includes a checklist.  The audit approach for the review was to undertake a comparison of the</w:t>
      </w:r>
      <w:r w:rsidR="00934C8B">
        <w:t xml:space="preserve"> SSLEP Assurance Framework and associated documentation, against the requirements of the National Assurance Framework to identify areas of compliance, partial compliance and non-compliance.</w:t>
      </w:r>
    </w:p>
    <w:p w:rsidR="00934C8B" w:rsidRPr="00014576" w:rsidRDefault="00934C8B" w:rsidP="00014576">
      <w:pPr>
        <w:pStyle w:val="BodyText2"/>
        <w:ind w:left="709" w:hanging="709"/>
      </w:pPr>
    </w:p>
    <w:p w:rsidR="00D64404" w:rsidRPr="009F0A75" w:rsidRDefault="009F0A75" w:rsidP="009F0A75">
      <w:pPr>
        <w:spacing w:after="200" w:line="276" w:lineRule="auto"/>
        <w:rPr>
          <w:sz w:val="28"/>
          <w:szCs w:val="28"/>
        </w:rPr>
      </w:pPr>
      <w:r>
        <w:rPr>
          <w:sz w:val="28"/>
          <w:szCs w:val="28"/>
        </w:rPr>
        <w:t>1.2</w:t>
      </w:r>
      <w:r>
        <w:rPr>
          <w:sz w:val="28"/>
          <w:szCs w:val="28"/>
        </w:rPr>
        <w:tab/>
      </w:r>
      <w:r w:rsidR="00D64404" w:rsidRPr="009F0A75">
        <w:rPr>
          <w:sz w:val="28"/>
          <w:szCs w:val="28"/>
        </w:rPr>
        <w:t>Summary of Audit Findings</w:t>
      </w:r>
      <w:bookmarkEnd w:id="11"/>
    </w:p>
    <w:tbl>
      <w:tblPr>
        <w:tblW w:w="8919" w:type="dxa"/>
        <w:tblInd w:w="828" w:type="dxa"/>
        <w:tblLayout w:type="fixed"/>
        <w:tblLook w:val="0000" w:firstRow="0" w:lastRow="0" w:firstColumn="0" w:lastColumn="0" w:noHBand="0" w:noVBand="0"/>
      </w:tblPr>
      <w:tblGrid>
        <w:gridCol w:w="4500"/>
        <w:gridCol w:w="1080"/>
        <w:gridCol w:w="1213"/>
        <w:gridCol w:w="947"/>
        <w:gridCol w:w="1179"/>
      </w:tblGrid>
      <w:tr w:rsidR="00AE6DB4" w:rsidTr="00AE6DB4">
        <w:tc>
          <w:tcPr>
            <w:tcW w:w="4500" w:type="dxa"/>
            <w:tcBorders>
              <w:top w:val="single" w:sz="8" w:space="0" w:color="auto"/>
              <w:left w:val="single" w:sz="8" w:space="0" w:color="auto"/>
              <w:right w:val="single" w:sz="8" w:space="0" w:color="auto"/>
            </w:tcBorders>
            <w:shd w:val="clear" w:color="auto" w:fill="B58829"/>
            <w:vAlign w:val="bottom"/>
          </w:tcPr>
          <w:p w:rsidR="00AE6DB4" w:rsidRPr="00C04E75" w:rsidRDefault="00AE6DB4" w:rsidP="00AE6DB4">
            <w:pPr>
              <w:spacing w:before="120" w:after="120"/>
              <w:jc w:val="center"/>
              <w:rPr>
                <w:rFonts w:ascii="Arial Narrow" w:hAnsi="Arial Narrow" w:cs="Arial"/>
                <w:b/>
                <w:bCs/>
                <w:color w:val="FFFFFF"/>
                <w:sz w:val="20"/>
                <w:szCs w:val="20"/>
              </w:rPr>
            </w:pPr>
            <w:r w:rsidRPr="00C04E75">
              <w:rPr>
                <w:rFonts w:ascii="Arial Narrow" w:hAnsi="Arial Narrow" w:cs="Arial"/>
                <w:b/>
                <w:bCs/>
                <w:color w:val="FFFFFF"/>
                <w:sz w:val="20"/>
                <w:szCs w:val="20"/>
              </w:rPr>
              <w:t>Control Objectives Examined</w:t>
            </w:r>
          </w:p>
        </w:tc>
        <w:tc>
          <w:tcPr>
            <w:tcW w:w="1080" w:type="dxa"/>
            <w:tcBorders>
              <w:top w:val="single" w:sz="8" w:space="0" w:color="auto"/>
              <w:left w:val="single" w:sz="8" w:space="0" w:color="auto"/>
              <w:right w:val="nil"/>
            </w:tcBorders>
            <w:shd w:val="clear" w:color="auto" w:fill="B58829"/>
            <w:vAlign w:val="bottom"/>
          </w:tcPr>
          <w:p w:rsidR="00AE6DB4" w:rsidRPr="00C04E75" w:rsidRDefault="00AE6DB4" w:rsidP="00AE6DB4">
            <w:pPr>
              <w:spacing w:before="60" w:after="120"/>
              <w:jc w:val="center"/>
              <w:rPr>
                <w:rFonts w:ascii="Arial Narrow" w:hAnsi="Arial Narrow" w:cs="Arial"/>
                <w:b/>
                <w:bCs/>
                <w:color w:val="FFFFFF"/>
                <w:sz w:val="20"/>
                <w:szCs w:val="20"/>
              </w:rPr>
            </w:pPr>
            <w:r w:rsidRPr="00C04E75">
              <w:rPr>
                <w:rFonts w:ascii="Arial Narrow" w:hAnsi="Arial Narrow" w:cs="Arial"/>
                <w:b/>
                <w:bCs/>
                <w:color w:val="FFFFFF"/>
                <w:sz w:val="20"/>
                <w:szCs w:val="20"/>
              </w:rPr>
              <w:t>No of Controls Evaluated</w:t>
            </w:r>
          </w:p>
        </w:tc>
        <w:tc>
          <w:tcPr>
            <w:tcW w:w="1213" w:type="dxa"/>
            <w:tcBorders>
              <w:top w:val="single" w:sz="8" w:space="0" w:color="auto"/>
              <w:left w:val="nil"/>
              <w:right w:val="single" w:sz="8" w:space="0" w:color="auto"/>
            </w:tcBorders>
            <w:shd w:val="clear" w:color="auto" w:fill="B58829"/>
            <w:vAlign w:val="bottom"/>
          </w:tcPr>
          <w:p w:rsidR="00AE6DB4" w:rsidRPr="00C04E75" w:rsidRDefault="00AE6DB4" w:rsidP="00AE6DB4">
            <w:pPr>
              <w:spacing w:before="60" w:after="120"/>
              <w:jc w:val="center"/>
              <w:rPr>
                <w:rFonts w:ascii="Arial Narrow" w:hAnsi="Arial Narrow" w:cs="Arial"/>
                <w:b/>
                <w:bCs/>
                <w:color w:val="FFFFFF"/>
                <w:sz w:val="20"/>
                <w:szCs w:val="20"/>
              </w:rPr>
            </w:pPr>
            <w:r w:rsidRPr="00C04E75">
              <w:rPr>
                <w:rFonts w:ascii="Arial Narrow" w:hAnsi="Arial Narrow" w:cs="Arial"/>
                <w:b/>
                <w:bCs/>
                <w:color w:val="FFFFFF"/>
                <w:sz w:val="20"/>
                <w:szCs w:val="20"/>
              </w:rPr>
              <w:t>No of Adequate Controls</w:t>
            </w:r>
          </w:p>
        </w:tc>
        <w:tc>
          <w:tcPr>
            <w:tcW w:w="947" w:type="dxa"/>
            <w:tcBorders>
              <w:top w:val="single" w:sz="8" w:space="0" w:color="auto"/>
              <w:left w:val="single" w:sz="8" w:space="0" w:color="auto"/>
              <w:right w:val="nil"/>
            </w:tcBorders>
            <w:shd w:val="clear" w:color="auto" w:fill="B58829"/>
            <w:vAlign w:val="bottom"/>
          </w:tcPr>
          <w:p w:rsidR="00AE6DB4" w:rsidRPr="00C04E75" w:rsidRDefault="00AE6DB4" w:rsidP="00AE6DB4">
            <w:pPr>
              <w:spacing w:before="60" w:after="120"/>
              <w:jc w:val="center"/>
              <w:rPr>
                <w:rFonts w:ascii="Arial Narrow" w:hAnsi="Arial Narrow" w:cs="Arial"/>
                <w:b/>
                <w:bCs/>
                <w:color w:val="FFFFFF"/>
                <w:sz w:val="20"/>
                <w:szCs w:val="20"/>
              </w:rPr>
            </w:pPr>
            <w:r w:rsidRPr="00C04E75">
              <w:rPr>
                <w:rFonts w:ascii="Arial Narrow" w:hAnsi="Arial Narrow" w:cs="Arial"/>
                <w:b/>
                <w:bCs/>
                <w:color w:val="FFFFFF"/>
                <w:sz w:val="20"/>
                <w:szCs w:val="20"/>
              </w:rPr>
              <w:t xml:space="preserve">No of </w:t>
            </w:r>
            <w:r>
              <w:rPr>
                <w:rFonts w:ascii="Arial Narrow" w:hAnsi="Arial Narrow" w:cs="Arial"/>
                <w:b/>
                <w:bCs/>
                <w:color w:val="FFFFFF"/>
                <w:sz w:val="20"/>
                <w:szCs w:val="20"/>
              </w:rPr>
              <w:t>Partial</w:t>
            </w:r>
            <w:r w:rsidRPr="00C04E75">
              <w:rPr>
                <w:rFonts w:ascii="Arial Narrow" w:hAnsi="Arial Narrow" w:cs="Arial"/>
                <w:b/>
                <w:bCs/>
                <w:color w:val="FFFFFF"/>
                <w:sz w:val="20"/>
                <w:szCs w:val="20"/>
              </w:rPr>
              <w:t xml:space="preserve"> Controls</w:t>
            </w:r>
          </w:p>
        </w:tc>
        <w:tc>
          <w:tcPr>
            <w:tcW w:w="1179" w:type="dxa"/>
            <w:tcBorders>
              <w:top w:val="single" w:sz="8" w:space="0" w:color="auto"/>
              <w:left w:val="nil"/>
              <w:right w:val="single" w:sz="8" w:space="0" w:color="auto"/>
            </w:tcBorders>
            <w:shd w:val="clear" w:color="auto" w:fill="B58829"/>
            <w:vAlign w:val="bottom"/>
          </w:tcPr>
          <w:p w:rsidR="00AE6DB4" w:rsidRPr="00C04E75" w:rsidRDefault="00AE6DB4" w:rsidP="00AE6DB4">
            <w:pPr>
              <w:spacing w:before="120" w:after="120"/>
              <w:jc w:val="center"/>
              <w:rPr>
                <w:rFonts w:ascii="Arial Narrow" w:hAnsi="Arial Narrow" w:cs="Arial"/>
                <w:b/>
                <w:bCs/>
                <w:color w:val="FFFFFF"/>
                <w:sz w:val="20"/>
                <w:szCs w:val="20"/>
              </w:rPr>
            </w:pPr>
            <w:r w:rsidRPr="00C04E75">
              <w:rPr>
                <w:rFonts w:ascii="Arial Narrow" w:hAnsi="Arial Narrow" w:cs="Arial"/>
                <w:b/>
                <w:bCs/>
                <w:color w:val="FFFFFF"/>
                <w:sz w:val="20"/>
                <w:szCs w:val="20"/>
              </w:rPr>
              <w:t>No of Weak Controls</w:t>
            </w:r>
          </w:p>
        </w:tc>
      </w:tr>
      <w:tr w:rsidR="00AE6DB4" w:rsidTr="00AE6DB4">
        <w:tc>
          <w:tcPr>
            <w:tcW w:w="4500" w:type="dxa"/>
            <w:tcBorders>
              <w:left w:val="single" w:sz="8" w:space="0" w:color="auto"/>
              <w:right w:val="single" w:sz="8" w:space="0" w:color="auto"/>
            </w:tcBorders>
            <w:shd w:val="clear" w:color="auto" w:fill="auto"/>
          </w:tcPr>
          <w:p w:rsidR="00AE6DB4" w:rsidRPr="0078092E" w:rsidRDefault="00BF46B9" w:rsidP="00BF46B9">
            <w:pPr>
              <w:spacing w:before="120" w:after="120"/>
              <w:rPr>
                <w:rFonts w:ascii="Arial Narrow" w:hAnsi="Arial Narrow" w:cs="Arial"/>
                <w:sz w:val="20"/>
                <w:szCs w:val="20"/>
              </w:rPr>
            </w:pPr>
            <w:r w:rsidRPr="00BF46B9">
              <w:rPr>
                <w:rFonts w:ascii="Arial Narrow" w:hAnsi="Arial Narrow"/>
                <w:sz w:val="20"/>
                <w:szCs w:val="20"/>
              </w:rPr>
              <w:t xml:space="preserve">LEP has </w:t>
            </w:r>
            <w:r>
              <w:rPr>
                <w:rFonts w:ascii="Arial Narrow" w:hAnsi="Arial Narrow"/>
                <w:sz w:val="20"/>
                <w:szCs w:val="20"/>
              </w:rPr>
              <w:t>published and approved</w:t>
            </w:r>
            <w:r w:rsidRPr="00BF46B9">
              <w:rPr>
                <w:rFonts w:ascii="Arial Narrow" w:hAnsi="Arial Narrow"/>
                <w:sz w:val="20"/>
                <w:szCs w:val="20"/>
              </w:rPr>
              <w:t xml:space="preserve"> </w:t>
            </w:r>
            <w:r>
              <w:rPr>
                <w:rFonts w:ascii="Arial Narrow" w:hAnsi="Arial Narrow"/>
                <w:sz w:val="20"/>
                <w:szCs w:val="20"/>
              </w:rPr>
              <w:t xml:space="preserve">a compliant </w:t>
            </w:r>
            <w:r w:rsidRPr="00BF46B9">
              <w:rPr>
                <w:rFonts w:ascii="Arial Narrow" w:hAnsi="Arial Narrow"/>
                <w:sz w:val="20"/>
                <w:szCs w:val="20"/>
              </w:rPr>
              <w:t>Assurance Framework</w:t>
            </w:r>
            <w:r>
              <w:rPr>
                <w:rFonts w:ascii="Arial Narrow" w:hAnsi="Arial Narrow"/>
                <w:sz w:val="20"/>
                <w:szCs w:val="20"/>
              </w:rPr>
              <w:t xml:space="preserve"> by 31 March 2019</w:t>
            </w:r>
          </w:p>
        </w:tc>
        <w:tc>
          <w:tcPr>
            <w:tcW w:w="1080" w:type="dxa"/>
            <w:tcBorders>
              <w:left w:val="single" w:sz="8" w:space="0" w:color="auto"/>
              <w:right w:val="nil"/>
            </w:tcBorders>
            <w:shd w:val="clear" w:color="auto" w:fill="auto"/>
            <w:noWrap/>
            <w:vAlign w:val="center"/>
          </w:tcPr>
          <w:p w:rsidR="00AE6DB4" w:rsidRPr="00B34334" w:rsidRDefault="00BE32D3" w:rsidP="00AE6DB4">
            <w:pPr>
              <w:spacing w:before="120" w:after="120"/>
              <w:jc w:val="center"/>
              <w:rPr>
                <w:rFonts w:ascii="Arial Narrow" w:hAnsi="Arial Narrow" w:cs="Arial"/>
                <w:sz w:val="20"/>
                <w:szCs w:val="20"/>
              </w:rPr>
            </w:pPr>
            <w:r>
              <w:rPr>
                <w:rFonts w:ascii="Arial Narrow" w:hAnsi="Arial Narrow" w:cs="Arial"/>
                <w:sz w:val="20"/>
                <w:szCs w:val="20"/>
              </w:rPr>
              <w:t>20</w:t>
            </w:r>
          </w:p>
        </w:tc>
        <w:tc>
          <w:tcPr>
            <w:tcW w:w="1213" w:type="dxa"/>
            <w:tcBorders>
              <w:left w:val="nil"/>
              <w:right w:val="single" w:sz="8" w:space="0" w:color="auto"/>
            </w:tcBorders>
            <w:shd w:val="clear" w:color="auto" w:fill="auto"/>
            <w:noWrap/>
            <w:vAlign w:val="center"/>
          </w:tcPr>
          <w:p w:rsidR="00AE6DB4" w:rsidRPr="00B34334" w:rsidRDefault="00BE32D3" w:rsidP="00AE6DB4">
            <w:pPr>
              <w:spacing w:before="120" w:after="120"/>
              <w:jc w:val="center"/>
              <w:rPr>
                <w:rFonts w:ascii="Arial Narrow" w:hAnsi="Arial Narrow" w:cs="Arial"/>
                <w:sz w:val="20"/>
                <w:szCs w:val="20"/>
              </w:rPr>
            </w:pPr>
            <w:r>
              <w:rPr>
                <w:rFonts w:ascii="Arial Narrow" w:hAnsi="Arial Narrow" w:cs="Arial"/>
                <w:sz w:val="20"/>
                <w:szCs w:val="20"/>
              </w:rPr>
              <w:t>14</w:t>
            </w:r>
          </w:p>
        </w:tc>
        <w:tc>
          <w:tcPr>
            <w:tcW w:w="947" w:type="dxa"/>
            <w:tcBorders>
              <w:left w:val="single" w:sz="8" w:space="0" w:color="auto"/>
              <w:right w:val="nil"/>
            </w:tcBorders>
            <w:shd w:val="clear" w:color="auto" w:fill="auto"/>
            <w:noWrap/>
            <w:vAlign w:val="center"/>
          </w:tcPr>
          <w:p w:rsidR="00AE6DB4" w:rsidRPr="00B34334" w:rsidRDefault="00BE32D3" w:rsidP="00AE6DB4">
            <w:pPr>
              <w:spacing w:before="120" w:after="120"/>
              <w:jc w:val="center"/>
              <w:rPr>
                <w:rFonts w:ascii="Arial Narrow" w:hAnsi="Arial Narrow" w:cs="Arial"/>
                <w:sz w:val="20"/>
                <w:szCs w:val="20"/>
              </w:rPr>
            </w:pPr>
            <w:r>
              <w:rPr>
                <w:rFonts w:ascii="Arial Narrow" w:hAnsi="Arial Narrow" w:cs="Arial"/>
                <w:sz w:val="20"/>
                <w:szCs w:val="20"/>
              </w:rPr>
              <w:t>6</w:t>
            </w:r>
          </w:p>
        </w:tc>
        <w:tc>
          <w:tcPr>
            <w:tcW w:w="1179" w:type="dxa"/>
            <w:tcBorders>
              <w:left w:val="nil"/>
              <w:right w:val="single" w:sz="8" w:space="0" w:color="auto"/>
            </w:tcBorders>
            <w:shd w:val="clear" w:color="auto" w:fill="auto"/>
            <w:noWrap/>
            <w:vAlign w:val="center"/>
          </w:tcPr>
          <w:p w:rsidR="00AE6DB4" w:rsidRPr="00B34334" w:rsidRDefault="00AE6DB4" w:rsidP="00AE6DB4">
            <w:pPr>
              <w:spacing w:before="120" w:after="120"/>
              <w:jc w:val="center"/>
              <w:rPr>
                <w:rFonts w:ascii="Arial Narrow" w:hAnsi="Arial Narrow" w:cs="Arial"/>
                <w:sz w:val="20"/>
                <w:szCs w:val="20"/>
              </w:rPr>
            </w:pPr>
            <w:r>
              <w:rPr>
                <w:rFonts w:ascii="Arial Narrow" w:hAnsi="Arial Narrow" w:cs="Arial"/>
                <w:sz w:val="20"/>
                <w:szCs w:val="20"/>
              </w:rPr>
              <w:t>0</w:t>
            </w:r>
          </w:p>
        </w:tc>
      </w:tr>
      <w:tr w:rsidR="00AE6DB4" w:rsidTr="00AE6DB4">
        <w:tc>
          <w:tcPr>
            <w:tcW w:w="4500" w:type="dxa"/>
            <w:tcBorders>
              <w:left w:val="single" w:sz="8" w:space="0" w:color="auto"/>
              <w:right w:val="single" w:sz="8" w:space="0" w:color="auto"/>
            </w:tcBorders>
            <w:shd w:val="clear" w:color="auto" w:fill="auto"/>
          </w:tcPr>
          <w:p w:rsidR="00AE6DB4" w:rsidRPr="00BF46B9" w:rsidRDefault="00BF46B9" w:rsidP="00BF46B9">
            <w:pPr>
              <w:spacing w:before="120" w:after="120"/>
              <w:rPr>
                <w:rFonts w:ascii="Arial Narrow" w:hAnsi="Arial Narrow"/>
                <w:sz w:val="20"/>
                <w:szCs w:val="20"/>
              </w:rPr>
            </w:pPr>
            <w:r>
              <w:rPr>
                <w:rFonts w:ascii="Arial Narrow" w:hAnsi="Arial Narrow"/>
                <w:sz w:val="20"/>
                <w:szCs w:val="20"/>
              </w:rPr>
              <w:t>The LEP</w:t>
            </w:r>
            <w:r w:rsidRPr="00BF46B9">
              <w:rPr>
                <w:rFonts w:ascii="Arial Narrow" w:hAnsi="Arial Narrow"/>
                <w:sz w:val="20"/>
                <w:szCs w:val="20"/>
              </w:rPr>
              <w:t xml:space="preserve"> publish minutes of meetings on the LEP website within 10 working days of the meeting taking place</w:t>
            </w:r>
          </w:p>
        </w:tc>
        <w:tc>
          <w:tcPr>
            <w:tcW w:w="1080" w:type="dxa"/>
            <w:tcBorders>
              <w:left w:val="single" w:sz="8" w:space="0" w:color="auto"/>
              <w:right w:val="nil"/>
            </w:tcBorders>
            <w:shd w:val="clear" w:color="auto" w:fill="auto"/>
            <w:noWrap/>
            <w:vAlign w:val="center"/>
          </w:tcPr>
          <w:p w:rsidR="00AE6DB4" w:rsidRPr="00B34334" w:rsidRDefault="00BF46B9" w:rsidP="00AE6DB4">
            <w:pPr>
              <w:spacing w:before="120" w:after="120"/>
              <w:jc w:val="center"/>
              <w:rPr>
                <w:rFonts w:ascii="Arial Narrow" w:hAnsi="Arial Narrow" w:cs="Arial"/>
                <w:sz w:val="20"/>
                <w:szCs w:val="20"/>
              </w:rPr>
            </w:pPr>
            <w:r>
              <w:rPr>
                <w:rFonts w:ascii="Arial Narrow" w:hAnsi="Arial Narrow" w:cs="Arial"/>
                <w:sz w:val="20"/>
                <w:szCs w:val="20"/>
              </w:rPr>
              <w:t>1</w:t>
            </w:r>
          </w:p>
        </w:tc>
        <w:tc>
          <w:tcPr>
            <w:tcW w:w="1213" w:type="dxa"/>
            <w:tcBorders>
              <w:left w:val="nil"/>
              <w:right w:val="single" w:sz="8" w:space="0" w:color="auto"/>
            </w:tcBorders>
            <w:shd w:val="clear" w:color="auto" w:fill="auto"/>
            <w:noWrap/>
            <w:vAlign w:val="center"/>
          </w:tcPr>
          <w:p w:rsidR="00AE6DB4" w:rsidRPr="00B34334" w:rsidRDefault="00BF46B9" w:rsidP="00AE6DB4">
            <w:pPr>
              <w:spacing w:before="120" w:after="120"/>
              <w:jc w:val="center"/>
              <w:rPr>
                <w:rFonts w:ascii="Arial Narrow" w:hAnsi="Arial Narrow" w:cs="Arial"/>
                <w:sz w:val="20"/>
                <w:szCs w:val="20"/>
              </w:rPr>
            </w:pPr>
            <w:r>
              <w:rPr>
                <w:rFonts w:ascii="Arial Narrow" w:hAnsi="Arial Narrow" w:cs="Arial"/>
                <w:sz w:val="20"/>
                <w:szCs w:val="20"/>
              </w:rPr>
              <w:t>1</w:t>
            </w:r>
          </w:p>
        </w:tc>
        <w:tc>
          <w:tcPr>
            <w:tcW w:w="947" w:type="dxa"/>
            <w:tcBorders>
              <w:left w:val="single" w:sz="8" w:space="0" w:color="auto"/>
              <w:right w:val="nil"/>
            </w:tcBorders>
            <w:shd w:val="clear" w:color="auto" w:fill="auto"/>
            <w:noWrap/>
            <w:vAlign w:val="center"/>
          </w:tcPr>
          <w:p w:rsidR="00AE6DB4" w:rsidRPr="00B34334" w:rsidRDefault="00BF46B9" w:rsidP="00AE6DB4">
            <w:pPr>
              <w:spacing w:before="120" w:after="120"/>
              <w:jc w:val="center"/>
              <w:rPr>
                <w:rFonts w:ascii="Arial Narrow" w:hAnsi="Arial Narrow" w:cs="Arial"/>
                <w:sz w:val="20"/>
                <w:szCs w:val="20"/>
              </w:rPr>
            </w:pPr>
            <w:r>
              <w:rPr>
                <w:rFonts w:ascii="Arial Narrow" w:hAnsi="Arial Narrow" w:cs="Arial"/>
                <w:sz w:val="20"/>
                <w:szCs w:val="20"/>
              </w:rPr>
              <w:t>0</w:t>
            </w:r>
          </w:p>
        </w:tc>
        <w:tc>
          <w:tcPr>
            <w:tcW w:w="1179" w:type="dxa"/>
            <w:tcBorders>
              <w:left w:val="nil"/>
              <w:right w:val="single" w:sz="8" w:space="0" w:color="auto"/>
            </w:tcBorders>
            <w:shd w:val="clear" w:color="auto" w:fill="auto"/>
            <w:noWrap/>
            <w:vAlign w:val="center"/>
          </w:tcPr>
          <w:p w:rsidR="00AE6DB4" w:rsidRPr="00B34334" w:rsidRDefault="00AE6DB4" w:rsidP="00AE6DB4">
            <w:pPr>
              <w:spacing w:before="120" w:after="120"/>
              <w:jc w:val="center"/>
              <w:rPr>
                <w:rFonts w:ascii="Arial Narrow" w:hAnsi="Arial Narrow" w:cs="Arial"/>
                <w:sz w:val="20"/>
                <w:szCs w:val="20"/>
              </w:rPr>
            </w:pPr>
            <w:r>
              <w:rPr>
                <w:rFonts w:ascii="Arial Narrow" w:hAnsi="Arial Narrow" w:cs="Arial"/>
                <w:sz w:val="20"/>
                <w:szCs w:val="20"/>
              </w:rPr>
              <w:t>0</w:t>
            </w:r>
          </w:p>
        </w:tc>
      </w:tr>
      <w:tr w:rsidR="00AE6DB4" w:rsidTr="00AE6DB4">
        <w:tc>
          <w:tcPr>
            <w:tcW w:w="4500" w:type="dxa"/>
            <w:tcBorders>
              <w:left w:val="single" w:sz="8" w:space="0" w:color="auto"/>
              <w:right w:val="single" w:sz="8" w:space="0" w:color="auto"/>
            </w:tcBorders>
            <w:shd w:val="clear" w:color="auto" w:fill="auto"/>
          </w:tcPr>
          <w:p w:rsidR="00AE6DB4" w:rsidRPr="00BF46B9" w:rsidRDefault="00BF46B9" w:rsidP="00BF46B9">
            <w:pPr>
              <w:spacing w:before="120" w:after="120"/>
              <w:rPr>
                <w:rFonts w:ascii="Arial Narrow" w:hAnsi="Arial Narrow"/>
                <w:sz w:val="20"/>
                <w:szCs w:val="20"/>
              </w:rPr>
            </w:pPr>
            <w:r w:rsidRPr="00BF46B9">
              <w:rPr>
                <w:rFonts w:ascii="Arial Narrow" w:hAnsi="Arial Narrow"/>
                <w:sz w:val="20"/>
                <w:szCs w:val="20"/>
              </w:rPr>
              <w:t>The LEP does publish an agenda and supporting papers for Board meetings on the LEP website 5 working days before the meeting taking place</w:t>
            </w:r>
          </w:p>
        </w:tc>
        <w:tc>
          <w:tcPr>
            <w:tcW w:w="1080" w:type="dxa"/>
            <w:tcBorders>
              <w:left w:val="single" w:sz="8" w:space="0" w:color="auto"/>
              <w:right w:val="nil"/>
            </w:tcBorders>
            <w:shd w:val="clear" w:color="auto" w:fill="auto"/>
            <w:noWrap/>
            <w:vAlign w:val="center"/>
          </w:tcPr>
          <w:p w:rsidR="00AE6DB4" w:rsidRPr="00B34334" w:rsidRDefault="00BF46B9" w:rsidP="00AE6DB4">
            <w:pPr>
              <w:spacing w:before="120" w:after="120"/>
              <w:jc w:val="center"/>
              <w:rPr>
                <w:rFonts w:ascii="Arial Narrow" w:hAnsi="Arial Narrow" w:cs="Arial"/>
                <w:sz w:val="20"/>
                <w:szCs w:val="20"/>
              </w:rPr>
            </w:pPr>
            <w:r>
              <w:rPr>
                <w:rFonts w:ascii="Arial Narrow" w:hAnsi="Arial Narrow" w:cs="Arial"/>
                <w:sz w:val="20"/>
                <w:szCs w:val="20"/>
              </w:rPr>
              <w:t>1</w:t>
            </w:r>
          </w:p>
        </w:tc>
        <w:tc>
          <w:tcPr>
            <w:tcW w:w="1213" w:type="dxa"/>
            <w:tcBorders>
              <w:left w:val="nil"/>
              <w:right w:val="single" w:sz="8" w:space="0" w:color="auto"/>
            </w:tcBorders>
            <w:shd w:val="clear" w:color="auto" w:fill="auto"/>
            <w:noWrap/>
            <w:vAlign w:val="center"/>
          </w:tcPr>
          <w:p w:rsidR="00AE6DB4" w:rsidRPr="00B34334" w:rsidRDefault="00BF46B9" w:rsidP="00AE6DB4">
            <w:pPr>
              <w:spacing w:before="120" w:after="120"/>
              <w:jc w:val="center"/>
              <w:rPr>
                <w:rFonts w:ascii="Arial Narrow" w:hAnsi="Arial Narrow" w:cs="Arial"/>
                <w:sz w:val="20"/>
                <w:szCs w:val="20"/>
              </w:rPr>
            </w:pPr>
            <w:r>
              <w:rPr>
                <w:rFonts w:ascii="Arial Narrow" w:hAnsi="Arial Narrow" w:cs="Arial"/>
                <w:sz w:val="20"/>
                <w:szCs w:val="20"/>
              </w:rPr>
              <w:t>1</w:t>
            </w:r>
          </w:p>
        </w:tc>
        <w:tc>
          <w:tcPr>
            <w:tcW w:w="947" w:type="dxa"/>
            <w:tcBorders>
              <w:left w:val="single" w:sz="8" w:space="0" w:color="auto"/>
              <w:right w:val="nil"/>
            </w:tcBorders>
            <w:shd w:val="clear" w:color="auto" w:fill="auto"/>
            <w:noWrap/>
            <w:vAlign w:val="center"/>
          </w:tcPr>
          <w:p w:rsidR="00AE6DB4" w:rsidRPr="00B34334" w:rsidRDefault="00BF46B9" w:rsidP="00AE6DB4">
            <w:pPr>
              <w:spacing w:before="120" w:after="120"/>
              <w:jc w:val="center"/>
              <w:rPr>
                <w:rFonts w:ascii="Arial Narrow" w:hAnsi="Arial Narrow" w:cs="Arial"/>
                <w:sz w:val="20"/>
                <w:szCs w:val="20"/>
              </w:rPr>
            </w:pPr>
            <w:r>
              <w:rPr>
                <w:rFonts w:ascii="Arial Narrow" w:hAnsi="Arial Narrow" w:cs="Arial"/>
                <w:sz w:val="20"/>
                <w:szCs w:val="20"/>
              </w:rPr>
              <w:t>0</w:t>
            </w:r>
          </w:p>
        </w:tc>
        <w:tc>
          <w:tcPr>
            <w:tcW w:w="1179" w:type="dxa"/>
            <w:tcBorders>
              <w:left w:val="nil"/>
              <w:right w:val="single" w:sz="8" w:space="0" w:color="auto"/>
            </w:tcBorders>
            <w:shd w:val="clear" w:color="auto" w:fill="auto"/>
            <w:noWrap/>
            <w:vAlign w:val="center"/>
          </w:tcPr>
          <w:p w:rsidR="00AE6DB4" w:rsidRPr="00B34334" w:rsidRDefault="00AE6DB4" w:rsidP="00AE6DB4">
            <w:pPr>
              <w:spacing w:before="120" w:after="120"/>
              <w:jc w:val="center"/>
              <w:rPr>
                <w:rFonts w:ascii="Arial Narrow" w:hAnsi="Arial Narrow" w:cs="Arial"/>
                <w:sz w:val="20"/>
                <w:szCs w:val="20"/>
              </w:rPr>
            </w:pPr>
            <w:r>
              <w:rPr>
                <w:rFonts w:ascii="Arial Narrow" w:hAnsi="Arial Narrow" w:cs="Arial"/>
                <w:sz w:val="20"/>
                <w:szCs w:val="20"/>
              </w:rPr>
              <w:t>0</w:t>
            </w:r>
          </w:p>
        </w:tc>
      </w:tr>
      <w:tr w:rsidR="00BF46B9" w:rsidTr="00AE6DB4">
        <w:tc>
          <w:tcPr>
            <w:tcW w:w="4500" w:type="dxa"/>
            <w:tcBorders>
              <w:left w:val="single" w:sz="8" w:space="0" w:color="auto"/>
              <w:right w:val="single" w:sz="8" w:space="0" w:color="auto"/>
            </w:tcBorders>
            <w:shd w:val="clear" w:color="auto" w:fill="auto"/>
          </w:tcPr>
          <w:p w:rsidR="00BF46B9" w:rsidRPr="00BF46B9" w:rsidRDefault="00BF46B9" w:rsidP="00BF46B9">
            <w:pPr>
              <w:spacing w:before="120" w:after="120"/>
              <w:rPr>
                <w:rFonts w:ascii="Arial Narrow" w:hAnsi="Arial Narrow"/>
                <w:sz w:val="20"/>
                <w:szCs w:val="20"/>
              </w:rPr>
            </w:pPr>
            <w:r>
              <w:rPr>
                <w:rFonts w:ascii="Arial Narrow" w:hAnsi="Arial Narrow"/>
                <w:sz w:val="20"/>
                <w:szCs w:val="20"/>
              </w:rPr>
              <w:t xml:space="preserve">Minutes of meetings </w:t>
            </w:r>
            <w:r w:rsidRPr="00BF46B9">
              <w:rPr>
                <w:rFonts w:ascii="Arial Narrow" w:hAnsi="Arial Narrow"/>
                <w:sz w:val="20"/>
                <w:szCs w:val="20"/>
              </w:rPr>
              <w:t>include a section inviting attendees to make declarations of interest</w:t>
            </w:r>
          </w:p>
        </w:tc>
        <w:tc>
          <w:tcPr>
            <w:tcW w:w="1080" w:type="dxa"/>
            <w:tcBorders>
              <w:left w:val="single" w:sz="8" w:space="0" w:color="auto"/>
              <w:right w:val="nil"/>
            </w:tcBorders>
            <w:shd w:val="clear" w:color="auto" w:fill="auto"/>
            <w:noWrap/>
            <w:vAlign w:val="center"/>
          </w:tcPr>
          <w:p w:rsidR="00BF46B9" w:rsidRPr="00B34334" w:rsidRDefault="00BF46B9" w:rsidP="00BF46B9">
            <w:pPr>
              <w:spacing w:before="120" w:after="120"/>
              <w:jc w:val="center"/>
              <w:rPr>
                <w:rFonts w:ascii="Arial Narrow" w:hAnsi="Arial Narrow" w:cs="Arial"/>
                <w:sz w:val="20"/>
                <w:szCs w:val="20"/>
              </w:rPr>
            </w:pPr>
            <w:r>
              <w:rPr>
                <w:rFonts w:ascii="Arial Narrow" w:hAnsi="Arial Narrow" w:cs="Arial"/>
                <w:sz w:val="20"/>
                <w:szCs w:val="20"/>
              </w:rPr>
              <w:t>1</w:t>
            </w:r>
          </w:p>
        </w:tc>
        <w:tc>
          <w:tcPr>
            <w:tcW w:w="1213" w:type="dxa"/>
            <w:tcBorders>
              <w:left w:val="nil"/>
              <w:right w:val="single" w:sz="8" w:space="0" w:color="auto"/>
            </w:tcBorders>
            <w:shd w:val="clear" w:color="auto" w:fill="auto"/>
            <w:noWrap/>
            <w:vAlign w:val="center"/>
          </w:tcPr>
          <w:p w:rsidR="00BF46B9" w:rsidRPr="00B34334" w:rsidRDefault="00BF46B9" w:rsidP="00BF46B9">
            <w:pPr>
              <w:spacing w:before="120" w:after="120"/>
              <w:jc w:val="center"/>
              <w:rPr>
                <w:rFonts w:ascii="Arial Narrow" w:hAnsi="Arial Narrow" w:cs="Arial"/>
                <w:sz w:val="20"/>
                <w:szCs w:val="20"/>
              </w:rPr>
            </w:pPr>
            <w:r>
              <w:rPr>
                <w:rFonts w:ascii="Arial Narrow" w:hAnsi="Arial Narrow" w:cs="Arial"/>
                <w:sz w:val="20"/>
                <w:szCs w:val="20"/>
              </w:rPr>
              <w:t>1</w:t>
            </w:r>
          </w:p>
        </w:tc>
        <w:tc>
          <w:tcPr>
            <w:tcW w:w="947" w:type="dxa"/>
            <w:tcBorders>
              <w:left w:val="single" w:sz="8" w:space="0" w:color="auto"/>
              <w:right w:val="nil"/>
            </w:tcBorders>
            <w:shd w:val="clear" w:color="auto" w:fill="auto"/>
            <w:noWrap/>
            <w:vAlign w:val="center"/>
          </w:tcPr>
          <w:p w:rsidR="00BF46B9" w:rsidRPr="00B34334" w:rsidRDefault="00BF46B9" w:rsidP="00BF46B9">
            <w:pPr>
              <w:spacing w:before="120" w:after="120"/>
              <w:jc w:val="center"/>
              <w:rPr>
                <w:rFonts w:ascii="Arial Narrow" w:hAnsi="Arial Narrow" w:cs="Arial"/>
                <w:sz w:val="20"/>
                <w:szCs w:val="20"/>
              </w:rPr>
            </w:pPr>
            <w:r>
              <w:rPr>
                <w:rFonts w:ascii="Arial Narrow" w:hAnsi="Arial Narrow" w:cs="Arial"/>
                <w:sz w:val="20"/>
                <w:szCs w:val="20"/>
              </w:rPr>
              <w:t>0</w:t>
            </w:r>
          </w:p>
        </w:tc>
        <w:tc>
          <w:tcPr>
            <w:tcW w:w="1179" w:type="dxa"/>
            <w:tcBorders>
              <w:left w:val="nil"/>
              <w:right w:val="single" w:sz="8" w:space="0" w:color="auto"/>
            </w:tcBorders>
            <w:shd w:val="clear" w:color="auto" w:fill="auto"/>
            <w:noWrap/>
            <w:vAlign w:val="center"/>
          </w:tcPr>
          <w:p w:rsidR="00BF46B9" w:rsidRPr="00B34334" w:rsidRDefault="00BF46B9" w:rsidP="00BF46B9">
            <w:pPr>
              <w:spacing w:before="120" w:after="120"/>
              <w:jc w:val="center"/>
              <w:rPr>
                <w:rFonts w:ascii="Arial Narrow" w:hAnsi="Arial Narrow" w:cs="Arial"/>
                <w:sz w:val="20"/>
                <w:szCs w:val="20"/>
              </w:rPr>
            </w:pPr>
            <w:r>
              <w:rPr>
                <w:rFonts w:ascii="Arial Narrow" w:hAnsi="Arial Narrow" w:cs="Arial"/>
                <w:sz w:val="20"/>
                <w:szCs w:val="20"/>
              </w:rPr>
              <w:t>0</w:t>
            </w:r>
          </w:p>
        </w:tc>
      </w:tr>
      <w:tr w:rsidR="00BF46B9" w:rsidTr="00AE6DB4">
        <w:tc>
          <w:tcPr>
            <w:tcW w:w="4500" w:type="dxa"/>
            <w:tcBorders>
              <w:left w:val="single" w:sz="8" w:space="0" w:color="auto"/>
              <w:right w:val="single" w:sz="8" w:space="0" w:color="auto"/>
            </w:tcBorders>
            <w:shd w:val="clear" w:color="auto" w:fill="auto"/>
          </w:tcPr>
          <w:p w:rsidR="00BF46B9" w:rsidRPr="00BF46B9" w:rsidRDefault="00BF46B9" w:rsidP="00BF46B9">
            <w:pPr>
              <w:spacing w:before="120" w:after="120"/>
              <w:rPr>
                <w:rFonts w:ascii="Arial Narrow" w:hAnsi="Arial Narrow"/>
                <w:sz w:val="20"/>
                <w:szCs w:val="20"/>
              </w:rPr>
            </w:pPr>
            <w:r w:rsidRPr="00BF46B9">
              <w:rPr>
                <w:rFonts w:ascii="Arial Narrow" w:hAnsi="Arial Narrow"/>
                <w:sz w:val="20"/>
                <w:szCs w:val="20"/>
              </w:rPr>
              <w:lastRenderedPageBreak/>
              <w:t xml:space="preserve">The LEP </w:t>
            </w:r>
            <w:r>
              <w:rPr>
                <w:rFonts w:ascii="Arial Narrow" w:hAnsi="Arial Narrow"/>
                <w:sz w:val="20"/>
                <w:szCs w:val="20"/>
              </w:rPr>
              <w:t>have</w:t>
            </w:r>
            <w:r w:rsidRPr="00BF46B9">
              <w:rPr>
                <w:rFonts w:ascii="Arial Narrow" w:hAnsi="Arial Narrow"/>
                <w:sz w:val="20"/>
                <w:szCs w:val="20"/>
              </w:rPr>
              <w:t xml:space="preserve"> a standardised process for holding confidential information to be discussed at meetings </w:t>
            </w:r>
            <w:r>
              <w:rPr>
                <w:rFonts w:ascii="Arial Narrow" w:hAnsi="Arial Narrow"/>
                <w:sz w:val="20"/>
                <w:szCs w:val="20"/>
              </w:rPr>
              <w:t>which</w:t>
            </w:r>
            <w:r w:rsidRPr="00BF46B9">
              <w:rPr>
                <w:rFonts w:ascii="Arial Narrow" w:hAnsi="Arial Narrow"/>
                <w:sz w:val="20"/>
                <w:szCs w:val="20"/>
              </w:rPr>
              <w:t xml:space="preserve"> </w:t>
            </w:r>
            <w:r>
              <w:rPr>
                <w:rFonts w:ascii="Arial Narrow" w:hAnsi="Arial Narrow"/>
                <w:sz w:val="20"/>
                <w:szCs w:val="20"/>
              </w:rPr>
              <w:t>are placed on the website in line with an agreed methodology</w:t>
            </w:r>
          </w:p>
        </w:tc>
        <w:tc>
          <w:tcPr>
            <w:tcW w:w="1080" w:type="dxa"/>
            <w:tcBorders>
              <w:left w:val="single" w:sz="8" w:space="0" w:color="auto"/>
              <w:right w:val="nil"/>
            </w:tcBorders>
            <w:shd w:val="clear" w:color="auto" w:fill="auto"/>
            <w:noWrap/>
            <w:vAlign w:val="center"/>
          </w:tcPr>
          <w:p w:rsidR="00BF46B9" w:rsidRDefault="00BF46B9" w:rsidP="00BF46B9">
            <w:pPr>
              <w:spacing w:before="120" w:after="120"/>
              <w:jc w:val="center"/>
              <w:rPr>
                <w:rFonts w:ascii="Arial Narrow" w:hAnsi="Arial Narrow" w:cs="Arial"/>
                <w:sz w:val="20"/>
                <w:szCs w:val="20"/>
              </w:rPr>
            </w:pPr>
            <w:r>
              <w:rPr>
                <w:rFonts w:ascii="Arial Narrow" w:hAnsi="Arial Narrow" w:cs="Arial"/>
                <w:sz w:val="20"/>
                <w:szCs w:val="20"/>
              </w:rPr>
              <w:t>1</w:t>
            </w:r>
          </w:p>
        </w:tc>
        <w:tc>
          <w:tcPr>
            <w:tcW w:w="1213" w:type="dxa"/>
            <w:tcBorders>
              <w:left w:val="nil"/>
              <w:right w:val="single" w:sz="8" w:space="0" w:color="auto"/>
            </w:tcBorders>
            <w:shd w:val="clear" w:color="auto" w:fill="auto"/>
            <w:noWrap/>
            <w:vAlign w:val="center"/>
          </w:tcPr>
          <w:p w:rsidR="00BF46B9" w:rsidRDefault="00BF46B9" w:rsidP="00BF46B9">
            <w:pPr>
              <w:spacing w:before="120" w:after="120"/>
              <w:jc w:val="center"/>
              <w:rPr>
                <w:rFonts w:ascii="Arial Narrow" w:hAnsi="Arial Narrow" w:cs="Arial"/>
                <w:sz w:val="20"/>
                <w:szCs w:val="20"/>
              </w:rPr>
            </w:pPr>
            <w:r>
              <w:rPr>
                <w:rFonts w:ascii="Arial Narrow" w:hAnsi="Arial Narrow" w:cs="Arial"/>
                <w:sz w:val="20"/>
                <w:szCs w:val="20"/>
              </w:rPr>
              <w:t>1</w:t>
            </w:r>
          </w:p>
        </w:tc>
        <w:tc>
          <w:tcPr>
            <w:tcW w:w="947" w:type="dxa"/>
            <w:tcBorders>
              <w:left w:val="single" w:sz="8" w:space="0" w:color="auto"/>
              <w:right w:val="nil"/>
            </w:tcBorders>
            <w:shd w:val="clear" w:color="auto" w:fill="auto"/>
            <w:noWrap/>
            <w:vAlign w:val="center"/>
          </w:tcPr>
          <w:p w:rsidR="00BF46B9" w:rsidRDefault="00BF46B9" w:rsidP="00BF46B9">
            <w:pPr>
              <w:spacing w:before="120" w:after="120"/>
              <w:jc w:val="center"/>
              <w:rPr>
                <w:rFonts w:ascii="Arial Narrow" w:hAnsi="Arial Narrow" w:cs="Arial"/>
                <w:sz w:val="20"/>
                <w:szCs w:val="20"/>
              </w:rPr>
            </w:pPr>
            <w:r>
              <w:rPr>
                <w:rFonts w:ascii="Arial Narrow" w:hAnsi="Arial Narrow" w:cs="Arial"/>
                <w:sz w:val="20"/>
                <w:szCs w:val="20"/>
              </w:rPr>
              <w:t>0</w:t>
            </w:r>
          </w:p>
        </w:tc>
        <w:tc>
          <w:tcPr>
            <w:tcW w:w="1179" w:type="dxa"/>
            <w:tcBorders>
              <w:left w:val="nil"/>
              <w:right w:val="single" w:sz="8" w:space="0" w:color="auto"/>
            </w:tcBorders>
            <w:shd w:val="clear" w:color="auto" w:fill="auto"/>
            <w:noWrap/>
            <w:vAlign w:val="center"/>
          </w:tcPr>
          <w:p w:rsidR="00BF46B9" w:rsidRDefault="00BF46B9" w:rsidP="00BF46B9">
            <w:pPr>
              <w:spacing w:before="120" w:after="120"/>
              <w:jc w:val="center"/>
              <w:rPr>
                <w:rFonts w:ascii="Arial Narrow" w:hAnsi="Arial Narrow" w:cs="Arial"/>
                <w:sz w:val="20"/>
                <w:szCs w:val="20"/>
              </w:rPr>
            </w:pPr>
            <w:r>
              <w:rPr>
                <w:rFonts w:ascii="Arial Narrow" w:hAnsi="Arial Narrow" w:cs="Arial"/>
                <w:sz w:val="20"/>
                <w:szCs w:val="20"/>
              </w:rPr>
              <w:t>0</w:t>
            </w:r>
          </w:p>
        </w:tc>
      </w:tr>
      <w:tr w:rsidR="00BF46B9" w:rsidTr="00AE6DB4">
        <w:tc>
          <w:tcPr>
            <w:tcW w:w="4500" w:type="dxa"/>
            <w:tcBorders>
              <w:left w:val="single" w:sz="8" w:space="0" w:color="auto"/>
              <w:right w:val="single" w:sz="8" w:space="0" w:color="auto"/>
            </w:tcBorders>
            <w:shd w:val="clear" w:color="auto" w:fill="auto"/>
          </w:tcPr>
          <w:p w:rsidR="00BF46B9" w:rsidRDefault="00BF46B9" w:rsidP="00BF46B9">
            <w:pPr>
              <w:spacing w:before="120" w:after="120"/>
              <w:rPr>
                <w:rFonts w:ascii="Arial Narrow" w:hAnsi="Arial Narrow"/>
                <w:sz w:val="20"/>
                <w:szCs w:val="20"/>
              </w:rPr>
            </w:pPr>
            <w:r>
              <w:rPr>
                <w:rFonts w:ascii="Arial Narrow" w:hAnsi="Arial Narrow"/>
                <w:sz w:val="20"/>
                <w:szCs w:val="20"/>
              </w:rPr>
              <w:t xml:space="preserve">The LEP has </w:t>
            </w:r>
            <w:r w:rsidRPr="00BF46B9">
              <w:rPr>
                <w:rFonts w:ascii="Arial Narrow" w:hAnsi="Arial Narrow"/>
                <w:sz w:val="20"/>
                <w:szCs w:val="20"/>
              </w:rPr>
              <w:t>put in process a process for third parties and the public to confidentially report concerns about LEP decisions (in addition to the e</w:t>
            </w:r>
            <w:r>
              <w:rPr>
                <w:rFonts w:ascii="Arial Narrow" w:hAnsi="Arial Narrow"/>
                <w:sz w:val="20"/>
                <w:szCs w:val="20"/>
              </w:rPr>
              <w:t>xisting Whistleblowing Policy)</w:t>
            </w:r>
          </w:p>
        </w:tc>
        <w:tc>
          <w:tcPr>
            <w:tcW w:w="1080" w:type="dxa"/>
            <w:tcBorders>
              <w:left w:val="single" w:sz="8" w:space="0" w:color="auto"/>
              <w:right w:val="nil"/>
            </w:tcBorders>
            <w:shd w:val="clear" w:color="auto" w:fill="auto"/>
            <w:noWrap/>
            <w:vAlign w:val="center"/>
          </w:tcPr>
          <w:p w:rsidR="00BF46B9" w:rsidRDefault="00BE32D3" w:rsidP="00BF46B9">
            <w:pPr>
              <w:spacing w:before="120" w:after="120"/>
              <w:jc w:val="center"/>
              <w:rPr>
                <w:rFonts w:ascii="Arial Narrow" w:hAnsi="Arial Narrow" w:cs="Arial"/>
                <w:sz w:val="20"/>
                <w:szCs w:val="20"/>
              </w:rPr>
            </w:pPr>
            <w:r>
              <w:rPr>
                <w:rFonts w:ascii="Arial Narrow" w:hAnsi="Arial Narrow" w:cs="Arial"/>
                <w:sz w:val="20"/>
                <w:szCs w:val="20"/>
              </w:rPr>
              <w:t>2</w:t>
            </w:r>
          </w:p>
        </w:tc>
        <w:tc>
          <w:tcPr>
            <w:tcW w:w="1213" w:type="dxa"/>
            <w:tcBorders>
              <w:left w:val="nil"/>
              <w:right w:val="single" w:sz="8" w:space="0" w:color="auto"/>
            </w:tcBorders>
            <w:shd w:val="clear" w:color="auto" w:fill="auto"/>
            <w:noWrap/>
            <w:vAlign w:val="center"/>
          </w:tcPr>
          <w:p w:rsidR="00BF46B9" w:rsidRDefault="00BF46B9" w:rsidP="00BF46B9">
            <w:pPr>
              <w:spacing w:before="120" w:after="120"/>
              <w:jc w:val="center"/>
              <w:rPr>
                <w:rFonts w:ascii="Arial Narrow" w:hAnsi="Arial Narrow" w:cs="Arial"/>
                <w:sz w:val="20"/>
                <w:szCs w:val="20"/>
              </w:rPr>
            </w:pPr>
            <w:r>
              <w:rPr>
                <w:rFonts w:ascii="Arial Narrow" w:hAnsi="Arial Narrow" w:cs="Arial"/>
                <w:sz w:val="20"/>
                <w:szCs w:val="20"/>
              </w:rPr>
              <w:t>1</w:t>
            </w:r>
          </w:p>
        </w:tc>
        <w:tc>
          <w:tcPr>
            <w:tcW w:w="947" w:type="dxa"/>
            <w:tcBorders>
              <w:left w:val="single" w:sz="8" w:space="0" w:color="auto"/>
              <w:right w:val="nil"/>
            </w:tcBorders>
            <w:shd w:val="clear" w:color="auto" w:fill="auto"/>
            <w:noWrap/>
            <w:vAlign w:val="center"/>
          </w:tcPr>
          <w:p w:rsidR="00BF46B9" w:rsidRDefault="00BE32D3" w:rsidP="00BF46B9">
            <w:pPr>
              <w:spacing w:before="120" w:after="120"/>
              <w:jc w:val="center"/>
              <w:rPr>
                <w:rFonts w:ascii="Arial Narrow" w:hAnsi="Arial Narrow" w:cs="Arial"/>
                <w:sz w:val="20"/>
                <w:szCs w:val="20"/>
              </w:rPr>
            </w:pPr>
            <w:r>
              <w:rPr>
                <w:rFonts w:ascii="Arial Narrow" w:hAnsi="Arial Narrow" w:cs="Arial"/>
                <w:sz w:val="20"/>
                <w:szCs w:val="20"/>
              </w:rPr>
              <w:t>1</w:t>
            </w:r>
          </w:p>
        </w:tc>
        <w:tc>
          <w:tcPr>
            <w:tcW w:w="1179" w:type="dxa"/>
            <w:tcBorders>
              <w:left w:val="nil"/>
              <w:right w:val="single" w:sz="8" w:space="0" w:color="auto"/>
            </w:tcBorders>
            <w:shd w:val="clear" w:color="auto" w:fill="auto"/>
            <w:noWrap/>
            <w:vAlign w:val="center"/>
          </w:tcPr>
          <w:p w:rsidR="00BF46B9" w:rsidRDefault="00BF46B9" w:rsidP="00BF46B9">
            <w:pPr>
              <w:spacing w:before="120" w:after="120"/>
              <w:jc w:val="center"/>
              <w:rPr>
                <w:rFonts w:ascii="Arial Narrow" w:hAnsi="Arial Narrow" w:cs="Arial"/>
                <w:sz w:val="20"/>
                <w:szCs w:val="20"/>
              </w:rPr>
            </w:pPr>
            <w:r>
              <w:rPr>
                <w:rFonts w:ascii="Arial Narrow" w:hAnsi="Arial Narrow" w:cs="Arial"/>
                <w:sz w:val="20"/>
                <w:szCs w:val="20"/>
              </w:rPr>
              <w:t>0</w:t>
            </w:r>
          </w:p>
        </w:tc>
      </w:tr>
      <w:tr w:rsidR="00BF46B9" w:rsidTr="00AE6DB4">
        <w:tc>
          <w:tcPr>
            <w:tcW w:w="4500" w:type="dxa"/>
            <w:tcBorders>
              <w:left w:val="single" w:sz="8" w:space="0" w:color="auto"/>
              <w:right w:val="single" w:sz="8" w:space="0" w:color="auto"/>
            </w:tcBorders>
            <w:shd w:val="clear" w:color="auto" w:fill="auto"/>
          </w:tcPr>
          <w:p w:rsidR="00BF46B9" w:rsidRPr="00BF46B9" w:rsidRDefault="00BF46B9" w:rsidP="00BF46B9">
            <w:pPr>
              <w:spacing w:before="120" w:after="120"/>
              <w:rPr>
                <w:rFonts w:ascii="Arial Narrow" w:hAnsi="Arial Narrow"/>
                <w:sz w:val="20"/>
                <w:szCs w:val="20"/>
              </w:rPr>
            </w:pPr>
            <w:r w:rsidRPr="00BF46B9">
              <w:rPr>
                <w:rFonts w:ascii="Arial Narrow" w:hAnsi="Arial Narrow"/>
                <w:sz w:val="20"/>
                <w:szCs w:val="20"/>
              </w:rPr>
              <w:t>The LEP has published a Whistleblowing Policy on an accessible part of its website</w:t>
            </w:r>
          </w:p>
        </w:tc>
        <w:tc>
          <w:tcPr>
            <w:tcW w:w="1080" w:type="dxa"/>
            <w:tcBorders>
              <w:left w:val="single" w:sz="8" w:space="0" w:color="auto"/>
              <w:right w:val="nil"/>
            </w:tcBorders>
            <w:shd w:val="clear" w:color="auto" w:fill="auto"/>
            <w:noWrap/>
            <w:vAlign w:val="center"/>
          </w:tcPr>
          <w:p w:rsidR="00BF46B9" w:rsidRDefault="00BF46B9" w:rsidP="00BF46B9">
            <w:pPr>
              <w:spacing w:before="120" w:after="120"/>
              <w:jc w:val="center"/>
              <w:rPr>
                <w:rFonts w:ascii="Arial Narrow" w:hAnsi="Arial Narrow" w:cs="Arial"/>
                <w:sz w:val="20"/>
                <w:szCs w:val="20"/>
              </w:rPr>
            </w:pPr>
            <w:r>
              <w:rPr>
                <w:rFonts w:ascii="Arial Narrow" w:hAnsi="Arial Narrow" w:cs="Arial"/>
                <w:sz w:val="20"/>
                <w:szCs w:val="20"/>
              </w:rPr>
              <w:t>1</w:t>
            </w:r>
          </w:p>
        </w:tc>
        <w:tc>
          <w:tcPr>
            <w:tcW w:w="1213" w:type="dxa"/>
            <w:tcBorders>
              <w:left w:val="nil"/>
              <w:right w:val="single" w:sz="8" w:space="0" w:color="auto"/>
            </w:tcBorders>
            <w:shd w:val="clear" w:color="auto" w:fill="auto"/>
            <w:noWrap/>
            <w:vAlign w:val="center"/>
          </w:tcPr>
          <w:p w:rsidR="00BF46B9" w:rsidRDefault="00BF46B9" w:rsidP="00BF46B9">
            <w:pPr>
              <w:spacing w:before="120" w:after="120"/>
              <w:jc w:val="center"/>
              <w:rPr>
                <w:rFonts w:ascii="Arial Narrow" w:hAnsi="Arial Narrow" w:cs="Arial"/>
                <w:sz w:val="20"/>
                <w:szCs w:val="20"/>
              </w:rPr>
            </w:pPr>
            <w:r>
              <w:rPr>
                <w:rFonts w:ascii="Arial Narrow" w:hAnsi="Arial Narrow" w:cs="Arial"/>
                <w:sz w:val="20"/>
                <w:szCs w:val="20"/>
              </w:rPr>
              <w:t>1</w:t>
            </w:r>
          </w:p>
        </w:tc>
        <w:tc>
          <w:tcPr>
            <w:tcW w:w="947" w:type="dxa"/>
            <w:tcBorders>
              <w:left w:val="single" w:sz="8" w:space="0" w:color="auto"/>
              <w:right w:val="nil"/>
            </w:tcBorders>
            <w:shd w:val="clear" w:color="auto" w:fill="auto"/>
            <w:noWrap/>
            <w:vAlign w:val="center"/>
          </w:tcPr>
          <w:p w:rsidR="00BF46B9" w:rsidRDefault="00BF46B9" w:rsidP="00BF46B9">
            <w:pPr>
              <w:spacing w:before="120" w:after="120"/>
              <w:jc w:val="center"/>
              <w:rPr>
                <w:rFonts w:ascii="Arial Narrow" w:hAnsi="Arial Narrow" w:cs="Arial"/>
                <w:sz w:val="20"/>
                <w:szCs w:val="20"/>
              </w:rPr>
            </w:pPr>
            <w:r>
              <w:rPr>
                <w:rFonts w:ascii="Arial Narrow" w:hAnsi="Arial Narrow" w:cs="Arial"/>
                <w:sz w:val="20"/>
                <w:szCs w:val="20"/>
              </w:rPr>
              <w:t>0</w:t>
            </w:r>
          </w:p>
        </w:tc>
        <w:tc>
          <w:tcPr>
            <w:tcW w:w="1179" w:type="dxa"/>
            <w:tcBorders>
              <w:left w:val="nil"/>
              <w:right w:val="single" w:sz="8" w:space="0" w:color="auto"/>
            </w:tcBorders>
            <w:shd w:val="clear" w:color="auto" w:fill="auto"/>
            <w:noWrap/>
            <w:vAlign w:val="center"/>
          </w:tcPr>
          <w:p w:rsidR="00BF46B9" w:rsidRDefault="00BF46B9" w:rsidP="00BF46B9">
            <w:pPr>
              <w:spacing w:before="120" w:after="120"/>
              <w:jc w:val="center"/>
              <w:rPr>
                <w:rFonts w:ascii="Arial Narrow" w:hAnsi="Arial Narrow" w:cs="Arial"/>
                <w:sz w:val="20"/>
                <w:szCs w:val="20"/>
              </w:rPr>
            </w:pPr>
            <w:r>
              <w:rPr>
                <w:rFonts w:ascii="Arial Narrow" w:hAnsi="Arial Narrow" w:cs="Arial"/>
                <w:sz w:val="20"/>
                <w:szCs w:val="20"/>
              </w:rPr>
              <w:t>0</w:t>
            </w:r>
          </w:p>
        </w:tc>
      </w:tr>
      <w:tr w:rsidR="00BF46B9" w:rsidTr="00AE6DB4">
        <w:tc>
          <w:tcPr>
            <w:tcW w:w="4500" w:type="dxa"/>
            <w:tcBorders>
              <w:left w:val="single" w:sz="8" w:space="0" w:color="auto"/>
              <w:right w:val="single" w:sz="8" w:space="0" w:color="auto"/>
            </w:tcBorders>
            <w:shd w:val="clear" w:color="auto" w:fill="auto"/>
          </w:tcPr>
          <w:p w:rsidR="00BF46B9" w:rsidRPr="00BF46B9" w:rsidRDefault="00BF46B9" w:rsidP="00BF46B9">
            <w:pPr>
              <w:spacing w:before="120" w:after="120"/>
              <w:rPr>
                <w:rFonts w:ascii="Arial Narrow" w:hAnsi="Arial Narrow"/>
                <w:sz w:val="20"/>
                <w:szCs w:val="20"/>
              </w:rPr>
            </w:pPr>
            <w:r w:rsidRPr="00BF46B9">
              <w:rPr>
                <w:rFonts w:ascii="Arial Narrow" w:hAnsi="Arial Narrow"/>
                <w:sz w:val="20"/>
                <w:szCs w:val="20"/>
              </w:rPr>
              <w:t>All Board Members of the LEP have signed up to a Code of Conduct, posted on the LEP website and compliant with national standards and Nolan Principles</w:t>
            </w:r>
          </w:p>
        </w:tc>
        <w:tc>
          <w:tcPr>
            <w:tcW w:w="1080" w:type="dxa"/>
            <w:tcBorders>
              <w:left w:val="single" w:sz="8" w:space="0" w:color="auto"/>
              <w:right w:val="nil"/>
            </w:tcBorders>
            <w:shd w:val="clear" w:color="auto" w:fill="auto"/>
            <w:noWrap/>
            <w:vAlign w:val="center"/>
          </w:tcPr>
          <w:p w:rsidR="00BF46B9" w:rsidRDefault="00BF46B9" w:rsidP="00BF46B9">
            <w:pPr>
              <w:spacing w:before="120" w:after="120"/>
              <w:jc w:val="center"/>
              <w:rPr>
                <w:rFonts w:ascii="Arial Narrow" w:hAnsi="Arial Narrow" w:cs="Arial"/>
                <w:sz w:val="20"/>
                <w:szCs w:val="20"/>
              </w:rPr>
            </w:pPr>
            <w:r>
              <w:rPr>
                <w:rFonts w:ascii="Arial Narrow" w:hAnsi="Arial Narrow" w:cs="Arial"/>
                <w:sz w:val="20"/>
                <w:szCs w:val="20"/>
              </w:rPr>
              <w:t>1</w:t>
            </w:r>
          </w:p>
        </w:tc>
        <w:tc>
          <w:tcPr>
            <w:tcW w:w="1213" w:type="dxa"/>
            <w:tcBorders>
              <w:left w:val="nil"/>
              <w:right w:val="single" w:sz="8" w:space="0" w:color="auto"/>
            </w:tcBorders>
            <w:shd w:val="clear" w:color="auto" w:fill="auto"/>
            <w:noWrap/>
            <w:vAlign w:val="center"/>
          </w:tcPr>
          <w:p w:rsidR="00BF46B9" w:rsidRDefault="00BF46B9" w:rsidP="00BF46B9">
            <w:pPr>
              <w:spacing w:before="120" w:after="120"/>
              <w:jc w:val="center"/>
              <w:rPr>
                <w:rFonts w:ascii="Arial Narrow" w:hAnsi="Arial Narrow" w:cs="Arial"/>
                <w:sz w:val="20"/>
                <w:szCs w:val="20"/>
              </w:rPr>
            </w:pPr>
            <w:r>
              <w:rPr>
                <w:rFonts w:ascii="Arial Narrow" w:hAnsi="Arial Narrow" w:cs="Arial"/>
                <w:sz w:val="20"/>
                <w:szCs w:val="20"/>
              </w:rPr>
              <w:t>1</w:t>
            </w:r>
          </w:p>
        </w:tc>
        <w:tc>
          <w:tcPr>
            <w:tcW w:w="947" w:type="dxa"/>
            <w:tcBorders>
              <w:left w:val="single" w:sz="8" w:space="0" w:color="auto"/>
              <w:right w:val="nil"/>
            </w:tcBorders>
            <w:shd w:val="clear" w:color="auto" w:fill="auto"/>
            <w:noWrap/>
            <w:vAlign w:val="center"/>
          </w:tcPr>
          <w:p w:rsidR="00BF46B9" w:rsidRDefault="00BF46B9" w:rsidP="00BF46B9">
            <w:pPr>
              <w:spacing w:before="120" w:after="120"/>
              <w:jc w:val="center"/>
              <w:rPr>
                <w:rFonts w:ascii="Arial Narrow" w:hAnsi="Arial Narrow" w:cs="Arial"/>
                <w:sz w:val="20"/>
                <w:szCs w:val="20"/>
              </w:rPr>
            </w:pPr>
            <w:r>
              <w:rPr>
                <w:rFonts w:ascii="Arial Narrow" w:hAnsi="Arial Narrow" w:cs="Arial"/>
                <w:sz w:val="20"/>
                <w:szCs w:val="20"/>
              </w:rPr>
              <w:t>0</w:t>
            </w:r>
          </w:p>
        </w:tc>
        <w:tc>
          <w:tcPr>
            <w:tcW w:w="1179" w:type="dxa"/>
            <w:tcBorders>
              <w:left w:val="nil"/>
              <w:right w:val="single" w:sz="8" w:space="0" w:color="auto"/>
            </w:tcBorders>
            <w:shd w:val="clear" w:color="auto" w:fill="auto"/>
            <w:noWrap/>
            <w:vAlign w:val="center"/>
          </w:tcPr>
          <w:p w:rsidR="00BF46B9" w:rsidRDefault="00BF46B9" w:rsidP="00BF46B9">
            <w:pPr>
              <w:spacing w:before="120" w:after="120"/>
              <w:jc w:val="center"/>
              <w:rPr>
                <w:rFonts w:ascii="Arial Narrow" w:hAnsi="Arial Narrow" w:cs="Arial"/>
                <w:sz w:val="20"/>
                <w:szCs w:val="20"/>
              </w:rPr>
            </w:pPr>
            <w:r>
              <w:rPr>
                <w:rFonts w:ascii="Arial Narrow" w:hAnsi="Arial Narrow" w:cs="Arial"/>
                <w:sz w:val="20"/>
                <w:szCs w:val="20"/>
              </w:rPr>
              <w:t>0</w:t>
            </w:r>
          </w:p>
        </w:tc>
      </w:tr>
      <w:tr w:rsidR="00BF46B9" w:rsidTr="00AE6DB4">
        <w:tc>
          <w:tcPr>
            <w:tcW w:w="4500" w:type="dxa"/>
            <w:tcBorders>
              <w:left w:val="single" w:sz="8" w:space="0" w:color="auto"/>
              <w:right w:val="single" w:sz="8" w:space="0" w:color="auto"/>
            </w:tcBorders>
            <w:shd w:val="clear" w:color="auto" w:fill="auto"/>
          </w:tcPr>
          <w:p w:rsidR="00BF46B9" w:rsidRPr="00BF46B9" w:rsidRDefault="00BF46B9" w:rsidP="00BF46B9">
            <w:pPr>
              <w:spacing w:before="120" w:after="120"/>
              <w:rPr>
                <w:rFonts w:ascii="Arial Narrow" w:hAnsi="Arial Narrow"/>
                <w:sz w:val="20"/>
                <w:szCs w:val="20"/>
              </w:rPr>
            </w:pPr>
            <w:r>
              <w:rPr>
                <w:rFonts w:ascii="Arial Narrow" w:hAnsi="Arial Narrow"/>
                <w:sz w:val="20"/>
                <w:szCs w:val="20"/>
              </w:rPr>
              <w:t>The LEP has</w:t>
            </w:r>
            <w:r w:rsidRPr="00BF46B9">
              <w:rPr>
                <w:rFonts w:ascii="Arial Narrow" w:hAnsi="Arial Narrow"/>
                <w:sz w:val="20"/>
                <w:szCs w:val="20"/>
              </w:rPr>
              <w:t xml:space="preserve"> an up-to-date register of interests, posted on its website and compliant with national guidance</w:t>
            </w:r>
          </w:p>
        </w:tc>
        <w:tc>
          <w:tcPr>
            <w:tcW w:w="1080" w:type="dxa"/>
            <w:tcBorders>
              <w:left w:val="single" w:sz="8" w:space="0" w:color="auto"/>
              <w:right w:val="nil"/>
            </w:tcBorders>
            <w:shd w:val="clear" w:color="auto" w:fill="auto"/>
            <w:noWrap/>
            <w:vAlign w:val="center"/>
          </w:tcPr>
          <w:p w:rsidR="00BF46B9" w:rsidRDefault="00BF46B9" w:rsidP="00BF46B9">
            <w:pPr>
              <w:spacing w:before="120" w:after="120"/>
              <w:jc w:val="center"/>
              <w:rPr>
                <w:rFonts w:ascii="Arial Narrow" w:hAnsi="Arial Narrow" w:cs="Arial"/>
                <w:sz w:val="20"/>
                <w:szCs w:val="20"/>
              </w:rPr>
            </w:pPr>
            <w:r>
              <w:rPr>
                <w:rFonts w:ascii="Arial Narrow" w:hAnsi="Arial Narrow" w:cs="Arial"/>
                <w:sz w:val="20"/>
                <w:szCs w:val="20"/>
              </w:rPr>
              <w:t>1</w:t>
            </w:r>
          </w:p>
        </w:tc>
        <w:tc>
          <w:tcPr>
            <w:tcW w:w="1213" w:type="dxa"/>
            <w:tcBorders>
              <w:left w:val="nil"/>
              <w:right w:val="single" w:sz="8" w:space="0" w:color="auto"/>
            </w:tcBorders>
            <w:shd w:val="clear" w:color="auto" w:fill="auto"/>
            <w:noWrap/>
            <w:vAlign w:val="center"/>
          </w:tcPr>
          <w:p w:rsidR="00BF46B9" w:rsidRDefault="00BF46B9" w:rsidP="00BF46B9">
            <w:pPr>
              <w:spacing w:before="120" w:after="120"/>
              <w:jc w:val="center"/>
              <w:rPr>
                <w:rFonts w:ascii="Arial Narrow" w:hAnsi="Arial Narrow" w:cs="Arial"/>
                <w:sz w:val="20"/>
                <w:szCs w:val="20"/>
              </w:rPr>
            </w:pPr>
            <w:r>
              <w:rPr>
                <w:rFonts w:ascii="Arial Narrow" w:hAnsi="Arial Narrow" w:cs="Arial"/>
                <w:sz w:val="20"/>
                <w:szCs w:val="20"/>
              </w:rPr>
              <w:t>1</w:t>
            </w:r>
          </w:p>
        </w:tc>
        <w:tc>
          <w:tcPr>
            <w:tcW w:w="947" w:type="dxa"/>
            <w:tcBorders>
              <w:left w:val="single" w:sz="8" w:space="0" w:color="auto"/>
              <w:right w:val="nil"/>
            </w:tcBorders>
            <w:shd w:val="clear" w:color="auto" w:fill="auto"/>
            <w:noWrap/>
            <w:vAlign w:val="center"/>
          </w:tcPr>
          <w:p w:rsidR="00BF46B9" w:rsidRDefault="00BF46B9" w:rsidP="00BF46B9">
            <w:pPr>
              <w:spacing w:before="120" w:after="120"/>
              <w:jc w:val="center"/>
              <w:rPr>
                <w:rFonts w:ascii="Arial Narrow" w:hAnsi="Arial Narrow" w:cs="Arial"/>
                <w:sz w:val="20"/>
                <w:szCs w:val="20"/>
              </w:rPr>
            </w:pPr>
            <w:r>
              <w:rPr>
                <w:rFonts w:ascii="Arial Narrow" w:hAnsi="Arial Narrow" w:cs="Arial"/>
                <w:sz w:val="20"/>
                <w:szCs w:val="20"/>
              </w:rPr>
              <w:t>0</w:t>
            </w:r>
          </w:p>
        </w:tc>
        <w:tc>
          <w:tcPr>
            <w:tcW w:w="1179" w:type="dxa"/>
            <w:tcBorders>
              <w:left w:val="nil"/>
              <w:right w:val="single" w:sz="8" w:space="0" w:color="auto"/>
            </w:tcBorders>
            <w:shd w:val="clear" w:color="auto" w:fill="auto"/>
            <w:noWrap/>
            <w:vAlign w:val="center"/>
          </w:tcPr>
          <w:p w:rsidR="00BF46B9" w:rsidRDefault="00BF46B9" w:rsidP="00BF46B9">
            <w:pPr>
              <w:spacing w:before="120" w:after="120"/>
              <w:jc w:val="center"/>
              <w:rPr>
                <w:rFonts w:ascii="Arial Narrow" w:hAnsi="Arial Narrow" w:cs="Arial"/>
                <w:sz w:val="20"/>
                <w:szCs w:val="20"/>
              </w:rPr>
            </w:pPr>
            <w:r>
              <w:rPr>
                <w:rFonts w:ascii="Arial Narrow" w:hAnsi="Arial Narrow" w:cs="Arial"/>
                <w:sz w:val="20"/>
                <w:szCs w:val="20"/>
              </w:rPr>
              <w:t>0</w:t>
            </w:r>
          </w:p>
        </w:tc>
      </w:tr>
      <w:tr w:rsidR="00AE6DB4" w:rsidTr="00AE6DB4">
        <w:tc>
          <w:tcPr>
            <w:tcW w:w="45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E6DB4" w:rsidRPr="00C04E75" w:rsidRDefault="00AE6DB4" w:rsidP="00AE6DB4">
            <w:pPr>
              <w:spacing w:before="120" w:after="120"/>
              <w:jc w:val="right"/>
              <w:rPr>
                <w:rFonts w:ascii="Arial Narrow" w:hAnsi="Arial Narrow" w:cs="Arial"/>
                <w:b/>
                <w:bCs/>
                <w:sz w:val="20"/>
                <w:szCs w:val="20"/>
              </w:rPr>
            </w:pPr>
            <w:r w:rsidRPr="00C04E75">
              <w:rPr>
                <w:rFonts w:ascii="Arial Narrow" w:hAnsi="Arial Narrow" w:cs="Arial"/>
                <w:b/>
                <w:bCs/>
                <w:sz w:val="20"/>
                <w:szCs w:val="20"/>
              </w:rPr>
              <w:t>TOTALS</w:t>
            </w:r>
          </w:p>
        </w:tc>
        <w:tc>
          <w:tcPr>
            <w:tcW w:w="1080" w:type="dxa"/>
            <w:tcBorders>
              <w:top w:val="single" w:sz="8" w:space="0" w:color="auto"/>
              <w:left w:val="single" w:sz="8" w:space="0" w:color="auto"/>
              <w:bottom w:val="single" w:sz="8" w:space="0" w:color="auto"/>
              <w:right w:val="nil"/>
            </w:tcBorders>
            <w:shd w:val="clear" w:color="auto" w:fill="auto"/>
            <w:noWrap/>
            <w:vAlign w:val="center"/>
          </w:tcPr>
          <w:p w:rsidR="00AE6DB4" w:rsidRPr="00B34334" w:rsidRDefault="00BE32D3" w:rsidP="00AE6DB4">
            <w:pPr>
              <w:spacing w:before="120" w:after="120"/>
              <w:jc w:val="center"/>
              <w:rPr>
                <w:rFonts w:ascii="Arial Narrow" w:hAnsi="Arial Narrow" w:cs="Arial"/>
                <w:b/>
                <w:bCs/>
                <w:sz w:val="20"/>
                <w:szCs w:val="20"/>
              </w:rPr>
            </w:pPr>
            <w:r>
              <w:rPr>
                <w:rFonts w:ascii="Arial Narrow" w:hAnsi="Arial Narrow" w:cs="Arial"/>
                <w:b/>
                <w:bCs/>
                <w:sz w:val="20"/>
                <w:szCs w:val="20"/>
              </w:rPr>
              <w:t>29</w:t>
            </w:r>
          </w:p>
        </w:tc>
        <w:tc>
          <w:tcPr>
            <w:tcW w:w="1213" w:type="dxa"/>
            <w:tcBorders>
              <w:top w:val="single" w:sz="8" w:space="0" w:color="auto"/>
              <w:left w:val="nil"/>
              <w:bottom w:val="single" w:sz="8" w:space="0" w:color="auto"/>
              <w:right w:val="single" w:sz="8" w:space="0" w:color="auto"/>
            </w:tcBorders>
            <w:shd w:val="clear" w:color="auto" w:fill="auto"/>
            <w:noWrap/>
            <w:vAlign w:val="center"/>
          </w:tcPr>
          <w:p w:rsidR="00AE6DB4" w:rsidRPr="00B34334" w:rsidRDefault="00BE32D3" w:rsidP="00AE6DB4">
            <w:pPr>
              <w:spacing w:before="120" w:after="120"/>
              <w:jc w:val="center"/>
              <w:rPr>
                <w:rFonts w:ascii="Arial Narrow" w:hAnsi="Arial Narrow" w:cs="Arial"/>
                <w:b/>
                <w:bCs/>
                <w:sz w:val="20"/>
                <w:szCs w:val="20"/>
              </w:rPr>
            </w:pPr>
            <w:r>
              <w:rPr>
                <w:rFonts w:ascii="Arial Narrow" w:hAnsi="Arial Narrow" w:cs="Arial"/>
                <w:b/>
                <w:bCs/>
                <w:sz w:val="20"/>
                <w:szCs w:val="20"/>
              </w:rPr>
              <w:t>22</w:t>
            </w:r>
          </w:p>
        </w:tc>
        <w:tc>
          <w:tcPr>
            <w:tcW w:w="947" w:type="dxa"/>
            <w:tcBorders>
              <w:top w:val="single" w:sz="8" w:space="0" w:color="auto"/>
              <w:left w:val="single" w:sz="8" w:space="0" w:color="auto"/>
              <w:bottom w:val="single" w:sz="8" w:space="0" w:color="auto"/>
              <w:right w:val="nil"/>
            </w:tcBorders>
            <w:shd w:val="clear" w:color="auto" w:fill="auto"/>
            <w:noWrap/>
            <w:vAlign w:val="center"/>
          </w:tcPr>
          <w:p w:rsidR="00AE6DB4" w:rsidRPr="00B34334" w:rsidRDefault="00BE32D3" w:rsidP="00AE6DB4">
            <w:pPr>
              <w:spacing w:before="120" w:after="120"/>
              <w:jc w:val="center"/>
              <w:rPr>
                <w:rFonts w:ascii="Arial Narrow" w:hAnsi="Arial Narrow" w:cs="Arial"/>
                <w:b/>
                <w:bCs/>
                <w:sz w:val="20"/>
                <w:szCs w:val="20"/>
              </w:rPr>
            </w:pPr>
            <w:r>
              <w:rPr>
                <w:rFonts w:ascii="Arial Narrow" w:hAnsi="Arial Narrow" w:cs="Arial"/>
                <w:b/>
                <w:bCs/>
                <w:sz w:val="20"/>
                <w:szCs w:val="20"/>
              </w:rPr>
              <w:t>7</w:t>
            </w:r>
          </w:p>
        </w:tc>
        <w:tc>
          <w:tcPr>
            <w:tcW w:w="1179" w:type="dxa"/>
            <w:tcBorders>
              <w:top w:val="single" w:sz="8" w:space="0" w:color="auto"/>
              <w:left w:val="nil"/>
              <w:bottom w:val="single" w:sz="8" w:space="0" w:color="auto"/>
              <w:right w:val="single" w:sz="8" w:space="0" w:color="auto"/>
            </w:tcBorders>
            <w:shd w:val="clear" w:color="auto" w:fill="auto"/>
            <w:noWrap/>
            <w:vAlign w:val="center"/>
          </w:tcPr>
          <w:p w:rsidR="00AE6DB4" w:rsidRPr="00B34334" w:rsidRDefault="00BF46B9" w:rsidP="00AE6DB4">
            <w:pPr>
              <w:spacing w:before="120" w:after="120"/>
              <w:jc w:val="center"/>
              <w:rPr>
                <w:rFonts w:ascii="Arial Narrow" w:hAnsi="Arial Narrow" w:cs="Arial"/>
                <w:b/>
                <w:bCs/>
                <w:sz w:val="20"/>
                <w:szCs w:val="20"/>
              </w:rPr>
            </w:pPr>
            <w:r>
              <w:rPr>
                <w:rFonts w:ascii="Arial Narrow" w:hAnsi="Arial Narrow" w:cs="Arial"/>
                <w:b/>
                <w:bCs/>
                <w:sz w:val="20"/>
                <w:szCs w:val="20"/>
              </w:rPr>
              <w:t>0</w:t>
            </w:r>
          </w:p>
        </w:tc>
      </w:tr>
    </w:tbl>
    <w:p w:rsidR="00D64404" w:rsidRPr="009F0A75" w:rsidRDefault="00D64404" w:rsidP="00387299">
      <w:pPr>
        <w:pStyle w:val="BodyText"/>
        <w:numPr>
          <w:ilvl w:val="2"/>
          <w:numId w:val="19"/>
        </w:numPr>
        <w:tabs>
          <w:tab w:val="left" w:pos="851"/>
        </w:tabs>
      </w:pPr>
      <w:r w:rsidRPr="009F0A75">
        <w:t>The following issues were considered to be the key control weaknesses:</w:t>
      </w:r>
    </w:p>
    <w:tbl>
      <w:tblPr>
        <w:tblStyle w:val="TableGrid"/>
        <w:tblW w:w="8846" w:type="dxa"/>
        <w:tblInd w:w="930" w:type="dxa"/>
        <w:tblLook w:val="04A0" w:firstRow="1" w:lastRow="0" w:firstColumn="1" w:lastColumn="0" w:noHBand="0" w:noVBand="1"/>
      </w:tblPr>
      <w:tblGrid>
        <w:gridCol w:w="821"/>
        <w:gridCol w:w="1051"/>
        <w:gridCol w:w="5541"/>
        <w:gridCol w:w="1433"/>
      </w:tblGrid>
      <w:tr w:rsidR="00AE6DB4" w:rsidTr="00EE582B">
        <w:tc>
          <w:tcPr>
            <w:tcW w:w="821" w:type="dxa"/>
            <w:shd w:val="clear" w:color="auto" w:fill="B58829"/>
            <w:vAlign w:val="center"/>
          </w:tcPr>
          <w:p w:rsidR="00AE6DB4" w:rsidRDefault="00AE6DB4" w:rsidP="00AE6DB4">
            <w:pPr>
              <w:jc w:val="center"/>
              <w:rPr>
                <w:rFonts w:ascii="Arial Narrow" w:hAnsi="Arial Narrow"/>
                <w:color w:val="FFFFFF" w:themeColor="background1"/>
                <w:szCs w:val="20"/>
              </w:rPr>
            </w:pPr>
            <w:bookmarkStart w:id="12" w:name="_Hlk535576936"/>
            <w:r>
              <w:rPr>
                <w:rFonts w:ascii="Arial Narrow" w:hAnsi="Arial Narrow"/>
                <w:color w:val="FFFFFF" w:themeColor="background1"/>
                <w:szCs w:val="20"/>
              </w:rPr>
              <w:t>Rec</w:t>
            </w:r>
          </w:p>
          <w:p w:rsidR="00AE6DB4" w:rsidRPr="001045AC" w:rsidRDefault="00AE6DB4" w:rsidP="00AE6DB4">
            <w:pPr>
              <w:jc w:val="center"/>
              <w:rPr>
                <w:rFonts w:ascii="Arial Narrow" w:hAnsi="Arial Narrow"/>
                <w:color w:val="FFFFFF" w:themeColor="background1"/>
                <w:szCs w:val="20"/>
              </w:rPr>
            </w:pPr>
            <w:r>
              <w:rPr>
                <w:rFonts w:ascii="Arial Narrow" w:hAnsi="Arial Narrow"/>
                <w:color w:val="FFFFFF" w:themeColor="background1"/>
                <w:szCs w:val="20"/>
              </w:rPr>
              <w:t>Number</w:t>
            </w:r>
          </w:p>
        </w:tc>
        <w:tc>
          <w:tcPr>
            <w:tcW w:w="1051" w:type="dxa"/>
            <w:shd w:val="clear" w:color="auto" w:fill="B58829"/>
            <w:vAlign w:val="center"/>
          </w:tcPr>
          <w:p w:rsidR="00AE6DB4" w:rsidRPr="001045AC" w:rsidRDefault="00AE6DB4" w:rsidP="00AE6DB4">
            <w:pPr>
              <w:jc w:val="center"/>
              <w:rPr>
                <w:rFonts w:ascii="Arial Narrow" w:hAnsi="Arial Narrow"/>
                <w:color w:val="FFFFFF" w:themeColor="background1"/>
                <w:szCs w:val="20"/>
              </w:rPr>
            </w:pPr>
            <w:r w:rsidRPr="001045AC">
              <w:rPr>
                <w:rFonts w:ascii="Arial Narrow" w:hAnsi="Arial Narrow"/>
                <w:color w:val="FFFFFF" w:themeColor="background1"/>
                <w:szCs w:val="20"/>
              </w:rPr>
              <w:t>Risk Rating</w:t>
            </w:r>
          </w:p>
        </w:tc>
        <w:tc>
          <w:tcPr>
            <w:tcW w:w="5541" w:type="dxa"/>
            <w:shd w:val="clear" w:color="auto" w:fill="B58829"/>
            <w:vAlign w:val="center"/>
          </w:tcPr>
          <w:p w:rsidR="00AE6DB4" w:rsidRPr="001045AC" w:rsidRDefault="00AE6DB4" w:rsidP="00AE6DB4">
            <w:pPr>
              <w:rPr>
                <w:rFonts w:ascii="Arial Narrow" w:hAnsi="Arial Narrow"/>
                <w:color w:val="FFFFFF" w:themeColor="background1"/>
                <w:szCs w:val="20"/>
              </w:rPr>
            </w:pPr>
            <w:r w:rsidRPr="001045AC">
              <w:rPr>
                <w:rFonts w:ascii="Arial Narrow" w:hAnsi="Arial Narrow"/>
                <w:color w:val="FFFFFF" w:themeColor="background1"/>
                <w:szCs w:val="20"/>
              </w:rPr>
              <w:t>Summary of Weakness</w:t>
            </w:r>
          </w:p>
        </w:tc>
        <w:tc>
          <w:tcPr>
            <w:tcW w:w="1433" w:type="dxa"/>
            <w:shd w:val="clear" w:color="auto" w:fill="B58829"/>
          </w:tcPr>
          <w:p w:rsidR="00AE6DB4" w:rsidRPr="001045AC" w:rsidRDefault="00AE6DB4" w:rsidP="00AE6DB4">
            <w:pPr>
              <w:jc w:val="center"/>
              <w:rPr>
                <w:rFonts w:ascii="Arial Narrow" w:hAnsi="Arial Narrow"/>
                <w:color w:val="FFFFFF" w:themeColor="background1"/>
                <w:szCs w:val="20"/>
              </w:rPr>
            </w:pPr>
            <w:r w:rsidRPr="001045AC">
              <w:rPr>
                <w:rFonts w:ascii="Arial Narrow" w:hAnsi="Arial Narrow"/>
                <w:color w:val="FFFFFF" w:themeColor="background1"/>
                <w:szCs w:val="20"/>
              </w:rPr>
              <w:t>Agreed Action Date</w:t>
            </w:r>
          </w:p>
        </w:tc>
      </w:tr>
      <w:tr w:rsidR="00BB3ED0" w:rsidTr="00EE582B">
        <w:tc>
          <w:tcPr>
            <w:tcW w:w="821" w:type="dxa"/>
            <w:vAlign w:val="center"/>
          </w:tcPr>
          <w:p w:rsidR="00BB3ED0" w:rsidRPr="00B34334" w:rsidRDefault="00BB3ED0" w:rsidP="00BB3ED0">
            <w:pPr>
              <w:jc w:val="center"/>
              <w:rPr>
                <w:rFonts w:ascii="Arial Narrow" w:hAnsi="Arial Narrow"/>
                <w:color w:val="000000"/>
                <w:szCs w:val="20"/>
              </w:rPr>
            </w:pPr>
            <w:r>
              <w:rPr>
                <w:rFonts w:ascii="Arial Narrow" w:hAnsi="Arial Narrow"/>
                <w:color w:val="000000"/>
                <w:szCs w:val="20"/>
              </w:rPr>
              <w:t>1</w:t>
            </w:r>
          </w:p>
        </w:tc>
        <w:tc>
          <w:tcPr>
            <w:tcW w:w="1051" w:type="dxa"/>
            <w:vAlign w:val="center"/>
          </w:tcPr>
          <w:p w:rsidR="00BB3ED0" w:rsidRPr="00D4737E" w:rsidRDefault="00BB3ED0" w:rsidP="00BB3ED0">
            <w:pPr>
              <w:rPr>
                <w:rFonts w:ascii="Arial Narrow" w:hAnsi="Arial Narrow"/>
                <w:color w:val="F79646"/>
                <w:szCs w:val="20"/>
              </w:rPr>
            </w:pPr>
            <w:r>
              <w:rPr>
                <w:rFonts w:ascii="Arial Narrow" w:hAnsi="Arial Narrow"/>
                <w:color w:val="F79646"/>
                <w:szCs w:val="20"/>
              </w:rPr>
              <w:t>Medium</w:t>
            </w:r>
          </w:p>
        </w:tc>
        <w:tc>
          <w:tcPr>
            <w:tcW w:w="5541" w:type="dxa"/>
          </w:tcPr>
          <w:p w:rsidR="00BB3ED0" w:rsidRPr="00BB3ED0" w:rsidRDefault="00BB3ED0" w:rsidP="00BB3ED0">
            <w:pPr>
              <w:spacing w:after="120"/>
              <w:rPr>
                <w:rFonts w:ascii="Arial Narrow" w:hAnsi="Arial Narrow"/>
                <w:sz w:val="18"/>
                <w:szCs w:val="20"/>
                <w:lang w:eastAsia="en-US"/>
              </w:rPr>
            </w:pPr>
            <w:r w:rsidRPr="00BB3ED0">
              <w:rPr>
                <w:sz w:val="18"/>
              </w:rPr>
              <w:t>The SSLEP Framework does not include sufficient inclusion around risk management arrangements specifically how risks escalate/de-escalate across different meetings, and the process and frequency of Board oversight</w:t>
            </w:r>
          </w:p>
        </w:tc>
        <w:tc>
          <w:tcPr>
            <w:tcW w:w="1433" w:type="dxa"/>
            <w:vAlign w:val="center"/>
          </w:tcPr>
          <w:p w:rsidR="00BB3ED0" w:rsidRPr="00783D67" w:rsidRDefault="009759B0" w:rsidP="00BB3ED0">
            <w:pPr>
              <w:jc w:val="center"/>
              <w:rPr>
                <w:rFonts w:ascii="Arial Narrow" w:hAnsi="Arial Narrow"/>
                <w:szCs w:val="20"/>
              </w:rPr>
            </w:pPr>
            <w:r>
              <w:rPr>
                <w:rFonts w:ascii="Arial Narrow" w:hAnsi="Arial Narrow"/>
                <w:szCs w:val="20"/>
              </w:rPr>
              <w:t>31</w:t>
            </w:r>
            <w:r w:rsidRPr="00554B54">
              <w:rPr>
                <w:rFonts w:ascii="Arial Narrow" w:hAnsi="Arial Narrow"/>
                <w:szCs w:val="20"/>
                <w:vertAlign w:val="superscript"/>
              </w:rPr>
              <w:t>st</w:t>
            </w:r>
            <w:r>
              <w:rPr>
                <w:rFonts w:ascii="Arial Narrow" w:hAnsi="Arial Narrow"/>
                <w:szCs w:val="20"/>
              </w:rPr>
              <w:t xml:space="preserve"> July 2019</w:t>
            </w:r>
          </w:p>
        </w:tc>
      </w:tr>
      <w:tr w:rsidR="00620605" w:rsidTr="00EE582B">
        <w:tc>
          <w:tcPr>
            <w:tcW w:w="821" w:type="dxa"/>
            <w:vAlign w:val="center"/>
          </w:tcPr>
          <w:p w:rsidR="00620605" w:rsidRDefault="00620605" w:rsidP="00AE6DB4">
            <w:pPr>
              <w:jc w:val="center"/>
              <w:rPr>
                <w:rFonts w:ascii="Arial Narrow" w:hAnsi="Arial Narrow"/>
                <w:color w:val="000000"/>
                <w:szCs w:val="20"/>
              </w:rPr>
            </w:pPr>
            <w:r>
              <w:rPr>
                <w:rFonts w:ascii="Arial Narrow" w:hAnsi="Arial Narrow"/>
                <w:color w:val="000000"/>
                <w:szCs w:val="20"/>
              </w:rPr>
              <w:t>2</w:t>
            </w:r>
          </w:p>
        </w:tc>
        <w:tc>
          <w:tcPr>
            <w:tcW w:w="1051" w:type="dxa"/>
            <w:vAlign w:val="center"/>
          </w:tcPr>
          <w:p w:rsidR="00620605" w:rsidRPr="00620605" w:rsidRDefault="00620605" w:rsidP="00AE6DB4">
            <w:pPr>
              <w:rPr>
                <w:rFonts w:ascii="Arial Narrow" w:hAnsi="Arial Narrow"/>
                <w:color w:val="92D050"/>
                <w:szCs w:val="20"/>
              </w:rPr>
            </w:pPr>
            <w:r w:rsidRPr="00620605">
              <w:rPr>
                <w:rFonts w:ascii="Arial Narrow" w:hAnsi="Arial Narrow"/>
                <w:color w:val="92D050"/>
                <w:szCs w:val="20"/>
              </w:rPr>
              <w:t>Low</w:t>
            </w:r>
          </w:p>
        </w:tc>
        <w:tc>
          <w:tcPr>
            <w:tcW w:w="5541" w:type="dxa"/>
          </w:tcPr>
          <w:p w:rsidR="00620605" w:rsidRPr="00BB3ED0" w:rsidRDefault="00BB3ED0" w:rsidP="007B40E5">
            <w:pPr>
              <w:spacing w:after="120"/>
              <w:rPr>
                <w:rFonts w:ascii="Arial Narrow" w:hAnsi="Arial Narrow"/>
                <w:sz w:val="18"/>
                <w:szCs w:val="20"/>
                <w:lang w:eastAsia="en-US"/>
              </w:rPr>
            </w:pPr>
            <w:r w:rsidRPr="00BB3ED0">
              <w:rPr>
                <w:sz w:val="18"/>
              </w:rPr>
              <w:t>The SSLEP Framework does not include sufficient inclusion around Board succession planning specifically how handover processes are managed and information is passed from the outgoing to successor member</w:t>
            </w:r>
          </w:p>
        </w:tc>
        <w:tc>
          <w:tcPr>
            <w:tcW w:w="1433" w:type="dxa"/>
            <w:vAlign w:val="center"/>
          </w:tcPr>
          <w:p w:rsidR="00620605" w:rsidRPr="00783D67" w:rsidRDefault="009759B0" w:rsidP="00AE6DB4">
            <w:pPr>
              <w:jc w:val="center"/>
              <w:rPr>
                <w:rFonts w:ascii="Arial Narrow" w:hAnsi="Arial Narrow"/>
                <w:szCs w:val="20"/>
              </w:rPr>
            </w:pPr>
            <w:r>
              <w:rPr>
                <w:rFonts w:ascii="Arial Narrow" w:hAnsi="Arial Narrow"/>
                <w:szCs w:val="20"/>
              </w:rPr>
              <w:t>31</w:t>
            </w:r>
            <w:r w:rsidRPr="00554B54">
              <w:rPr>
                <w:rFonts w:ascii="Arial Narrow" w:hAnsi="Arial Narrow"/>
                <w:szCs w:val="20"/>
                <w:vertAlign w:val="superscript"/>
              </w:rPr>
              <w:t>st</w:t>
            </w:r>
            <w:r>
              <w:rPr>
                <w:rFonts w:ascii="Arial Narrow" w:hAnsi="Arial Narrow"/>
                <w:szCs w:val="20"/>
              </w:rPr>
              <w:t xml:space="preserve"> July 2019</w:t>
            </w:r>
          </w:p>
        </w:tc>
      </w:tr>
      <w:tr w:rsidR="00936CD2" w:rsidTr="00EE582B">
        <w:tc>
          <w:tcPr>
            <w:tcW w:w="821" w:type="dxa"/>
            <w:vAlign w:val="center"/>
          </w:tcPr>
          <w:p w:rsidR="00936CD2" w:rsidRDefault="00936CD2" w:rsidP="00936CD2">
            <w:pPr>
              <w:jc w:val="center"/>
              <w:rPr>
                <w:rFonts w:ascii="Arial Narrow" w:hAnsi="Arial Narrow"/>
                <w:color w:val="000000"/>
                <w:szCs w:val="20"/>
              </w:rPr>
            </w:pPr>
            <w:r>
              <w:rPr>
                <w:rFonts w:ascii="Arial Narrow" w:hAnsi="Arial Narrow"/>
                <w:color w:val="000000"/>
                <w:szCs w:val="20"/>
              </w:rPr>
              <w:t>3</w:t>
            </w:r>
          </w:p>
        </w:tc>
        <w:tc>
          <w:tcPr>
            <w:tcW w:w="1051" w:type="dxa"/>
            <w:vAlign w:val="center"/>
          </w:tcPr>
          <w:p w:rsidR="00936CD2" w:rsidRPr="00620605" w:rsidRDefault="00936CD2" w:rsidP="00936CD2">
            <w:pPr>
              <w:rPr>
                <w:rFonts w:ascii="Arial Narrow" w:hAnsi="Arial Narrow"/>
                <w:color w:val="92D050"/>
                <w:szCs w:val="20"/>
              </w:rPr>
            </w:pPr>
            <w:r w:rsidRPr="00620605">
              <w:rPr>
                <w:rFonts w:ascii="Arial Narrow" w:hAnsi="Arial Narrow"/>
                <w:color w:val="92D050"/>
                <w:szCs w:val="20"/>
              </w:rPr>
              <w:t>Low</w:t>
            </w:r>
          </w:p>
        </w:tc>
        <w:tc>
          <w:tcPr>
            <w:tcW w:w="5541" w:type="dxa"/>
          </w:tcPr>
          <w:p w:rsidR="00936CD2" w:rsidRPr="00BB3ED0" w:rsidRDefault="00BB3ED0" w:rsidP="00936CD2">
            <w:pPr>
              <w:spacing w:after="120"/>
              <w:rPr>
                <w:rFonts w:ascii="Arial Narrow" w:hAnsi="Arial Narrow"/>
                <w:sz w:val="18"/>
                <w:szCs w:val="20"/>
                <w:lang w:eastAsia="en-US"/>
              </w:rPr>
            </w:pPr>
            <w:r w:rsidRPr="00BB3ED0">
              <w:rPr>
                <w:sz w:val="18"/>
              </w:rPr>
              <w:t>The SSLEP Framework does not include sufficient inclusion around Board training and induction process specifically how the process works, what is included in an induction pack, what minimum levels of training are required and a time period within which it must all be completed</w:t>
            </w:r>
          </w:p>
        </w:tc>
        <w:tc>
          <w:tcPr>
            <w:tcW w:w="1433" w:type="dxa"/>
            <w:vAlign w:val="center"/>
          </w:tcPr>
          <w:p w:rsidR="00936CD2" w:rsidRPr="00783D67" w:rsidRDefault="009759B0" w:rsidP="00936CD2">
            <w:pPr>
              <w:jc w:val="center"/>
              <w:rPr>
                <w:rFonts w:ascii="Arial Narrow" w:hAnsi="Arial Narrow"/>
                <w:szCs w:val="20"/>
              </w:rPr>
            </w:pPr>
            <w:r>
              <w:rPr>
                <w:rFonts w:ascii="Arial Narrow" w:hAnsi="Arial Narrow"/>
                <w:szCs w:val="20"/>
              </w:rPr>
              <w:t>31</w:t>
            </w:r>
            <w:r w:rsidRPr="00554B54">
              <w:rPr>
                <w:rFonts w:ascii="Arial Narrow" w:hAnsi="Arial Narrow"/>
                <w:szCs w:val="20"/>
                <w:vertAlign w:val="superscript"/>
              </w:rPr>
              <w:t>st</w:t>
            </w:r>
            <w:r>
              <w:rPr>
                <w:rFonts w:ascii="Arial Narrow" w:hAnsi="Arial Narrow"/>
                <w:szCs w:val="20"/>
              </w:rPr>
              <w:t xml:space="preserve"> July 2019</w:t>
            </w:r>
          </w:p>
        </w:tc>
      </w:tr>
      <w:tr w:rsidR="00936CD2" w:rsidTr="00EE582B">
        <w:tc>
          <w:tcPr>
            <w:tcW w:w="821" w:type="dxa"/>
            <w:vAlign w:val="center"/>
          </w:tcPr>
          <w:p w:rsidR="00936CD2" w:rsidRDefault="00936CD2" w:rsidP="00936CD2">
            <w:pPr>
              <w:jc w:val="center"/>
              <w:rPr>
                <w:rFonts w:ascii="Arial Narrow" w:hAnsi="Arial Narrow"/>
                <w:color w:val="000000"/>
                <w:szCs w:val="20"/>
              </w:rPr>
            </w:pPr>
            <w:r>
              <w:rPr>
                <w:rFonts w:ascii="Arial Narrow" w:hAnsi="Arial Narrow"/>
                <w:color w:val="000000"/>
                <w:szCs w:val="20"/>
              </w:rPr>
              <w:t>4</w:t>
            </w:r>
          </w:p>
        </w:tc>
        <w:tc>
          <w:tcPr>
            <w:tcW w:w="1051" w:type="dxa"/>
            <w:vAlign w:val="center"/>
          </w:tcPr>
          <w:p w:rsidR="00936CD2" w:rsidRPr="00620605" w:rsidRDefault="00936CD2" w:rsidP="00936CD2">
            <w:pPr>
              <w:rPr>
                <w:rFonts w:ascii="Arial Narrow" w:hAnsi="Arial Narrow"/>
                <w:color w:val="92D050"/>
                <w:szCs w:val="20"/>
              </w:rPr>
            </w:pPr>
            <w:r w:rsidRPr="00620605">
              <w:rPr>
                <w:rFonts w:ascii="Arial Narrow" w:hAnsi="Arial Narrow"/>
                <w:color w:val="92D050"/>
                <w:szCs w:val="20"/>
              </w:rPr>
              <w:t>Low</w:t>
            </w:r>
          </w:p>
        </w:tc>
        <w:tc>
          <w:tcPr>
            <w:tcW w:w="5541" w:type="dxa"/>
          </w:tcPr>
          <w:p w:rsidR="00936CD2" w:rsidRPr="00BB3ED0" w:rsidRDefault="00BB3ED0" w:rsidP="00936CD2">
            <w:pPr>
              <w:spacing w:after="120"/>
              <w:rPr>
                <w:rFonts w:ascii="Arial Narrow" w:hAnsi="Arial Narrow"/>
                <w:sz w:val="18"/>
                <w:szCs w:val="20"/>
                <w:lang w:eastAsia="en-US"/>
              </w:rPr>
            </w:pPr>
            <w:r w:rsidRPr="00BB3ED0">
              <w:rPr>
                <w:sz w:val="18"/>
              </w:rPr>
              <w:t>The SSLEP Framework does not confirm how the role of an independent secretariat is approved and maintained</w:t>
            </w:r>
          </w:p>
        </w:tc>
        <w:tc>
          <w:tcPr>
            <w:tcW w:w="1433" w:type="dxa"/>
            <w:vAlign w:val="center"/>
          </w:tcPr>
          <w:p w:rsidR="00936CD2" w:rsidRPr="00783D67" w:rsidRDefault="009759B0" w:rsidP="00936CD2">
            <w:pPr>
              <w:jc w:val="center"/>
              <w:rPr>
                <w:rFonts w:ascii="Arial Narrow" w:hAnsi="Arial Narrow"/>
                <w:szCs w:val="20"/>
              </w:rPr>
            </w:pPr>
            <w:r>
              <w:rPr>
                <w:rFonts w:ascii="Arial Narrow" w:hAnsi="Arial Narrow"/>
                <w:szCs w:val="20"/>
              </w:rPr>
              <w:t>31st July 2019</w:t>
            </w:r>
          </w:p>
        </w:tc>
      </w:tr>
      <w:tr w:rsidR="00936CD2" w:rsidTr="00EE582B">
        <w:tc>
          <w:tcPr>
            <w:tcW w:w="821" w:type="dxa"/>
            <w:vAlign w:val="center"/>
          </w:tcPr>
          <w:p w:rsidR="00936CD2" w:rsidRDefault="00936CD2" w:rsidP="00936CD2">
            <w:pPr>
              <w:jc w:val="center"/>
              <w:rPr>
                <w:rFonts w:ascii="Arial Narrow" w:hAnsi="Arial Narrow"/>
                <w:color w:val="000000"/>
                <w:szCs w:val="20"/>
              </w:rPr>
            </w:pPr>
            <w:r>
              <w:rPr>
                <w:rFonts w:ascii="Arial Narrow" w:hAnsi="Arial Narrow"/>
                <w:color w:val="000000"/>
                <w:szCs w:val="20"/>
              </w:rPr>
              <w:t>5</w:t>
            </w:r>
          </w:p>
        </w:tc>
        <w:tc>
          <w:tcPr>
            <w:tcW w:w="1051" w:type="dxa"/>
            <w:vAlign w:val="center"/>
          </w:tcPr>
          <w:p w:rsidR="00936CD2" w:rsidRPr="00620605" w:rsidRDefault="00936CD2" w:rsidP="00936CD2">
            <w:pPr>
              <w:rPr>
                <w:rFonts w:ascii="Arial Narrow" w:hAnsi="Arial Narrow"/>
                <w:color w:val="92D050"/>
                <w:szCs w:val="20"/>
              </w:rPr>
            </w:pPr>
            <w:r w:rsidRPr="00620605">
              <w:rPr>
                <w:rFonts w:ascii="Arial Narrow" w:hAnsi="Arial Narrow"/>
                <w:color w:val="92D050"/>
                <w:szCs w:val="20"/>
              </w:rPr>
              <w:t>Low</w:t>
            </w:r>
          </w:p>
        </w:tc>
        <w:tc>
          <w:tcPr>
            <w:tcW w:w="5541" w:type="dxa"/>
          </w:tcPr>
          <w:p w:rsidR="00936CD2" w:rsidRPr="00BB3ED0" w:rsidRDefault="00BB3ED0" w:rsidP="00936CD2">
            <w:pPr>
              <w:spacing w:after="120"/>
              <w:rPr>
                <w:rFonts w:ascii="Arial Narrow" w:hAnsi="Arial Narrow"/>
                <w:sz w:val="18"/>
                <w:szCs w:val="20"/>
                <w:lang w:eastAsia="en-US"/>
              </w:rPr>
            </w:pPr>
            <w:r w:rsidRPr="00BB3ED0">
              <w:rPr>
                <w:sz w:val="18"/>
              </w:rPr>
              <w:t>The SSLEP Framework does not include information around  Board sub-group quorate levels</w:t>
            </w:r>
          </w:p>
        </w:tc>
        <w:tc>
          <w:tcPr>
            <w:tcW w:w="1433" w:type="dxa"/>
            <w:vAlign w:val="center"/>
          </w:tcPr>
          <w:p w:rsidR="00936CD2" w:rsidRPr="00783D67" w:rsidRDefault="009759B0" w:rsidP="00936CD2">
            <w:pPr>
              <w:jc w:val="center"/>
              <w:rPr>
                <w:rFonts w:ascii="Arial Narrow" w:hAnsi="Arial Narrow"/>
                <w:szCs w:val="20"/>
              </w:rPr>
            </w:pPr>
            <w:r>
              <w:rPr>
                <w:rFonts w:ascii="Arial Narrow" w:hAnsi="Arial Narrow"/>
                <w:szCs w:val="20"/>
              </w:rPr>
              <w:t>31</w:t>
            </w:r>
            <w:r w:rsidRPr="00554B54">
              <w:rPr>
                <w:rFonts w:ascii="Arial Narrow" w:hAnsi="Arial Narrow"/>
                <w:szCs w:val="20"/>
                <w:vertAlign w:val="superscript"/>
              </w:rPr>
              <w:t>st</w:t>
            </w:r>
            <w:r>
              <w:rPr>
                <w:rFonts w:ascii="Arial Narrow" w:hAnsi="Arial Narrow"/>
                <w:szCs w:val="20"/>
              </w:rPr>
              <w:t xml:space="preserve"> August 2019</w:t>
            </w:r>
          </w:p>
        </w:tc>
      </w:tr>
      <w:tr w:rsidR="00936CD2" w:rsidTr="00EE582B">
        <w:tc>
          <w:tcPr>
            <w:tcW w:w="821" w:type="dxa"/>
            <w:vAlign w:val="center"/>
          </w:tcPr>
          <w:p w:rsidR="00936CD2" w:rsidRDefault="00936CD2" w:rsidP="00936CD2">
            <w:pPr>
              <w:jc w:val="center"/>
              <w:rPr>
                <w:rFonts w:ascii="Arial Narrow" w:hAnsi="Arial Narrow"/>
                <w:color w:val="000000"/>
                <w:szCs w:val="20"/>
              </w:rPr>
            </w:pPr>
            <w:r>
              <w:rPr>
                <w:rFonts w:ascii="Arial Narrow" w:hAnsi="Arial Narrow"/>
                <w:color w:val="000000"/>
                <w:szCs w:val="20"/>
              </w:rPr>
              <w:t>6</w:t>
            </w:r>
          </w:p>
        </w:tc>
        <w:tc>
          <w:tcPr>
            <w:tcW w:w="1051" w:type="dxa"/>
            <w:vAlign w:val="center"/>
          </w:tcPr>
          <w:p w:rsidR="00936CD2" w:rsidRPr="00620605" w:rsidRDefault="00936CD2" w:rsidP="00936CD2">
            <w:pPr>
              <w:rPr>
                <w:rFonts w:ascii="Arial Narrow" w:hAnsi="Arial Narrow"/>
                <w:color w:val="92D050"/>
                <w:szCs w:val="20"/>
              </w:rPr>
            </w:pPr>
            <w:r w:rsidRPr="00620605">
              <w:rPr>
                <w:rFonts w:ascii="Arial Narrow" w:hAnsi="Arial Narrow"/>
                <w:color w:val="92D050"/>
                <w:szCs w:val="20"/>
              </w:rPr>
              <w:t>Low</w:t>
            </w:r>
          </w:p>
        </w:tc>
        <w:tc>
          <w:tcPr>
            <w:tcW w:w="5541" w:type="dxa"/>
          </w:tcPr>
          <w:p w:rsidR="00936CD2" w:rsidRPr="00BB3ED0" w:rsidRDefault="00BB3ED0" w:rsidP="00936CD2">
            <w:pPr>
              <w:spacing w:after="120"/>
              <w:rPr>
                <w:rFonts w:ascii="Arial Narrow" w:hAnsi="Arial Narrow"/>
                <w:sz w:val="18"/>
                <w:szCs w:val="20"/>
                <w:lang w:eastAsia="en-US"/>
              </w:rPr>
            </w:pPr>
            <w:r w:rsidRPr="00BB3ED0">
              <w:rPr>
                <w:sz w:val="18"/>
              </w:rPr>
              <w:t>The SSLEP Framework does not clarify who has overall responsibility for overseeing the recovery of funds including who receives reports and updates. Furthermore the Framework does not state what actions could or may be taken to recover non-compliant payments especially where it is decided that it is non-recoverable</w:t>
            </w:r>
          </w:p>
        </w:tc>
        <w:tc>
          <w:tcPr>
            <w:tcW w:w="1433" w:type="dxa"/>
            <w:vAlign w:val="center"/>
          </w:tcPr>
          <w:p w:rsidR="00936CD2" w:rsidRPr="00783D67" w:rsidRDefault="009759B0" w:rsidP="00936CD2">
            <w:pPr>
              <w:jc w:val="center"/>
              <w:rPr>
                <w:rFonts w:ascii="Arial Narrow" w:hAnsi="Arial Narrow"/>
                <w:szCs w:val="20"/>
              </w:rPr>
            </w:pPr>
            <w:r>
              <w:rPr>
                <w:rFonts w:ascii="Arial Narrow" w:hAnsi="Arial Narrow"/>
                <w:szCs w:val="20"/>
              </w:rPr>
              <w:t>31st July 2019</w:t>
            </w:r>
          </w:p>
        </w:tc>
      </w:tr>
      <w:tr w:rsidR="00936CD2" w:rsidTr="00EE582B">
        <w:tc>
          <w:tcPr>
            <w:tcW w:w="821" w:type="dxa"/>
            <w:vAlign w:val="center"/>
          </w:tcPr>
          <w:p w:rsidR="00936CD2" w:rsidRDefault="00936CD2" w:rsidP="00936CD2">
            <w:pPr>
              <w:jc w:val="center"/>
              <w:rPr>
                <w:rFonts w:ascii="Arial Narrow" w:hAnsi="Arial Narrow"/>
                <w:color w:val="000000"/>
                <w:szCs w:val="20"/>
              </w:rPr>
            </w:pPr>
            <w:r>
              <w:rPr>
                <w:rFonts w:ascii="Arial Narrow" w:hAnsi="Arial Narrow"/>
                <w:color w:val="000000"/>
                <w:szCs w:val="20"/>
              </w:rPr>
              <w:t>7</w:t>
            </w:r>
          </w:p>
        </w:tc>
        <w:tc>
          <w:tcPr>
            <w:tcW w:w="1051" w:type="dxa"/>
            <w:vAlign w:val="center"/>
          </w:tcPr>
          <w:p w:rsidR="00936CD2" w:rsidRPr="00620605" w:rsidRDefault="00936CD2" w:rsidP="00936CD2">
            <w:pPr>
              <w:rPr>
                <w:rFonts w:ascii="Arial Narrow" w:hAnsi="Arial Narrow"/>
                <w:color w:val="92D050"/>
                <w:szCs w:val="20"/>
              </w:rPr>
            </w:pPr>
            <w:r w:rsidRPr="00620605">
              <w:rPr>
                <w:rFonts w:ascii="Arial Narrow" w:hAnsi="Arial Narrow"/>
                <w:color w:val="92D050"/>
                <w:szCs w:val="20"/>
              </w:rPr>
              <w:t>Low</w:t>
            </w:r>
          </w:p>
        </w:tc>
        <w:tc>
          <w:tcPr>
            <w:tcW w:w="5541" w:type="dxa"/>
          </w:tcPr>
          <w:p w:rsidR="00936CD2" w:rsidRPr="00BB3ED0" w:rsidRDefault="00BB3ED0" w:rsidP="00936CD2">
            <w:pPr>
              <w:spacing w:after="120"/>
              <w:rPr>
                <w:rFonts w:ascii="Arial Narrow" w:hAnsi="Arial Narrow"/>
                <w:sz w:val="18"/>
                <w:szCs w:val="20"/>
                <w:lang w:eastAsia="en-US"/>
              </w:rPr>
            </w:pPr>
            <w:r w:rsidRPr="00BB3ED0">
              <w:rPr>
                <w:sz w:val="18"/>
              </w:rPr>
              <w:t>The SSLEP Framework includes incorrect references to Data Protection Laws and requires updating</w:t>
            </w:r>
          </w:p>
        </w:tc>
        <w:tc>
          <w:tcPr>
            <w:tcW w:w="1433" w:type="dxa"/>
            <w:vAlign w:val="center"/>
          </w:tcPr>
          <w:p w:rsidR="00936CD2" w:rsidRPr="00783D67" w:rsidRDefault="009759B0" w:rsidP="00936CD2">
            <w:pPr>
              <w:jc w:val="center"/>
              <w:rPr>
                <w:rFonts w:ascii="Arial Narrow" w:hAnsi="Arial Narrow"/>
                <w:szCs w:val="20"/>
              </w:rPr>
            </w:pPr>
            <w:r>
              <w:rPr>
                <w:rFonts w:ascii="Arial Narrow" w:hAnsi="Arial Narrow"/>
                <w:szCs w:val="20"/>
              </w:rPr>
              <w:t>30</w:t>
            </w:r>
            <w:r w:rsidRPr="00554B54">
              <w:rPr>
                <w:rFonts w:ascii="Arial Narrow" w:hAnsi="Arial Narrow"/>
                <w:szCs w:val="20"/>
                <w:vertAlign w:val="superscript"/>
              </w:rPr>
              <w:t>th</w:t>
            </w:r>
            <w:r>
              <w:rPr>
                <w:rFonts w:ascii="Arial Narrow" w:hAnsi="Arial Narrow"/>
                <w:szCs w:val="20"/>
              </w:rPr>
              <w:t xml:space="preserve"> April 2019</w:t>
            </w:r>
          </w:p>
        </w:tc>
      </w:tr>
    </w:tbl>
    <w:p w:rsidR="001045AC" w:rsidRDefault="001045AC" w:rsidP="001045AC">
      <w:pPr>
        <w:pStyle w:val="StyleBullet1Last"/>
        <w:numPr>
          <w:ilvl w:val="0"/>
          <w:numId w:val="0"/>
        </w:numPr>
      </w:pPr>
      <w:bookmarkStart w:id="13" w:name="summarycontrolweakness"/>
      <w:bookmarkEnd w:id="12"/>
      <w:bookmarkEnd w:id="13"/>
      <w:r>
        <w:tab/>
      </w:r>
    </w:p>
    <w:p w:rsidR="00D64404" w:rsidRPr="00712375" w:rsidRDefault="001045AC" w:rsidP="001045AC">
      <w:pPr>
        <w:pStyle w:val="StyleBullet1Last"/>
        <w:numPr>
          <w:ilvl w:val="0"/>
          <w:numId w:val="0"/>
        </w:numPr>
        <w:ind w:left="720"/>
        <w:rPr>
          <w:szCs w:val="22"/>
        </w:rPr>
      </w:pPr>
      <w:r w:rsidRPr="00712375">
        <w:rPr>
          <w:szCs w:val="22"/>
        </w:rPr>
        <w:lastRenderedPageBreak/>
        <w:t>This report focuses on the weaknesses in the Organisation’s systems of control that were highlighted by this audit and recommends what Audit considers to be appropriate control improvements. This report contains the follow amount of recommendations</w:t>
      </w:r>
    </w:p>
    <w:tbl>
      <w:tblPr>
        <w:tblStyle w:val="TableGrid"/>
        <w:tblW w:w="8960" w:type="dxa"/>
        <w:tblInd w:w="816" w:type="dxa"/>
        <w:tblLook w:val="04A0" w:firstRow="1" w:lastRow="0" w:firstColumn="1" w:lastColumn="0" w:noHBand="0" w:noVBand="1"/>
      </w:tblPr>
      <w:tblGrid>
        <w:gridCol w:w="2169"/>
        <w:gridCol w:w="2239"/>
        <w:gridCol w:w="2158"/>
        <w:gridCol w:w="2394"/>
      </w:tblGrid>
      <w:tr w:rsidR="00AE6DB4" w:rsidTr="00EE582B">
        <w:trPr>
          <w:trHeight w:val="396"/>
        </w:trPr>
        <w:tc>
          <w:tcPr>
            <w:tcW w:w="2169" w:type="dxa"/>
            <w:shd w:val="clear" w:color="auto" w:fill="FF0000"/>
            <w:vAlign w:val="center"/>
          </w:tcPr>
          <w:p w:rsidR="00AE6DB4" w:rsidRPr="001045AC" w:rsidRDefault="00AE6DB4" w:rsidP="00AE6DB4">
            <w:pPr>
              <w:pStyle w:val="StyleBullet1Last"/>
              <w:numPr>
                <w:ilvl w:val="0"/>
                <w:numId w:val="0"/>
              </w:numPr>
              <w:spacing w:before="240"/>
              <w:jc w:val="center"/>
              <w:rPr>
                <w:b/>
              </w:rPr>
            </w:pPr>
            <w:r w:rsidRPr="001045AC">
              <w:rPr>
                <w:b/>
              </w:rPr>
              <w:t>High</w:t>
            </w:r>
          </w:p>
        </w:tc>
        <w:tc>
          <w:tcPr>
            <w:tcW w:w="2239" w:type="dxa"/>
            <w:shd w:val="clear" w:color="auto" w:fill="F79646"/>
            <w:vAlign w:val="center"/>
          </w:tcPr>
          <w:p w:rsidR="00AE6DB4" w:rsidRPr="001045AC" w:rsidRDefault="00AE6DB4" w:rsidP="00AE6DB4">
            <w:pPr>
              <w:pStyle w:val="StyleBullet1Last"/>
              <w:numPr>
                <w:ilvl w:val="0"/>
                <w:numId w:val="0"/>
              </w:numPr>
              <w:spacing w:before="240"/>
              <w:jc w:val="center"/>
              <w:rPr>
                <w:b/>
              </w:rPr>
            </w:pPr>
            <w:r w:rsidRPr="001045AC">
              <w:rPr>
                <w:b/>
              </w:rPr>
              <w:t>Medium</w:t>
            </w:r>
          </w:p>
        </w:tc>
        <w:tc>
          <w:tcPr>
            <w:tcW w:w="2158" w:type="dxa"/>
            <w:shd w:val="clear" w:color="auto" w:fill="006600"/>
            <w:vAlign w:val="center"/>
          </w:tcPr>
          <w:p w:rsidR="00AE6DB4" w:rsidRPr="001045AC" w:rsidRDefault="00AE6DB4" w:rsidP="00AE6DB4">
            <w:pPr>
              <w:pStyle w:val="StyleBullet1Last"/>
              <w:numPr>
                <w:ilvl w:val="0"/>
                <w:numId w:val="0"/>
              </w:numPr>
              <w:spacing w:before="240"/>
              <w:jc w:val="center"/>
              <w:rPr>
                <w:b/>
              </w:rPr>
            </w:pPr>
            <w:r w:rsidRPr="001045AC">
              <w:rPr>
                <w:b/>
              </w:rPr>
              <w:t>Low</w:t>
            </w:r>
          </w:p>
        </w:tc>
        <w:tc>
          <w:tcPr>
            <w:tcW w:w="2394" w:type="dxa"/>
            <w:vAlign w:val="center"/>
          </w:tcPr>
          <w:p w:rsidR="00AE6DB4" w:rsidRPr="001045AC" w:rsidRDefault="00AE6DB4" w:rsidP="00AE6DB4">
            <w:pPr>
              <w:pStyle w:val="StyleBullet1Last"/>
              <w:numPr>
                <w:ilvl w:val="0"/>
                <w:numId w:val="0"/>
              </w:numPr>
              <w:spacing w:before="240"/>
              <w:jc w:val="center"/>
              <w:rPr>
                <w:b/>
              </w:rPr>
            </w:pPr>
            <w:r w:rsidRPr="001045AC">
              <w:rPr>
                <w:b/>
              </w:rPr>
              <w:t>Total</w:t>
            </w:r>
          </w:p>
        </w:tc>
      </w:tr>
      <w:tr w:rsidR="00AE6DB4" w:rsidTr="00EE582B">
        <w:trPr>
          <w:trHeight w:val="396"/>
        </w:trPr>
        <w:tc>
          <w:tcPr>
            <w:tcW w:w="2169" w:type="dxa"/>
          </w:tcPr>
          <w:p w:rsidR="00AE6DB4" w:rsidRDefault="00EE582B" w:rsidP="00AE6DB4">
            <w:pPr>
              <w:pStyle w:val="StyleBullet1Last"/>
              <w:numPr>
                <w:ilvl w:val="0"/>
                <w:numId w:val="0"/>
              </w:numPr>
              <w:spacing w:before="240"/>
              <w:jc w:val="center"/>
            </w:pPr>
            <w:r>
              <w:t>0</w:t>
            </w:r>
          </w:p>
        </w:tc>
        <w:tc>
          <w:tcPr>
            <w:tcW w:w="2239" w:type="dxa"/>
          </w:tcPr>
          <w:p w:rsidR="00AE6DB4" w:rsidRDefault="00BF46B9" w:rsidP="00AE6DB4">
            <w:pPr>
              <w:pStyle w:val="StyleBullet1Last"/>
              <w:numPr>
                <w:ilvl w:val="0"/>
                <w:numId w:val="0"/>
              </w:numPr>
              <w:spacing w:before="240"/>
              <w:jc w:val="center"/>
            </w:pPr>
            <w:r>
              <w:t>1</w:t>
            </w:r>
          </w:p>
        </w:tc>
        <w:tc>
          <w:tcPr>
            <w:tcW w:w="2158" w:type="dxa"/>
          </w:tcPr>
          <w:p w:rsidR="00AE6DB4" w:rsidRDefault="00BE32D3" w:rsidP="00AE6DB4">
            <w:pPr>
              <w:pStyle w:val="StyleBullet1Last"/>
              <w:numPr>
                <w:ilvl w:val="0"/>
                <w:numId w:val="0"/>
              </w:numPr>
              <w:spacing w:before="240"/>
              <w:jc w:val="center"/>
            </w:pPr>
            <w:r>
              <w:t>6</w:t>
            </w:r>
          </w:p>
        </w:tc>
        <w:tc>
          <w:tcPr>
            <w:tcW w:w="2394" w:type="dxa"/>
          </w:tcPr>
          <w:p w:rsidR="00AE6DB4" w:rsidRDefault="00BE32D3" w:rsidP="00AE6DB4">
            <w:pPr>
              <w:pStyle w:val="StyleBullet1Last"/>
              <w:numPr>
                <w:ilvl w:val="0"/>
                <w:numId w:val="0"/>
              </w:numPr>
              <w:spacing w:before="240"/>
              <w:jc w:val="center"/>
            </w:pPr>
            <w:r>
              <w:t>7</w:t>
            </w:r>
          </w:p>
        </w:tc>
      </w:tr>
    </w:tbl>
    <w:p w:rsidR="00EE582B" w:rsidRDefault="00AA66D5" w:rsidP="00760799">
      <w:pPr>
        <w:pStyle w:val="StyleBullet1Last"/>
        <w:numPr>
          <w:ilvl w:val="0"/>
          <w:numId w:val="0"/>
        </w:numPr>
      </w:pPr>
      <w:r>
        <w:tab/>
      </w:r>
      <w:bookmarkStart w:id="14" w:name="nominorrisk"/>
      <w:bookmarkEnd w:id="14"/>
    </w:p>
    <w:p w:rsidR="00760799" w:rsidRDefault="00760799" w:rsidP="00760799">
      <w:pPr>
        <w:pStyle w:val="StyleBullet1Last"/>
        <w:numPr>
          <w:ilvl w:val="0"/>
          <w:numId w:val="0"/>
        </w:numPr>
      </w:pPr>
      <w:r>
        <w:t xml:space="preserve">             </w:t>
      </w:r>
      <w:r w:rsidR="00032527">
        <w:t>A</w:t>
      </w:r>
      <w:r w:rsidR="00032527" w:rsidRPr="00760799">
        <w:rPr>
          <w:szCs w:val="22"/>
        </w:rPr>
        <w:t xml:space="preserve">nother </w:t>
      </w:r>
      <w:r w:rsidR="00032527">
        <w:rPr>
          <w:szCs w:val="22"/>
        </w:rPr>
        <w:t>one</w:t>
      </w:r>
      <w:r w:rsidR="00032527" w:rsidRPr="00760799">
        <w:rPr>
          <w:szCs w:val="22"/>
        </w:rPr>
        <w:t xml:space="preserve"> </w:t>
      </w:r>
      <w:r w:rsidR="00032527">
        <w:rPr>
          <w:szCs w:val="22"/>
        </w:rPr>
        <w:t>minor priority issue has</w:t>
      </w:r>
      <w:r w:rsidR="00032527" w:rsidRPr="00760799">
        <w:rPr>
          <w:szCs w:val="22"/>
        </w:rPr>
        <w:t xml:space="preserve"> been highlighted for management's consideration</w:t>
      </w:r>
    </w:p>
    <w:p w:rsidR="00EE582B" w:rsidRDefault="00EE582B" w:rsidP="00AA66D5">
      <w:pPr>
        <w:pStyle w:val="StyleBullet1Last"/>
        <w:numPr>
          <w:ilvl w:val="0"/>
          <w:numId w:val="0"/>
        </w:numPr>
      </w:pPr>
    </w:p>
    <w:p w:rsidR="00D64404" w:rsidRDefault="00D64404" w:rsidP="00D64404">
      <w:pPr>
        <w:pStyle w:val="Heading2"/>
      </w:pPr>
      <w:bookmarkStart w:id="15" w:name="_Toc44236337"/>
      <w:bookmarkStart w:id="16" w:name="_Toc9488567"/>
      <w:r>
        <w:t xml:space="preserve">Summary of Control </w:t>
      </w:r>
      <w:bookmarkEnd w:id="15"/>
      <w:r>
        <w:t>Assurance Provided</w:t>
      </w:r>
      <w:bookmarkEnd w:id="16"/>
    </w:p>
    <w:p w:rsidR="00D64404" w:rsidRDefault="00BF46B9" w:rsidP="00032527">
      <w:pPr>
        <w:pStyle w:val="BodyText"/>
        <w:ind w:left="709" w:hanging="709"/>
      </w:pPr>
      <w:bookmarkStart w:id="17" w:name="controlenvironment"/>
      <w:bookmarkEnd w:id="17"/>
      <w:r>
        <w:rPr>
          <w:b/>
        </w:rPr>
        <w:t xml:space="preserve">Substantial - </w:t>
      </w:r>
      <w:r w:rsidRPr="001825DA">
        <w:t xml:space="preserve">Internal Audit </w:t>
      </w:r>
      <w:r>
        <w:t>can</w:t>
      </w:r>
      <w:r w:rsidRPr="001825DA">
        <w:t xml:space="preserve"> offer substantial assurance as the areas reviewed were found to be controlled adequately. Internal controls were in place and operating effectively and risks against the achievement of objectives were well managed</w:t>
      </w:r>
      <w:r w:rsidR="00EE582B">
        <w:t>.</w:t>
      </w:r>
    </w:p>
    <w:p w:rsidR="00AE6DB4" w:rsidRDefault="00AE6DB4" w:rsidP="00AE6DB4">
      <w:pPr>
        <w:pStyle w:val="BodyText2"/>
      </w:pPr>
    </w:p>
    <w:p w:rsidR="00AE6DB4" w:rsidRDefault="00AE6DB4" w:rsidP="00AE6DB4">
      <w:pPr>
        <w:pStyle w:val="BodyText2"/>
      </w:pPr>
    </w:p>
    <w:p w:rsidR="00AE6DB4" w:rsidRDefault="00AE6DB4" w:rsidP="00AE6DB4">
      <w:pPr>
        <w:pStyle w:val="BodyText2"/>
      </w:pPr>
    </w:p>
    <w:p w:rsidR="00AE6DB4" w:rsidRDefault="00AE6DB4" w:rsidP="003006DF">
      <w:pPr>
        <w:spacing w:after="200" w:line="276" w:lineRule="auto"/>
      </w:pPr>
    </w:p>
    <w:p w:rsidR="00D64404" w:rsidRDefault="003006DF" w:rsidP="00D134AD">
      <w:pPr>
        <w:spacing w:after="200" w:line="276" w:lineRule="auto"/>
      </w:pPr>
      <w:r>
        <w:br w:type="page"/>
      </w:r>
    </w:p>
    <w:p w:rsidR="00AE6DB4" w:rsidRDefault="00AE6DB4" w:rsidP="00FB1E93">
      <w:pPr>
        <w:pStyle w:val="Heading1"/>
        <w:tabs>
          <w:tab w:val="clear" w:pos="360"/>
          <w:tab w:val="num" w:pos="709"/>
        </w:tabs>
        <w:ind w:left="709" w:hanging="851"/>
        <w:jc w:val="both"/>
      </w:pPr>
      <w:bookmarkStart w:id="18" w:name="heading1"/>
      <w:bookmarkStart w:id="19" w:name="_Toc535495005"/>
      <w:bookmarkStart w:id="20" w:name="_Toc9488568"/>
      <w:bookmarkEnd w:id="18"/>
      <w:r>
        <w:lastRenderedPageBreak/>
        <w:t>Positive Assurance</w:t>
      </w:r>
      <w:bookmarkEnd w:id="19"/>
      <w:bookmarkEnd w:id="20"/>
    </w:p>
    <w:p w:rsidR="00AE6DB4" w:rsidRDefault="00044EB6" w:rsidP="00FB1E93">
      <w:pPr>
        <w:pStyle w:val="BodyText2"/>
      </w:pPr>
      <w:r>
        <w:t xml:space="preserve">Internal Audit </w:t>
      </w:r>
      <w:r w:rsidR="00AE6DB4">
        <w:t>attempted to establish whether the Organisation's system of control for the following areas contained all the key controls expected of a sound and robust process. Through a combination of control evaluation and testing we confirmed that the following adequate controls were in operation:</w:t>
      </w:r>
    </w:p>
    <w:p w:rsidR="00AE6DB4" w:rsidRDefault="00AD3556" w:rsidP="00FB1E93">
      <w:pPr>
        <w:pStyle w:val="Heading2"/>
        <w:jc w:val="both"/>
      </w:pPr>
      <w:bookmarkStart w:id="21" w:name="_Toc9488569"/>
      <w:bookmarkStart w:id="22" w:name="_Hlk535577147"/>
      <w:r>
        <w:t xml:space="preserve">Compliance with </w:t>
      </w:r>
      <w:r w:rsidRPr="00AD3556">
        <w:t>National Assurance Framework</w:t>
      </w:r>
      <w:bookmarkEnd w:id="21"/>
    </w:p>
    <w:p w:rsidR="0011214F" w:rsidRDefault="005B0859" w:rsidP="00FB1E93">
      <w:pPr>
        <w:pStyle w:val="Bullet1"/>
        <w:numPr>
          <w:ilvl w:val="0"/>
          <w:numId w:val="0"/>
        </w:numPr>
        <w:ind w:left="709" w:hanging="709"/>
      </w:pPr>
      <w:r>
        <w:t>2.1.1</w:t>
      </w:r>
      <w:r>
        <w:tab/>
        <w:t>Audit testing undertaken has confirmed that</w:t>
      </w:r>
      <w:r w:rsidR="00FF4E46">
        <w:t xml:space="preserve"> the SSLEP Framework is compliant with the National Assurance Framework with specific regard to</w:t>
      </w:r>
      <w:r>
        <w:t xml:space="preserve"> the key areas below</w:t>
      </w:r>
      <w:r w:rsidR="002332EB">
        <w:t>:</w:t>
      </w:r>
      <w:r w:rsidR="00014576">
        <w:br/>
      </w:r>
    </w:p>
    <w:p w:rsidR="00B2310E" w:rsidRDefault="00B2310E" w:rsidP="00FB1E93">
      <w:pPr>
        <w:pStyle w:val="Bullet1Indent"/>
        <w:numPr>
          <w:ilvl w:val="2"/>
          <w:numId w:val="7"/>
        </w:numPr>
        <w:ind w:left="1134" w:hanging="425"/>
      </w:pPr>
      <w:r>
        <w:t>L</w:t>
      </w:r>
      <w:r w:rsidR="00644890">
        <w:t>EP has</w:t>
      </w:r>
      <w:r w:rsidR="0053607E">
        <w:t xml:space="preserve"> a</w:t>
      </w:r>
      <w:r w:rsidR="00644890">
        <w:t xml:space="preserve"> published and approved</w:t>
      </w:r>
      <w:r w:rsidR="0053607E">
        <w:t xml:space="preserve"> Local</w:t>
      </w:r>
      <w:r w:rsidR="00644890">
        <w:t xml:space="preserve"> </w:t>
      </w:r>
      <w:r>
        <w:t>Assurance Framework</w:t>
      </w:r>
      <w:r w:rsidR="0053607E">
        <w:t xml:space="preserve"> which is in accordance with the new National Assurance Framework.  This was approved by the deadline of the </w:t>
      </w:r>
      <w:r>
        <w:t>31 March 2019</w:t>
      </w:r>
      <w:r w:rsidR="00644890">
        <w:t xml:space="preserve">.  </w:t>
      </w:r>
    </w:p>
    <w:p w:rsidR="00644890" w:rsidRDefault="00014576" w:rsidP="00FB1E93">
      <w:pPr>
        <w:pStyle w:val="Bullet1Indent"/>
        <w:numPr>
          <w:ilvl w:val="2"/>
          <w:numId w:val="7"/>
        </w:numPr>
        <w:ind w:left="1134" w:hanging="425"/>
      </w:pPr>
      <w:r>
        <w:t>Accountabilities are clearly defined, including r</w:t>
      </w:r>
      <w:r w:rsidR="00644890">
        <w:t>oles and responsibilities for decision making</w:t>
      </w:r>
      <w:r>
        <w:t xml:space="preserve">, which are </w:t>
      </w:r>
      <w:r w:rsidR="0053607E">
        <w:t>documented within the</w:t>
      </w:r>
      <w:r w:rsidR="00644890">
        <w:t xml:space="preserve"> governance structure charts in place</w:t>
      </w:r>
      <w:r w:rsidR="0053607E">
        <w:t>.</w:t>
      </w:r>
    </w:p>
    <w:p w:rsidR="00644890" w:rsidRDefault="00014576" w:rsidP="00FB1E93">
      <w:pPr>
        <w:pStyle w:val="Bullet1Indent"/>
        <w:numPr>
          <w:ilvl w:val="2"/>
          <w:numId w:val="7"/>
        </w:numPr>
      </w:pPr>
      <w:r>
        <w:t>T</w:t>
      </w:r>
      <w:r w:rsidR="0053607E">
        <w:t xml:space="preserve">he SSLEP has a </w:t>
      </w:r>
      <w:r w:rsidR="00644890">
        <w:t xml:space="preserve">dedicated website which is up to date </w:t>
      </w:r>
      <w:r w:rsidR="0053607E">
        <w:t>and includes</w:t>
      </w:r>
      <w:r w:rsidR="00644890">
        <w:t xml:space="preserve"> publications such as financial accounts, Board members</w:t>
      </w:r>
      <w:r w:rsidR="0053607E">
        <w:t xml:space="preserve"> details</w:t>
      </w:r>
      <w:r w:rsidR="00644890">
        <w:t>, the Assurance Framework and associated documents</w:t>
      </w:r>
      <w:r w:rsidR="0053607E">
        <w:t>.</w:t>
      </w:r>
    </w:p>
    <w:p w:rsidR="00644890" w:rsidRDefault="0053607E" w:rsidP="00FB1E93">
      <w:pPr>
        <w:pStyle w:val="Bullet1Indent"/>
        <w:numPr>
          <w:ilvl w:val="2"/>
          <w:numId w:val="7"/>
        </w:numPr>
      </w:pPr>
      <w:r>
        <w:t>T</w:t>
      </w:r>
      <w:r w:rsidR="00644890">
        <w:t xml:space="preserve">he </w:t>
      </w:r>
      <w:r>
        <w:t>f</w:t>
      </w:r>
      <w:r w:rsidR="00644890">
        <w:t xml:space="preserve">ramework clearly sets out the </w:t>
      </w:r>
      <w:r>
        <w:t xml:space="preserve">processes to be applied for the </w:t>
      </w:r>
      <w:r w:rsidR="00644890">
        <w:t>recruitment, evaluation and appointment of all Board members and Chairs and</w:t>
      </w:r>
      <w:r w:rsidR="00014576">
        <w:t xml:space="preserve"> also </w:t>
      </w:r>
      <w:r w:rsidR="00644890">
        <w:t xml:space="preserve"> arrangements/responsibilities for deputies</w:t>
      </w:r>
      <w:r>
        <w:t>.</w:t>
      </w:r>
    </w:p>
    <w:p w:rsidR="00644890" w:rsidRDefault="00014576" w:rsidP="00FB1E93">
      <w:pPr>
        <w:pStyle w:val="Bullet1Indent"/>
        <w:numPr>
          <w:ilvl w:val="2"/>
          <w:numId w:val="7"/>
        </w:numPr>
      </w:pPr>
      <w:r>
        <w:t>T</w:t>
      </w:r>
      <w:r w:rsidR="00644890">
        <w:t xml:space="preserve">he </w:t>
      </w:r>
      <w:r>
        <w:t>f</w:t>
      </w:r>
      <w:r w:rsidR="00644890">
        <w:t xml:space="preserve">ramework </w:t>
      </w:r>
      <w:r>
        <w:t xml:space="preserve">includes a diversity statement, which is in accordance with the </w:t>
      </w:r>
      <w:r w:rsidR="00644890">
        <w:t>National Assurance Framework</w:t>
      </w:r>
      <w:r>
        <w:t>.</w:t>
      </w:r>
    </w:p>
    <w:p w:rsidR="00644890" w:rsidRDefault="00014576" w:rsidP="00FB1E93">
      <w:pPr>
        <w:pStyle w:val="Bullet1Indent"/>
        <w:numPr>
          <w:ilvl w:val="2"/>
          <w:numId w:val="7"/>
        </w:numPr>
      </w:pPr>
      <w:r>
        <w:t>Accountabilities for the m</w:t>
      </w:r>
      <w:r w:rsidR="00644890">
        <w:t xml:space="preserve">anagement of contracts and branding </w:t>
      </w:r>
      <w:r>
        <w:t>are</w:t>
      </w:r>
      <w:r w:rsidR="00644890">
        <w:t xml:space="preserve"> clearly set out in the roles </w:t>
      </w:r>
      <w:r>
        <w:t>and</w:t>
      </w:r>
      <w:r w:rsidR="00644890">
        <w:t xml:space="preserve"> responsibilities of the different governance groups and also </w:t>
      </w:r>
      <w:r>
        <w:t xml:space="preserve">within </w:t>
      </w:r>
      <w:r w:rsidR="00644890">
        <w:t>in the Accountable Body Agreement</w:t>
      </w:r>
      <w:r>
        <w:t xml:space="preserve"> in place.</w:t>
      </w:r>
    </w:p>
    <w:p w:rsidR="00644890" w:rsidRDefault="00014576" w:rsidP="00FB1E93">
      <w:pPr>
        <w:pStyle w:val="Bullet1Indent"/>
        <w:numPr>
          <w:ilvl w:val="2"/>
          <w:numId w:val="7"/>
        </w:numPr>
        <w:ind w:left="1134" w:hanging="425"/>
      </w:pPr>
      <w:r>
        <w:t>T</w:t>
      </w:r>
      <w:r w:rsidR="00644890">
        <w:t>here are clear flow charts, decision matrixes and gateway approval stages for every investment.</w:t>
      </w:r>
    </w:p>
    <w:p w:rsidR="00B2310E" w:rsidRDefault="00B2310E" w:rsidP="00FB1E93">
      <w:pPr>
        <w:pStyle w:val="Bullet1Indent"/>
        <w:numPr>
          <w:ilvl w:val="2"/>
          <w:numId w:val="7"/>
        </w:numPr>
        <w:ind w:left="1134" w:hanging="425"/>
      </w:pPr>
      <w:r>
        <w:t>The LEP publish minutes of meetings on the LEP website within 10 working days of the meeting taking place</w:t>
      </w:r>
      <w:r w:rsidR="00644890">
        <w:t>. This was confirmed via review of the website and dates of minutes and dates of publication over the past 12 months – no breaches were identified</w:t>
      </w:r>
      <w:r w:rsidR="002332EB">
        <w:t>.</w:t>
      </w:r>
    </w:p>
    <w:p w:rsidR="00B2310E" w:rsidRDefault="00B2310E" w:rsidP="00FB1E93">
      <w:pPr>
        <w:pStyle w:val="Bullet1Indent"/>
        <w:numPr>
          <w:ilvl w:val="2"/>
          <w:numId w:val="7"/>
        </w:numPr>
        <w:ind w:left="1134" w:hanging="425"/>
      </w:pPr>
      <w:r>
        <w:t xml:space="preserve">The LEP </w:t>
      </w:r>
      <w:r w:rsidR="00014576">
        <w:t>publishes</w:t>
      </w:r>
      <w:r>
        <w:t xml:space="preserve"> an agenda and supporting papers for Board meetings on the LEP website 5 working days before the meeting taking place</w:t>
      </w:r>
      <w:r w:rsidR="00644890">
        <w:t>. This was confirmed via review of the website and dates of minutes and dates of publication over the past 12 months – no breaches were identified</w:t>
      </w:r>
      <w:r w:rsidR="002332EB">
        <w:t>.</w:t>
      </w:r>
    </w:p>
    <w:p w:rsidR="00B2310E" w:rsidRDefault="00B2310E" w:rsidP="00FB1E93">
      <w:pPr>
        <w:pStyle w:val="Bullet1Indent"/>
        <w:numPr>
          <w:ilvl w:val="2"/>
          <w:numId w:val="7"/>
        </w:numPr>
        <w:ind w:left="1134" w:hanging="425"/>
      </w:pPr>
      <w:r>
        <w:t>Minutes of meetings include a section inviting attendees to make declarations of interest</w:t>
      </w:r>
      <w:r w:rsidR="00644890">
        <w:t>. This was confirmed via review of the website and minutes over the past 12 months – no breaches were identified</w:t>
      </w:r>
      <w:r w:rsidR="002332EB">
        <w:t>.</w:t>
      </w:r>
    </w:p>
    <w:p w:rsidR="00B2310E" w:rsidRDefault="00B2310E" w:rsidP="00FB1E93">
      <w:pPr>
        <w:pStyle w:val="Bullet1Indent"/>
        <w:numPr>
          <w:ilvl w:val="2"/>
          <w:numId w:val="7"/>
        </w:numPr>
        <w:ind w:left="1134" w:hanging="425"/>
      </w:pPr>
      <w:r>
        <w:t>The LEP have a standardised process for holding confidential information to be discussed at meetings which are placed on the website in line with an agreed methodology</w:t>
      </w:r>
      <w:r w:rsidR="00644890">
        <w:t>. The SSLEP Framework set out the minimum levels per the National Framework sufficiently. However note, there is one Low finding regarding updating the references to data protection laws in the Framework</w:t>
      </w:r>
      <w:r w:rsidR="002332EB">
        <w:t>.</w:t>
      </w:r>
    </w:p>
    <w:p w:rsidR="00B2310E" w:rsidRDefault="00B2310E" w:rsidP="00FB1E93">
      <w:pPr>
        <w:pStyle w:val="Bullet1Indent"/>
        <w:numPr>
          <w:ilvl w:val="2"/>
          <w:numId w:val="7"/>
        </w:numPr>
        <w:ind w:left="1134" w:hanging="425"/>
      </w:pPr>
      <w:r>
        <w:t>The LEP has put in process a process for third parties and the public to confidentially report concerns about LEP decisions (in addition to the existing Whistleblowing Policy)</w:t>
      </w:r>
      <w:r w:rsidR="002332EB">
        <w:t>.</w:t>
      </w:r>
    </w:p>
    <w:p w:rsidR="00B2310E" w:rsidRDefault="00B2310E" w:rsidP="00FB1E93">
      <w:pPr>
        <w:pStyle w:val="Bullet1Indent"/>
        <w:numPr>
          <w:ilvl w:val="2"/>
          <w:numId w:val="7"/>
        </w:numPr>
        <w:ind w:left="1134" w:hanging="425"/>
      </w:pPr>
      <w:r>
        <w:lastRenderedPageBreak/>
        <w:t>The LEP has published a Whistleblowing Policy on an accessible part of its website</w:t>
      </w:r>
      <w:r w:rsidR="002332EB">
        <w:t>.</w:t>
      </w:r>
    </w:p>
    <w:p w:rsidR="00B2310E" w:rsidRDefault="00B2310E" w:rsidP="00FB1E93">
      <w:pPr>
        <w:pStyle w:val="Bullet1Indent"/>
        <w:numPr>
          <w:ilvl w:val="2"/>
          <w:numId w:val="7"/>
        </w:numPr>
        <w:ind w:left="1134" w:hanging="425"/>
      </w:pPr>
      <w:r>
        <w:t>All Board Members of the LEP have signed up to a Code of Conduct, posted on the LEP website and compliant with national standards and Nolan Principles</w:t>
      </w:r>
      <w:r w:rsidR="00644890">
        <w:t>. This was confirmed via a review of the website, transparency pages and minutes</w:t>
      </w:r>
      <w:r w:rsidR="002332EB">
        <w:t>.</w:t>
      </w:r>
    </w:p>
    <w:p w:rsidR="00AE6DB4" w:rsidRDefault="00B2310E" w:rsidP="00FB1E93">
      <w:pPr>
        <w:pStyle w:val="Bullet1Indent"/>
        <w:numPr>
          <w:ilvl w:val="2"/>
          <w:numId w:val="7"/>
        </w:numPr>
        <w:ind w:left="1134" w:hanging="425"/>
      </w:pPr>
      <w:r>
        <w:t>The LEP has an up-to-date register of interests, posted on its website and compliant with national guidance</w:t>
      </w:r>
      <w:bookmarkEnd w:id="22"/>
      <w:r w:rsidR="00644890">
        <w:t>. This was confirmed via a review of the website.</w:t>
      </w: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Default="00644890" w:rsidP="00644890">
      <w:pPr>
        <w:pStyle w:val="Bullet1Indent"/>
        <w:numPr>
          <w:ilvl w:val="0"/>
          <w:numId w:val="0"/>
        </w:numPr>
        <w:ind w:left="1418" w:hanging="454"/>
      </w:pPr>
    </w:p>
    <w:p w:rsidR="00644890" w:rsidRPr="00644890" w:rsidRDefault="00644890" w:rsidP="00644890">
      <w:pPr>
        <w:pStyle w:val="Bullet1Indent"/>
        <w:numPr>
          <w:ilvl w:val="0"/>
          <w:numId w:val="0"/>
        </w:numPr>
        <w:ind w:left="1418" w:hanging="454"/>
      </w:pPr>
    </w:p>
    <w:p w:rsidR="00AE6DB4" w:rsidRDefault="00AE6DB4" w:rsidP="002332EB">
      <w:pPr>
        <w:pStyle w:val="Heading1"/>
        <w:tabs>
          <w:tab w:val="clear" w:pos="360"/>
          <w:tab w:val="num" w:pos="709"/>
        </w:tabs>
        <w:ind w:left="709" w:hanging="709"/>
      </w:pPr>
      <w:bookmarkStart w:id="23" w:name="_Toc9488570"/>
      <w:r>
        <w:lastRenderedPageBreak/>
        <w:t>C</w:t>
      </w:r>
      <w:r w:rsidR="00BE7345">
        <w:t>ontrol W</w:t>
      </w:r>
      <w:r>
        <w:t>eaknesses and Recommendations</w:t>
      </w:r>
      <w:bookmarkEnd w:id="23"/>
    </w:p>
    <w:p w:rsidR="00BF46B9" w:rsidRDefault="00BF46B9" w:rsidP="00BF46B9">
      <w:pPr>
        <w:pStyle w:val="Heading2"/>
      </w:pPr>
      <w:bookmarkStart w:id="24" w:name="_Toc9488571"/>
      <w:r>
        <w:t xml:space="preserve">Compliance with </w:t>
      </w:r>
      <w:r w:rsidRPr="00AD3556">
        <w:t>National Assurance Framework</w:t>
      </w:r>
      <w:bookmarkEnd w:id="24"/>
      <w:r>
        <w:t xml:space="preserve"> </w:t>
      </w:r>
    </w:p>
    <w:p w:rsidR="002332EB" w:rsidRDefault="00490F07" w:rsidP="002332EB">
      <w:pPr>
        <w:pStyle w:val="BodyText"/>
        <w:ind w:left="709" w:hanging="709"/>
        <w:rPr>
          <w:i/>
        </w:rPr>
      </w:pPr>
      <w:r w:rsidRPr="005F4BC4">
        <w:rPr>
          <w:i/>
        </w:rPr>
        <w:t xml:space="preserve">It </w:t>
      </w:r>
      <w:r w:rsidR="00CD0F85">
        <w:rPr>
          <w:i/>
        </w:rPr>
        <w:t xml:space="preserve">was </w:t>
      </w:r>
      <w:r w:rsidR="00BF46B9">
        <w:rPr>
          <w:i/>
        </w:rPr>
        <w:t>expected that the SSLEP Assurance Framework was compliant with the National Assurance Framework and associated appendices/checklists</w:t>
      </w:r>
      <w:r w:rsidR="00014576">
        <w:rPr>
          <w:i/>
        </w:rPr>
        <w:t>.</w:t>
      </w:r>
    </w:p>
    <w:p w:rsidR="002332EB" w:rsidRPr="002332EB" w:rsidRDefault="00614C5C" w:rsidP="002332EB">
      <w:pPr>
        <w:pStyle w:val="BodyText"/>
        <w:numPr>
          <w:ilvl w:val="0"/>
          <w:numId w:val="0"/>
        </w:numPr>
        <w:ind w:left="709"/>
        <w:rPr>
          <w:i/>
        </w:rPr>
      </w:pPr>
      <w:r w:rsidRPr="002332EB">
        <w:rPr>
          <w:u w:val="single"/>
        </w:rPr>
        <w:t>Requirement – Set out the LEP’s approach to risk</w:t>
      </w:r>
    </w:p>
    <w:p w:rsidR="00614C5C" w:rsidRPr="002332EB" w:rsidRDefault="00614C5C" w:rsidP="002332EB">
      <w:pPr>
        <w:pStyle w:val="BodyText"/>
        <w:ind w:left="709" w:hanging="709"/>
        <w:rPr>
          <w:i/>
        </w:rPr>
      </w:pPr>
      <w:r>
        <w:t>The National Framework sets out the LEP’s approach to risk (Paragraph 65 (d)). This should include a description of the nature of the risks undertaken by the LEP, its arrangements for active risk management, and the name of the individual responsible for risk management</w:t>
      </w:r>
      <w:r w:rsidR="00F729C4">
        <w:t xml:space="preserve"> </w:t>
      </w:r>
      <w:r>
        <w:t>a process for the LEP Board to oversee risk and details of the processes for the escalation of risk analysis and risk management requirements within the LEP</w:t>
      </w:r>
      <w:r w:rsidR="00F729C4">
        <w:t>.</w:t>
      </w:r>
      <w:r>
        <w:t xml:space="preserve"> </w:t>
      </w:r>
    </w:p>
    <w:p w:rsidR="00534537" w:rsidRDefault="00F729C4" w:rsidP="00534537">
      <w:pPr>
        <w:pStyle w:val="BodyText2"/>
      </w:pPr>
      <w:r>
        <w:t xml:space="preserve">The audit found </w:t>
      </w:r>
      <w:r w:rsidR="00024E1D">
        <w:t>that although</w:t>
      </w:r>
      <w:r>
        <w:t xml:space="preserve"> a</w:t>
      </w:r>
      <w:r w:rsidR="00534537" w:rsidRPr="00FD032C">
        <w:t xml:space="preserve"> </w:t>
      </w:r>
      <w:r>
        <w:t>r</w:t>
      </w:r>
      <w:r w:rsidR="00534537" w:rsidRPr="00FD032C">
        <w:t xml:space="preserve">isk </w:t>
      </w:r>
      <w:r>
        <w:t>m</w:t>
      </w:r>
      <w:r w:rsidR="00534537" w:rsidRPr="00FD032C">
        <w:t xml:space="preserve">anagement </w:t>
      </w:r>
      <w:r>
        <w:t>s</w:t>
      </w:r>
      <w:r w:rsidR="00534537" w:rsidRPr="00FD032C">
        <w:t>tatement</w:t>
      </w:r>
      <w:r w:rsidR="00934C8B">
        <w:t xml:space="preserve"> has been included at paragraph</w:t>
      </w:r>
      <w:r w:rsidR="00534537" w:rsidRPr="00FD032C">
        <w:t xml:space="preserve"> 2.14.6</w:t>
      </w:r>
      <w:r w:rsidR="00534537">
        <w:t xml:space="preserve"> of the </w:t>
      </w:r>
      <w:r w:rsidR="00934C8B">
        <w:t xml:space="preserve">Local Assurance </w:t>
      </w:r>
      <w:r w:rsidR="00534537">
        <w:t>Framework</w:t>
      </w:r>
      <w:r w:rsidR="00934C8B">
        <w:t>, which</w:t>
      </w:r>
      <w:r w:rsidR="00534537" w:rsidRPr="00FD032C">
        <w:t xml:space="preserve"> confirms that the </w:t>
      </w:r>
      <w:r w:rsidR="00534537">
        <w:t>Audit and Finance Committee (AFC)</w:t>
      </w:r>
      <w:r w:rsidR="00534537" w:rsidRPr="00FD032C">
        <w:t xml:space="preserve"> manage the </w:t>
      </w:r>
      <w:r w:rsidR="00934C8B">
        <w:t xml:space="preserve">overarching </w:t>
      </w:r>
      <w:r w:rsidR="00534537" w:rsidRPr="00FD032C">
        <w:t xml:space="preserve">risk register and individual sub-groups manage their </w:t>
      </w:r>
      <w:r w:rsidR="00934C8B">
        <w:t xml:space="preserve">own </w:t>
      </w:r>
      <w:r w:rsidR="00534537" w:rsidRPr="00FD032C">
        <w:t>risk registers.</w:t>
      </w:r>
      <w:r>
        <w:t xml:space="preserve"> </w:t>
      </w:r>
    </w:p>
    <w:p w:rsidR="00C20A34" w:rsidRDefault="00534537" w:rsidP="00C20A34">
      <w:pPr>
        <w:pStyle w:val="BodyText2"/>
      </w:pPr>
      <w:r w:rsidRPr="00946996">
        <w:t xml:space="preserve">However, </w:t>
      </w:r>
      <w:r w:rsidR="00C20A34">
        <w:t>the Local Assurance Framework does not set out arrangements for the process to escalate and de-escalate risk across different meetings, the process and frequency for LEP Board oversight over risk or the approach for how individual sub-group risk registers will link with the risk register presented at AFC.</w:t>
      </w:r>
    </w:p>
    <w:p w:rsidR="002332EB" w:rsidRPr="00534537" w:rsidRDefault="00C20A34" w:rsidP="002332EB">
      <w:pPr>
        <w:pStyle w:val="BodyText2"/>
      </w:pPr>
      <w:r>
        <w:t xml:space="preserve">Therefore the risk here is that unclear arrangements for risk management lead to </w:t>
      </w:r>
      <w:r w:rsidR="00EE0170">
        <w:t>ineffective risk management of LEP activities, duplication of activities or ineffective assignment of accountability of risks.</w:t>
      </w:r>
    </w:p>
    <w:tbl>
      <w:tblPr>
        <w:tblStyle w:val="TableGrid"/>
        <w:tblW w:w="9061" w:type="dxa"/>
        <w:tblInd w:w="833" w:type="dxa"/>
        <w:tblLook w:val="05E0" w:firstRow="1" w:lastRow="1" w:firstColumn="1" w:lastColumn="1" w:noHBand="0" w:noVBand="1"/>
      </w:tblPr>
      <w:tblGrid>
        <w:gridCol w:w="1296"/>
        <w:gridCol w:w="3596"/>
        <w:gridCol w:w="1872"/>
        <w:gridCol w:w="2297"/>
      </w:tblGrid>
      <w:tr w:rsidR="00490F07" w:rsidRPr="00B34334" w:rsidTr="0091107E">
        <w:trPr>
          <w:cantSplit/>
        </w:trPr>
        <w:tc>
          <w:tcPr>
            <w:tcW w:w="4892" w:type="dxa"/>
            <w:gridSpan w:val="2"/>
            <w:shd w:val="clear" w:color="auto" w:fill="B58829"/>
          </w:tcPr>
          <w:p w:rsidR="00490F07" w:rsidRPr="00B34334" w:rsidRDefault="00FD032C" w:rsidP="002D2173">
            <w:pPr>
              <w:pStyle w:val="Heading3"/>
              <w:outlineLvl w:val="2"/>
            </w:pPr>
            <w:r>
              <w:t xml:space="preserve"> </w:t>
            </w:r>
          </w:p>
        </w:tc>
        <w:tc>
          <w:tcPr>
            <w:tcW w:w="4169" w:type="dxa"/>
            <w:gridSpan w:val="2"/>
            <w:shd w:val="clear" w:color="auto" w:fill="B58829"/>
          </w:tcPr>
          <w:p w:rsidR="00490F07" w:rsidRPr="00B34334" w:rsidRDefault="00490F07" w:rsidP="002D2173">
            <w:pPr>
              <w:pStyle w:val="BodyText2"/>
              <w:ind w:left="0"/>
              <w:rPr>
                <w:rFonts w:ascii="Arial Narrow" w:hAnsi="Arial Narrow"/>
                <w:b/>
                <w:color w:val="FFFFFF"/>
              </w:rPr>
            </w:pPr>
            <w:r w:rsidRPr="00B34334">
              <w:rPr>
                <w:rFonts w:ascii="Arial Narrow" w:hAnsi="Arial Narrow"/>
                <w:b/>
                <w:color w:val="FFFFFF"/>
              </w:rPr>
              <w:t>Summary Response</w:t>
            </w:r>
          </w:p>
        </w:tc>
      </w:tr>
      <w:tr w:rsidR="002034B5" w:rsidRPr="00B34334" w:rsidTr="0091107E">
        <w:trPr>
          <w:cantSplit/>
          <w:trHeight w:val="784"/>
        </w:trPr>
        <w:tc>
          <w:tcPr>
            <w:tcW w:w="1296" w:type="dxa"/>
            <w:tcBorders>
              <w:left w:val="nil"/>
              <w:bottom w:val="single" w:sz="4" w:space="0" w:color="auto"/>
            </w:tcBorders>
            <w:shd w:val="clear" w:color="auto" w:fill="auto"/>
          </w:tcPr>
          <w:p w:rsidR="002034B5" w:rsidRPr="00B34334" w:rsidRDefault="002034B5" w:rsidP="00046B1A">
            <w:pPr>
              <w:pStyle w:val="RecBodyText"/>
              <w:spacing w:after="0"/>
              <w:rPr>
                <w:b/>
              </w:rPr>
            </w:pPr>
            <w:r w:rsidRPr="00B34334">
              <w:rPr>
                <w:b/>
              </w:rPr>
              <w:t>Risk Rating:</w:t>
            </w:r>
          </w:p>
        </w:tc>
        <w:tc>
          <w:tcPr>
            <w:tcW w:w="3596" w:type="dxa"/>
            <w:tcBorders>
              <w:bottom w:val="single" w:sz="4" w:space="0" w:color="auto"/>
            </w:tcBorders>
            <w:vAlign w:val="center"/>
          </w:tcPr>
          <w:p w:rsidR="002034B5" w:rsidRPr="00B34334" w:rsidRDefault="002034B5" w:rsidP="00046B1A">
            <w:pPr>
              <w:pStyle w:val="RecBodyText"/>
              <w:spacing w:after="0"/>
              <w:jc w:val="left"/>
              <w:rPr>
                <w:color w:val="006600"/>
              </w:rPr>
            </w:pPr>
            <w:r w:rsidRPr="00046B1A">
              <w:rPr>
                <w:color w:val="F79646"/>
              </w:rPr>
              <w:t>Medium Priority</w:t>
            </w:r>
          </w:p>
        </w:tc>
        <w:tc>
          <w:tcPr>
            <w:tcW w:w="1872" w:type="dxa"/>
            <w:tcBorders>
              <w:bottom w:val="single" w:sz="4" w:space="0" w:color="auto"/>
            </w:tcBorders>
          </w:tcPr>
          <w:p w:rsidR="002034B5" w:rsidRPr="00B34334" w:rsidRDefault="002034B5" w:rsidP="00046B1A">
            <w:pPr>
              <w:pStyle w:val="RecBodyText"/>
              <w:spacing w:after="0"/>
              <w:rPr>
                <w:b/>
              </w:rPr>
            </w:pPr>
            <w:r w:rsidRPr="00B34334">
              <w:rPr>
                <w:b/>
              </w:rPr>
              <w:t>Responsible Officer:</w:t>
            </w:r>
          </w:p>
        </w:tc>
        <w:tc>
          <w:tcPr>
            <w:tcW w:w="2297" w:type="dxa"/>
            <w:tcBorders>
              <w:bottom w:val="single" w:sz="4" w:space="0" w:color="auto"/>
              <w:right w:val="nil"/>
            </w:tcBorders>
            <w:shd w:val="clear" w:color="auto" w:fill="auto"/>
          </w:tcPr>
          <w:p w:rsidR="002034B5" w:rsidRDefault="002034B5" w:rsidP="00046B1A">
            <w:pPr>
              <w:pStyle w:val="BodyText2"/>
              <w:spacing w:before="0" w:after="0"/>
              <w:ind w:left="0"/>
              <w:rPr>
                <w:rFonts w:cs="Arial"/>
              </w:rPr>
            </w:pPr>
          </w:p>
          <w:p w:rsidR="00934C8B" w:rsidRPr="00432F9D" w:rsidRDefault="00BE4380" w:rsidP="00046B1A">
            <w:pPr>
              <w:pStyle w:val="BodyText2"/>
              <w:spacing w:before="0" w:after="0"/>
              <w:ind w:left="0"/>
              <w:rPr>
                <w:rFonts w:cs="Arial"/>
              </w:rPr>
            </w:pPr>
            <w:r>
              <w:rPr>
                <w:rFonts w:cs="Arial"/>
              </w:rPr>
              <w:t>SSLEP Interim Partnership Manager</w:t>
            </w:r>
          </w:p>
        </w:tc>
      </w:tr>
      <w:tr w:rsidR="002034B5" w:rsidRPr="00B34334" w:rsidTr="0091107E">
        <w:trPr>
          <w:cantSplit/>
        </w:trPr>
        <w:tc>
          <w:tcPr>
            <w:tcW w:w="4892" w:type="dxa"/>
            <w:gridSpan w:val="2"/>
            <w:tcBorders>
              <w:left w:val="nil"/>
              <w:bottom w:val="nil"/>
            </w:tcBorders>
            <w:shd w:val="clear" w:color="auto" w:fill="auto"/>
          </w:tcPr>
          <w:p w:rsidR="002034B5" w:rsidRPr="00B34334" w:rsidRDefault="002034B5" w:rsidP="002D2173">
            <w:pPr>
              <w:pStyle w:val="RecBodyText"/>
              <w:rPr>
                <w:b/>
              </w:rPr>
            </w:pPr>
            <w:r w:rsidRPr="00B34334">
              <w:rPr>
                <w:b/>
              </w:rPr>
              <w:t>Summary of Weakness:</w:t>
            </w:r>
          </w:p>
        </w:tc>
        <w:tc>
          <w:tcPr>
            <w:tcW w:w="4169" w:type="dxa"/>
            <w:gridSpan w:val="2"/>
            <w:tcBorders>
              <w:bottom w:val="nil"/>
              <w:right w:val="nil"/>
            </w:tcBorders>
            <w:shd w:val="clear" w:color="auto" w:fill="auto"/>
          </w:tcPr>
          <w:p w:rsidR="002034B5" w:rsidRPr="00B34334" w:rsidRDefault="002034B5" w:rsidP="002D2173">
            <w:pPr>
              <w:pStyle w:val="RecBodyText"/>
              <w:rPr>
                <w:b/>
              </w:rPr>
            </w:pPr>
            <w:r w:rsidRPr="00B34334">
              <w:rPr>
                <w:b/>
              </w:rPr>
              <w:t>Agreed Actions:</w:t>
            </w:r>
          </w:p>
        </w:tc>
      </w:tr>
      <w:tr w:rsidR="002034B5" w:rsidRPr="00B34334" w:rsidTr="0091107E">
        <w:trPr>
          <w:cantSplit/>
        </w:trPr>
        <w:tc>
          <w:tcPr>
            <w:tcW w:w="4892" w:type="dxa"/>
            <w:gridSpan w:val="2"/>
            <w:tcBorders>
              <w:top w:val="nil"/>
              <w:left w:val="nil"/>
              <w:bottom w:val="single" w:sz="4" w:space="0" w:color="auto"/>
            </w:tcBorders>
            <w:shd w:val="clear" w:color="auto" w:fill="auto"/>
          </w:tcPr>
          <w:p w:rsidR="002034B5" w:rsidRPr="009F25A0" w:rsidRDefault="00C71A7E" w:rsidP="00A5543D">
            <w:pPr>
              <w:pStyle w:val="RecBodyText"/>
              <w:rPr>
                <w:color w:val="000000"/>
              </w:rPr>
            </w:pPr>
            <w:r>
              <w:t>The SSLEP Framework does not include sufficient inclusion aroun</w:t>
            </w:r>
            <w:r w:rsidR="00A5543D">
              <w:t>d risk management arrangements specifically how risks escalate/de-escalate across different meetings, and the process and frequency of Board oversight</w:t>
            </w:r>
          </w:p>
        </w:tc>
        <w:tc>
          <w:tcPr>
            <w:tcW w:w="4169" w:type="dxa"/>
            <w:gridSpan w:val="2"/>
            <w:tcBorders>
              <w:top w:val="nil"/>
              <w:bottom w:val="single" w:sz="4" w:space="0" w:color="auto"/>
              <w:right w:val="nil"/>
            </w:tcBorders>
            <w:shd w:val="clear" w:color="auto" w:fill="auto"/>
          </w:tcPr>
          <w:p w:rsidR="002034B5" w:rsidRPr="009F25A0" w:rsidRDefault="00BE4380" w:rsidP="002D2173">
            <w:pPr>
              <w:pStyle w:val="BodyText2"/>
              <w:spacing w:before="0"/>
              <w:ind w:left="0"/>
              <w:rPr>
                <w:rFonts w:cs="Arial"/>
                <w:color w:val="auto"/>
              </w:rPr>
            </w:pPr>
            <w:r>
              <w:rPr>
                <w:rFonts w:cs="Arial"/>
                <w:color w:val="auto"/>
              </w:rPr>
              <w:t>The SSLEP Assurance framework will be updated to clarify the process around risk management</w:t>
            </w:r>
          </w:p>
        </w:tc>
      </w:tr>
      <w:tr w:rsidR="002034B5" w:rsidRPr="00B34334" w:rsidTr="0091107E">
        <w:trPr>
          <w:cantSplit/>
        </w:trPr>
        <w:tc>
          <w:tcPr>
            <w:tcW w:w="4892" w:type="dxa"/>
            <w:gridSpan w:val="2"/>
            <w:tcBorders>
              <w:left w:val="nil"/>
              <w:bottom w:val="nil"/>
            </w:tcBorders>
            <w:shd w:val="clear" w:color="auto" w:fill="auto"/>
          </w:tcPr>
          <w:p w:rsidR="002034B5" w:rsidRPr="00B34334" w:rsidRDefault="002034B5" w:rsidP="002D2173">
            <w:pPr>
              <w:pStyle w:val="RecBodyText"/>
              <w:rPr>
                <w:b/>
              </w:rPr>
            </w:pPr>
            <w:r w:rsidRPr="00B34334">
              <w:rPr>
                <w:b/>
              </w:rPr>
              <w:t>Suggested Action:</w:t>
            </w:r>
          </w:p>
        </w:tc>
        <w:tc>
          <w:tcPr>
            <w:tcW w:w="4169" w:type="dxa"/>
            <w:gridSpan w:val="2"/>
            <w:tcBorders>
              <w:bottom w:val="nil"/>
              <w:right w:val="nil"/>
            </w:tcBorders>
            <w:shd w:val="clear" w:color="auto" w:fill="auto"/>
          </w:tcPr>
          <w:p w:rsidR="002034B5" w:rsidRPr="0042061A" w:rsidRDefault="002034B5" w:rsidP="002D2173">
            <w:pPr>
              <w:pStyle w:val="RecBodyText"/>
              <w:rPr>
                <w:b/>
                <w:color w:val="auto"/>
              </w:rPr>
            </w:pPr>
            <w:r w:rsidRPr="0042061A">
              <w:rPr>
                <w:b/>
                <w:color w:val="auto"/>
              </w:rPr>
              <w:t>Implementation Date:</w:t>
            </w:r>
          </w:p>
        </w:tc>
      </w:tr>
      <w:tr w:rsidR="002034B5" w:rsidRPr="00B34334" w:rsidTr="0091107E">
        <w:trPr>
          <w:cantSplit/>
        </w:trPr>
        <w:tc>
          <w:tcPr>
            <w:tcW w:w="4892" w:type="dxa"/>
            <w:gridSpan w:val="2"/>
            <w:tcBorders>
              <w:top w:val="nil"/>
              <w:left w:val="nil"/>
            </w:tcBorders>
            <w:shd w:val="clear" w:color="auto" w:fill="auto"/>
          </w:tcPr>
          <w:p w:rsidR="002034B5" w:rsidRPr="00C71350" w:rsidRDefault="00F82563" w:rsidP="00EE0170">
            <w:pPr>
              <w:pStyle w:val="RecBodyText"/>
            </w:pPr>
            <w:r>
              <w:t>To revise the SSLEP Assurance Framework document</w:t>
            </w:r>
            <w:r w:rsidR="00EE0170">
              <w:t xml:space="preserve"> to specifically cover arrangements for the process to escalate and de-escalate risk across different meetings, the process and frequency for LEP Board oversight over risk or the approach for how individual sub-group risk registers will link with the risk register presented at AFC</w:t>
            </w:r>
          </w:p>
        </w:tc>
        <w:tc>
          <w:tcPr>
            <w:tcW w:w="4169" w:type="dxa"/>
            <w:gridSpan w:val="2"/>
            <w:tcBorders>
              <w:top w:val="nil"/>
              <w:right w:val="nil"/>
            </w:tcBorders>
            <w:shd w:val="clear" w:color="auto" w:fill="auto"/>
          </w:tcPr>
          <w:p w:rsidR="002034B5" w:rsidRPr="008A0B42" w:rsidRDefault="00BE4380" w:rsidP="00934C8B">
            <w:pPr>
              <w:pStyle w:val="BodyText2"/>
              <w:spacing w:before="0"/>
              <w:ind w:left="0"/>
              <w:rPr>
                <w:rFonts w:cs="Arial"/>
                <w:color w:val="auto"/>
              </w:rPr>
            </w:pPr>
            <w:r>
              <w:rPr>
                <w:rFonts w:cs="Arial"/>
                <w:color w:val="auto"/>
              </w:rPr>
              <w:t>3</w:t>
            </w:r>
            <w:r w:rsidR="009759B0">
              <w:rPr>
                <w:rFonts w:cs="Arial"/>
                <w:color w:val="auto"/>
              </w:rPr>
              <w:t>1st</w:t>
            </w:r>
            <w:r>
              <w:rPr>
                <w:rFonts w:cs="Arial"/>
                <w:color w:val="auto"/>
              </w:rPr>
              <w:t xml:space="preserve"> Ju</w:t>
            </w:r>
            <w:r w:rsidR="009759B0">
              <w:rPr>
                <w:rFonts w:cs="Arial"/>
                <w:color w:val="auto"/>
              </w:rPr>
              <w:t>ly</w:t>
            </w:r>
            <w:r>
              <w:rPr>
                <w:rFonts w:cs="Arial"/>
                <w:color w:val="auto"/>
              </w:rPr>
              <w:t xml:space="preserve"> 2019</w:t>
            </w:r>
          </w:p>
        </w:tc>
      </w:tr>
    </w:tbl>
    <w:p w:rsidR="002332EB" w:rsidRDefault="002332EB" w:rsidP="002332EB">
      <w:pPr>
        <w:pStyle w:val="BodyText"/>
        <w:numPr>
          <w:ilvl w:val="0"/>
          <w:numId w:val="0"/>
        </w:numPr>
        <w:ind w:left="709"/>
        <w:rPr>
          <w:i/>
        </w:rPr>
      </w:pPr>
    </w:p>
    <w:p w:rsidR="002332EB" w:rsidRPr="002332EB" w:rsidRDefault="002332EB" w:rsidP="002332EB">
      <w:pPr>
        <w:pStyle w:val="BodyText2"/>
      </w:pPr>
    </w:p>
    <w:p w:rsidR="00174E0F" w:rsidRDefault="00A0223F" w:rsidP="00174E0F">
      <w:pPr>
        <w:pStyle w:val="BodyText"/>
        <w:numPr>
          <w:ilvl w:val="0"/>
          <w:numId w:val="0"/>
        </w:numPr>
        <w:ind w:left="709"/>
        <w:rPr>
          <w:i/>
          <w:u w:val="single"/>
        </w:rPr>
      </w:pPr>
      <w:r w:rsidRPr="00A0223F">
        <w:rPr>
          <w:color w:val="auto"/>
          <w:u w:val="single"/>
        </w:rPr>
        <w:lastRenderedPageBreak/>
        <w:t>Requirement – Ensure appropriate succession planning Board member.</w:t>
      </w:r>
    </w:p>
    <w:p w:rsidR="009D7033" w:rsidRPr="00174E0F" w:rsidRDefault="00C54AA6" w:rsidP="00174E0F">
      <w:pPr>
        <w:pStyle w:val="BodyText"/>
        <w:ind w:left="709" w:hanging="709"/>
        <w:rPr>
          <w:i/>
          <w:u w:val="single"/>
        </w:rPr>
      </w:pPr>
      <w:r w:rsidRPr="00174E0F">
        <w:rPr>
          <w:color w:val="auto"/>
        </w:rPr>
        <w:t>The National Framework sets out the LEP’</w:t>
      </w:r>
      <w:r w:rsidR="002F62BC" w:rsidRPr="00174E0F">
        <w:rPr>
          <w:color w:val="auto"/>
        </w:rPr>
        <w:t xml:space="preserve">s approach to </w:t>
      </w:r>
      <w:r w:rsidR="009D7033" w:rsidRPr="00174E0F">
        <w:rPr>
          <w:color w:val="auto"/>
        </w:rPr>
        <w:t>succession planning of Board members</w:t>
      </w:r>
      <w:r w:rsidR="002F62BC" w:rsidRPr="00174E0F">
        <w:rPr>
          <w:color w:val="auto"/>
        </w:rPr>
        <w:t xml:space="preserve"> (Paragraph 65 (i))</w:t>
      </w:r>
      <w:r w:rsidRPr="00174E0F">
        <w:rPr>
          <w:color w:val="auto"/>
        </w:rPr>
        <w:t>. This should includ</w:t>
      </w:r>
      <w:r w:rsidR="009D7033" w:rsidRPr="00174E0F">
        <w:rPr>
          <w:color w:val="auto"/>
        </w:rPr>
        <w:t>e a description ensuring there are appropriate succession planning and arrangements for the resignation of Board Members.  The National Framework does not go into more detail than this.</w:t>
      </w:r>
    </w:p>
    <w:p w:rsidR="00496CB7" w:rsidRDefault="006C28CB" w:rsidP="00BD4D7D">
      <w:pPr>
        <w:pStyle w:val="BodyText2"/>
        <w:numPr>
          <w:ilvl w:val="0"/>
          <w:numId w:val="1"/>
        </w:numPr>
        <w:ind w:left="709"/>
        <w:rPr>
          <w:szCs w:val="22"/>
        </w:rPr>
      </w:pPr>
      <w:r w:rsidRPr="00BB3ED0">
        <w:rPr>
          <w:color w:val="auto"/>
          <w:szCs w:val="22"/>
        </w:rPr>
        <w:t xml:space="preserve">Quality succession planning is often highlighted as a cornerstone of effective Board performance. </w:t>
      </w:r>
      <w:r w:rsidR="00C54AA6" w:rsidRPr="00BB3ED0">
        <w:rPr>
          <w:color w:val="auto"/>
          <w:szCs w:val="22"/>
        </w:rPr>
        <w:t>The audit found that the Framework</w:t>
      </w:r>
      <w:r w:rsidR="001C0F74" w:rsidRPr="00BB3ED0">
        <w:rPr>
          <w:color w:val="auto"/>
          <w:szCs w:val="22"/>
        </w:rPr>
        <w:t xml:space="preserve"> (note (a) of the Diversity </w:t>
      </w:r>
      <w:r w:rsidR="001C0F74">
        <w:rPr>
          <w:szCs w:val="22"/>
        </w:rPr>
        <w:t>Policy and throughout the Articles of Association)</w:t>
      </w:r>
      <w:r w:rsidR="00C54AA6">
        <w:rPr>
          <w:szCs w:val="22"/>
        </w:rPr>
        <w:t xml:space="preserve"> identifies</w:t>
      </w:r>
      <w:r w:rsidRPr="00600566">
        <w:rPr>
          <w:szCs w:val="22"/>
        </w:rPr>
        <w:t xml:space="preserve"> that there are arrangements for recruitment of Board members and how resignation should be managed in terms of appointing interim/deputy roles. However, there is not any specific information around succession planning. Typically this may include narrative on when a resignation is notified, how knowledge and information is passed onto any successor or arrangements for a handover discussion.</w:t>
      </w:r>
    </w:p>
    <w:p w:rsidR="00F657D1" w:rsidRDefault="00F657D1" w:rsidP="00BD4D7D">
      <w:pPr>
        <w:pStyle w:val="BodyText2"/>
        <w:numPr>
          <w:ilvl w:val="0"/>
          <w:numId w:val="1"/>
        </w:numPr>
        <w:ind w:left="709"/>
        <w:rPr>
          <w:szCs w:val="22"/>
        </w:rPr>
      </w:pPr>
      <w:r>
        <w:rPr>
          <w:szCs w:val="22"/>
        </w:rPr>
        <w:t>The risk here is that if procedures are not clear then handover processes may lead to a less effective operation of the incoming Board member.</w:t>
      </w:r>
    </w:p>
    <w:tbl>
      <w:tblPr>
        <w:tblStyle w:val="TableGrid"/>
        <w:tblW w:w="9061" w:type="dxa"/>
        <w:tblInd w:w="833" w:type="dxa"/>
        <w:tblLook w:val="05E0" w:firstRow="1" w:lastRow="1" w:firstColumn="1" w:lastColumn="1" w:noHBand="0" w:noVBand="1"/>
      </w:tblPr>
      <w:tblGrid>
        <w:gridCol w:w="1296"/>
        <w:gridCol w:w="3596"/>
        <w:gridCol w:w="1872"/>
        <w:gridCol w:w="2297"/>
      </w:tblGrid>
      <w:tr w:rsidR="00496CB7" w:rsidRPr="00B34334" w:rsidTr="00663FF2">
        <w:trPr>
          <w:cantSplit/>
        </w:trPr>
        <w:tc>
          <w:tcPr>
            <w:tcW w:w="4892" w:type="dxa"/>
            <w:gridSpan w:val="2"/>
            <w:shd w:val="clear" w:color="auto" w:fill="B58829"/>
          </w:tcPr>
          <w:p w:rsidR="00496CB7" w:rsidRPr="00B34334" w:rsidRDefault="00496CB7" w:rsidP="00663FF2">
            <w:pPr>
              <w:pStyle w:val="Heading3"/>
              <w:outlineLvl w:val="2"/>
            </w:pPr>
          </w:p>
        </w:tc>
        <w:tc>
          <w:tcPr>
            <w:tcW w:w="4169" w:type="dxa"/>
            <w:gridSpan w:val="2"/>
            <w:shd w:val="clear" w:color="auto" w:fill="B58829"/>
          </w:tcPr>
          <w:p w:rsidR="00496CB7" w:rsidRPr="00B34334" w:rsidRDefault="00496CB7" w:rsidP="00663FF2">
            <w:pPr>
              <w:pStyle w:val="BodyText2"/>
              <w:ind w:left="0"/>
              <w:rPr>
                <w:rFonts w:ascii="Arial Narrow" w:hAnsi="Arial Narrow"/>
                <w:b/>
                <w:color w:val="FFFFFF"/>
              </w:rPr>
            </w:pPr>
            <w:r w:rsidRPr="00B34334">
              <w:rPr>
                <w:rFonts w:ascii="Arial Narrow" w:hAnsi="Arial Narrow"/>
                <w:b/>
                <w:color w:val="FFFFFF"/>
              </w:rPr>
              <w:t>Summary Response</w:t>
            </w:r>
          </w:p>
        </w:tc>
      </w:tr>
      <w:tr w:rsidR="00496CB7" w:rsidRPr="00B34334" w:rsidTr="00663FF2">
        <w:trPr>
          <w:cantSplit/>
          <w:trHeight w:val="784"/>
        </w:trPr>
        <w:tc>
          <w:tcPr>
            <w:tcW w:w="1296" w:type="dxa"/>
            <w:tcBorders>
              <w:left w:val="nil"/>
              <w:bottom w:val="single" w:sz="4" w:space="0" w:color="auto"/>
            </w:tcBorders>
            <w:shd w:val="clear" w:color="auto" w:fill="auto"/>
          </w:tcPr>
          <w:p w:rsidR="00496CB7" w:rsidRPr="00B34334" w:rsidRDefault="00496CB7" w:rsidP="00663FF2">
            <w:pPr>
              <w:pStyle w:val="RecBodyText"/>
              <w:spacing w:after="0"/>
              <w:rPr>
                <w:b/>
              </w:rPr>
            </w:pPr>
            <w:r w:rsidRPr="00B34334">
              <w:rPr>
                <w:b/>
              </w:rPr>
              <w:t>Risk Rating:</w:t>
            </w:r>
          </w:p>
        </w:tc>
        <w:tc>
          <w:tcPr>
            <w:tcW w:w="3596" w:type="dxa"/>
            <w:tcBorders>
              <w:bottom w:val="single" w:sz="4" w:space="0" w:color="auto"/>
            </w:tcBorders>
            <w:vAlign w:val="center"/>
          </w:tcPr>
          <w:p w:rsidR="00496CB7" w:rsidRPr="00BE32D3" w:rsidRDefault="00BE32D3" w:rsidP="00BE32D3">
            <w:pPr>
              <w:pStyle w:val="RecBodyText"/>
              <w:spacing w:after="0"/>
              <w:jc w:val="left"/>
              <w:rPr>
                <w:color w:val="006600"/>
              </w:rPr>
            </w:pPr>
            <w:r w:rsidRPr="00BE32D3">
              <w:rPr>
                <w:color w:val="92D050"/>
              </w:rPr>
              <w:t>Low</w:t>
            </w:r>
            <w:r w:rsidR="00496CB7" w:rsidRPr="00BE32D3">
              <w:rPr>
                <w:color w:val="92D050"/>
              </w:rPr>
              <w:t xml:space="preserve"> Priority</w:t>
            </w:r>
          </w:p>
        </w:tc>
        <w:tc>
          <w:tcPr>
            <w:tcW w:w="1872" w:type="dxa"/>
            <w:tcBorders>
              <w:bottom w:val="single" w:sz="4" w:space="0" w:color="auto"/>
            </w:tcBorders>
          </w:tcPr>
          <w:p w:rsidR="00496CB7" w:rsidRPr="00B34334" w:rsidRDefault="00496CB7" w:rsidP="00663FF2">
            <w:pPr>
              <w:pStyle w:val="RecBodyText"/>
              <w:spacing w:after="0"/>
              <w:rPr>
                <w:b/>
              </w:rPr>
            </w:pPr>
            <w:r w:rsidRPr="00B34334">
              <w:rPr>
                <w:b/>
              </w:rPr>
              <w:t>Responsible Officer:</w:t>
            </w:r>
          </w:p>
        </w:tc>
        <w:tc>
          <w:tcPr>
            <w:tcW w:w="2297" w:type="dxa"/>
            <w:tcBorders>
              <w:bottom w:val="single" w:sz="4" w:space="0" w:color="auto"/>
              <w:right w:val="nil"/>
            </w:tcBorders>
            <w:shd w:val="clear" w:color="auto" w:fill="auto"/>
          </w:tcPr>
          <w:p w:rsidR="00496CB7" w:rsidRPr="00432F9D" w:rsidRDefault="00BE4380" w:rsidP="00F729C4">
            <w:pPr>
              <w:pStyle w:val="BodyText2"/>
              <w:spacing w:before="0" w:after="0"/>
              <w:ind w:left="0"/>
              <w:rPr>
                <w:rFonts w:cs="Arial"/>
              </w:rPr>
            </w:pPr>
            <w:r>
              <w:rPr>
                <w:rFonts w:cs="Arial"/>
              </w:rPr>
              <w:t>SSLEP Interim Partnership Manager</w:t>
            </w:r>
          </w:p>
        </w:tc>
      </w:tr>
      <w:tr w:rsidR="00496CB7" w:rsidRPr="00B34334" w:rsidTr="00663FF2">
        <w:trPr>
          <w:cantSplit/>
        </w:trPr>
        <w:tc>
          <w:tcPr>
            <w:tcW w:w="4892" w:type="dxa"/>
            <w:gridSpan w:val="2"/>
            <w:tcBorders>
              <w:left w:val="nil"/>
              <w:bottom w:val="nil"/>
            </w:tcBorders>
            <w:shd w:val="clear" w:color="auto" w:fill="auto"/>
          </w:tcPr>
          <w:p w:rsidR="00496CB7" w:rsidRPr="00B34334" w:rsidRDefault="00496CB7" w:rsidP="00663FF2">
            <w:pPr>
              <w:pStyle w:val="RecBodyText"/>
              <w:rPr>
                <w:b/>
              </w:rPr>
            </w:pPr>
            <w:r w:rsidRPr="00B34334">
              <w:rPr>
                <w:b/>
              </w:rPr>
              <w:t>Summary of Weakness:</w:t>
            </w:r>
          </w:p>
        </w:tc>
        <w:tc>
          <w:tcPr>
            <w:tcW w:w="4169" w:type="dxa"/>
            <w:gridSpan w:val="2"/>
            <w:tcBorders>
              <w:bottom w:val="nil"/>
              <w:right w:val="nil"/>
            </w:tcBorders>
            <w:shd w:val="clear" w:color="auto" w:fill="auto"/>
          </w:tcPr>
          <w:p w:rsidR="00496CB7" w:rsidRPr="00B34334" w:rsidRDefault="00496CB7" w:rsidP="00663FF2">
            <w:pPr>
              <w:pStyle w:val="RecBodyText"/>
              <w:rPr>
                <w:b/>
              </w:rPr>
            </w:pPr>
            <w:r w:rsidRPr="00B34334">
              <w:rPr>
                <w:b/>
              </w:rPr>
              <w:t>Agreed Actions:</w:t>
            </w:r>
          </w:p>
        </w:tc>
      </w:tr>
      <w:tr w:rsidR="00C71A7E" w:rsidRPr="00B34334" w:rsidTr="00663FF2">
        <w:trPr>
          <w:cantSplit/>
        </w:trPr>
        <w:tc>
          <w:tcPr>
            <w:tcW w:w="4892" w:type="dxa"/>
            <w:gridSpan w:val="2"/>
            <w:tcBorders>
              <w:top w:val="nil"/>
              <w:left w:val="nil"/>
              <w:bottom w:val="single" w:sz="4" w:space="0" w:color="auto"/>
            </w:tcBorders>
            <w:shd w:val="clear" w:color="auto" w:fill="auto"/>
          </w:tcPr>
          <w:p w:rsidR="00C71A7E" w:rsidRPr="009F25A0" w:rsidRDefault="00C71A7E" w:rsidP="00A5543D">
            <w:pPr>
              <w:pStyle w:val="RecBodyText"/>
              <w:rPr>
                <w:color w:val="000000"/>
              </w:rPr>
            </w:pPr>
            <w:r>
              <w:t>The SSLEP Framework does not include sufficient inclusion around Board succession planning</w:t>
            </w:r>
            <w:r w:rsidR="00A5543D">
              <w:t xml:space="preserve"> specifically how handover processes are managed and information is passed from the outgoing to successor member</w:t>
            </w:r>
          </w:p>
        </w:tc>
        <w:tc>
          <w:tcPr>
            <w:tcW w:w="4169" w:type="dxa"/>
            <w:gridSpan w:val="2"/>
            <w:tcBorders>
              <w:top w:val="nil"/>
              <w:bottom w:val="single" w:sz="4" w:space="0" w:color="auto"/>
              <w:right w:val="nil"/>
            </w:tcBorders>
            <w:shd w:val="clear" w:color="auto" w:fill="auto"/>
          </w:tcPr>
          <w:p w:rsidR="00C71A7E" w:rsidRPr="009F25A0" w:rsidRDefault="00BE4380" w:rsidP="00C71A7E">
            <w:pPr>
              <w:pStyle w:val="BodyText2"/>
              <w:spacing w:before="0"/>
              <w:ind w:left="0"/>
              <w:rPr>
                <w:rFonts w:cs="Arial"/>
                <w:color w:val="auto"/>
              </w:rPr>
            </w:pPr>
            <w:r>
              <w:rPr>
                <w:rFonts w:cs="Arial"/>
                <w:color w:val="auto"/>
              </w:rPr>
              <w:t>The SSLEP Assurance Framework will be updated to clarify the approach around succession planning.</w:t>
            </w:r>
          </w:p>
        </w:tc>
      </w:tr>
      <w:tr w:rsidR="00C71A7E" w:rsidRPr="00B34334" w:rsidTr="00663FF2">
        <w:trPr>
          <w:cantSplit/>
        </w:trPr>
        <w:tc>
          <w:tcPr>
            <w:tcW w:w="4892" w:type="dxa"/>
            <w:gridSpan w:val="2"/>
            <w:tcBorders>
              <w:left w:val="nil"/>
              <w:bottom w:val="nil"/>
            </w:tcBorders>
            <w:shd w:val="clear" w:color="auto" w:fill="auto"/>
          </w:tcPr>
          <w:p w:rsidR="00C71A7E" w:rsidRPr="00B34334" w:rsidRDefault="00C71A7E" w:rsidP="00C71A7E">
            <w:pPr>
              <w:pStyle w:val="RecBodyText"/>
              <w:rPr>
                <w:b/>
              </w:rPr>
            </w:pPr>
            <w:r w:rsidRPr="00B34334">
              <w:rPr>
                <w:b/>
              </w:rPr>
              <w:t>Suggested Action:</w:t>
            </w:r>
          </w:p>
        </w:tc>
        <w:tc>
          <w:tcPr>
            <w:tcW w:w="4169" w:type="dxa"/>
            <w:gridSpan w:val="2"/>
            <w:tcBorders>
              <w:bottom w:val="nil"/>
              <w:right w:val="nil"/>
            </w:tcBorders>
            <w:shd w:val="clear" w:color="auto" w:fill="auto"/>
          </w:tcPr>
          <w:p w:rsidR="00C71A7E" w:rsidRPr="0042061A" w:rsidRDefault="00C71A7E" w:rsidP="00C71A7E">
            <w:pPr>
              <w:pStyle w:val="RecBodyText"/>
              <w:rPr>
                <w:b/>
                <w:color w:val="auto"/>
              </w:rPr>
            </w:pPr>
            <w:r w:rsidRPr="0042061A">
              <w:rPr>
                <w:b/>
                <w:color w:val="auto"/>
              </w:rPr>
              <w:t>Implementation Date:</w:t>
            </w:r>
          </w:p>
        </w:tc>
      </w:tr>
      <w:tr w:rsidR="00C71A7E" w:rsidRPr="00B34334" w:rsidTr="00663FF2">
        <w:trPr>
          <w:cantSplit/>
        </w:trPr>
        <w:tc>
          <w:tcPr>
            <w:tcW w:w="4892" w:type="dxa"/>
            <w:gridSpan w:val="2"/>
            <w:tcBorders>
              <w:top w:val="nil"/>
              <w:left w:val="nil"/>
            </w:tcBorders>
            <w:shd w:val="clear" w:color="auto" w:fill="auto"/>
          </w:tcPr>
          <w:p w:rsidR="00C71A7E" w:rsidRPr="00C71350" w:rsidRDefault="00C71A7E" w:rsidP="00F657D1">
            <w:pPr>
              <w:pStyle w:val="RecBodyText"/>
            </w:pPr>
            <w:r>
              <w:t xml:space="preserve">To revise the SSLEP Assurance Framework document to ensure </w:t>
            </w:r>
            <w:r w:rsidR="00F657D1">
              <w:t xml:space="preserve">succession planning arrangements cover </w:t>
            </w:r>
            <w:r w:rsidR="00F657D1" w:rsidRPr="00600566">
              <w:rPr>
                <w:szCs w:val="22"/>
              </w:rPr>
              <w:t>narrative on when a resignation is notified, how knowledge and information is passed onto any successor or arrangements for a handover discussion</w:t>
            </w:r>
            <w:r w:rsidR="00F657D1">
              <w:rPr>
                <w:szCs w:val="22"/>
              </w:rPr>
              <w:t>.</w:t>
            </w:r>
          </w:p>
        </w:tc>
        <w:tc>
          <w:tcPr>
            <w:tcW w:w="4169" w:type="dxa"/>
            <w:gridSpan w:val="2"/>
            <w:tcBorders>
              <w:top w:val="nil"/>
              <w:right w:val="nil"/>
            </w:tcBorders>
            <w:shd w:val="clear" w:color="auto" w:fill="auto"/>
          </w:tcPr>
          <w:p w:rsidR="00C71A7E" w:rsidRPr="008A0B42" w:rsidRDefault="00BE4380" w:rsidP="00F729C4">
            <w:pPr>
              <w:pStyle w:val="BodyText2"/>
              <w:spacing w:before="0"/>
              <w:ind w:left="0"/>
              <w:rPr>
                <w:rFonts w:cs="Arial"/>
                <w:color w:val="auto"/>
              </w:rPr>
            </w:pPr>
            <w:r>
              <w:rPr>
                <w:rFonts w:cs="Arial"/>
                <w:color w:val="auto"/>
              </w:rPr>
              <w:t>3</w:t>
            </w:r>
            <w:r w:rsidR="009759B0">
              <w:rPr>
                <w:rFonts w:cs="Arial"/>
                <w:color w:val="auto"/>
              </w:rPr>
              <w:t>1st</w:t>
            </w:r>
            <w:r>
              <w:rPr>
                <w:rFonts w:cs="Arial"/>
                <w:color w:val="auto"/>
              </w:rPr>
              <w:t xml:space="preserve"> Ju</w:t>
            </w:r>
            <w:r w:rsidR="009759B0">
              <w:rPr>
                <w:rFonts w:cs="Arial"/>
                <w:color w:val="auto"/>
              </w:rPr>
              <w:t>ly</w:t>
            </w:r>
            <w:r>
              <w:rPr>
                <w:rFonts w:cs="Arial"/>
                <w:color w:val="auto"/>
              </w:rPr>
              <w:t xml:space="preserve"> 2019</w:t>
            </w:r>
          </w:p>
        </w:tc>
      </w:tr>
    </w:tbl>
    <w:p w:rsidR="00011B3E" w:rsidRPr="00A0223F" w:rsidRDefault="00011B3E" w:rsidP="00174E0F">
      <w:pPr>
        <w:pStyle w:val="BodyText"/>
        <w:numPr>
          <w:ilvl w:val="0"/>
          <w:numId w:val="0"/>
        </w:numPr>
        <w:ind w:firstLine="709"/>
        <w:rPr>
          <w:rFonts w:cs="Arial"/>
          <w:szCs w:val="22"/>
          <w:u w:val="single"/>
        </w:rPr>
      </w:pPr>
      <w:bookmarkStart w:id="25" w:name="_Toc8282376"/>
      <w:bookmarkStart w:id="26" w:name="_Toc8284310"/>
      <w:bookmarkStart w:id="27" w:name="_Toc8284360"/>
      <w:bookmarkStart w:id="28" w:name="_Toc8284849"/>
      <w:bookmarkStart w:id="29" w:name="_Toc8378385"/>
      <w:bookmarkStart w:id="30" w:name="_Toc8284311"/>
      <w:bookmarkStart w:id="31" w:name="_Toc8284361"/>
      <w:bookmarkStart w:id="32" w:name="_Toc8284850"/>
      <w:bookmarkStart w:id="33" w:name="_Toc8378386"/>
      <w:bookmarkStart w:id="34" w:name="_Toc8284312"/>
      <w:bookmarkStart w:id="35" w:name="_Toc8284362"/>
      <w:bookmarkStart w:id="36" w:name="_Toc8284851"/>
      <w:bookmarkStart w:id="37" w:name="_Toc8378387"/>
      <w:bookmarkStart w:id="38" w:name="_Toc8284313"/>
      <w:bookmarkStart w:id="39" w:name="_Toc8284363"/>
      <w:bookmarkStart w:id="40" w:name="_Toc828485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A0223F">
        <w:rPr>
          <w:u w:val="single"/>
        </w:rPr>
        <w:t xml:space="preserve">Requirement – </w:t>
      </w:r>
      <w:r w:rsidRPr="00A0223F">
        <w:rPr>
          <w:rFonts w:cs="Arial"/>
          <w:szCs w:val="22"/>
          <w:u w:val="single"/>
        </w:rPr>
        <w:t>Implement an induction process for Board members</w:t>
      </w:r>
    </w:p>
    <w:p w:rsidR="009D7033" w:rsidRPr="00BB3ED0" w:rsidRDefault="00174E0F" w:rsidP="00174E0F">
      <w:pPr>
        <w:pStyle w:val="Default"/>
        <w:ind w:left="709" w:hanging="709"/>
        <w:jc w:val="both"/>
        <w:rPr>
          <w:sz w:val="22"/>
          <w:szCs w:val="22"/>
        </w:rPr>
      </w:pPr>
      <w:r>
        <w:rPr>
          <w:color w:val="auto"/>
          <w:sz w:val="22"/>
          <w:szCs w:val="22"/>
        </w:rPr>
        <w:t>3.1.4.</w:t>
      </w:r>
      <w:r>
        <w:rPr>
          <w:color w:val="auto"/>
          <w:sz w:val="22"/>
          <w:szCs w:val="22"/>
        </w:rPr>
        <w:tab/>
      </w:r>
      <w:r w:rsidR="00C54AA6" w:rsidRPr="00BB3ED0">
        <w:rPr>
          <w:color w:val="auto"/>
          <w:sz w:val="22"/>
          <w:szCs w:val="22"/>
        </w:rPr>
        <w:t>The National Framework sets out the LEP’s a</w:t>
      </w:r>
      <w:r w:rsidR="009D7033" w:rsidRPr="00BB3ED0">
        <w:rPr>
          <w:color w:val="auto"/>
          <w:sz w:val="22"/>
          <w:szCs w:val="22"/>
        </w:rPr>
        <w:t>pproach to Board member induction (Paragraph 65 (j 81-82</w:t>
      </w:r>
      <w:r w:rsidR="00C54AA6" w:rsidRPr="00BB3ED0">
        <w:rPr>
          <w:color w:val="auto"/>
          <w:sz w:val="22"/>
          <w:szCs w:val="22"/>
        </w:rPr>
        <w:t xml:space="preserve">)). This should include </w:t>
      </w:r>
      <w:r w:rsidR="009D7033" w:rsidRPr="00BB3ED0">
        <w:rPr>
          <w:color w:val="auto"/>
          <w:sz w:val="22"/>
          <w:szCs w:val="22"/>
        </w:rPr>
        <w:t xml:space="preserve">details of how the LEP will implement an induction process for new members of the LEP Board and LEP Officers. The National Framework elaborates by stating </w:t>
      </w:r>
      <w:r w:rsidR="009D7033" w:rsidRPr="00BB3ED0">
        <w:rPr>
          <w:i/>
          <w:color w:val="auto"/>
          <w:sz w:val="22"/>
          <w:szCs w:val="22"/>
        </w:rPr>
        <w:t xml:space="preserve">‘LEPs should ensure that all Board Members and LEP Officers can access an induction and training programme. This will ensure that Board Members understand their role, are adequately supported to provide challenge and direction to their LEP and understand </w:t>
      </w:r>
      <w:r w:rsidR="009D7033" w:rsidRPr="00BB3ED0">
        <w:rPr>
          <w:i/>
          <w:sz w:val="22"/>
          <w:szCs w:val="22"/>
        </w:rPr>
        <w:t>how best to work with Government’</w:t>
      </w:r>
      <w:r w:rsidR="009D7033" w:rsidRPr="00BB3ED0">
        <w:rPr>
          <w:sz w:val="22"/>
          <w:szCs w:val="22"/>
        </w:rPr>
        <w:t xml:space="preserve">. It also confirms that any induction process should be completed within the first quarter of a Board member joining. </w:t>
      </w:r>
    </w:p>
    <w:p w:rsidR="00011B3E" w:rsidRPr="00D6282D" w:rsidRDefault="00011B3E" w:rsidP="00FB1E93">
      <w:pPr>
        <w:pStyle w:val="BodyText2"/>
        <w:numPr>
          <w:ilvl w:val="0"/>
          <w:numId w:val="1"/>
        </w:numPr>
        <w:ind w:left="709"/>
        <w:rPr>
          <w:rFonts w:cs="Arial"/>
          <w:szCs w:val="22"/>
          <w:u w:val="single"/>
        </w:rPr>
      </w:pPr>
      <w:r w:rsidRPr="00946996">
        <w:rPr>
          <w:szCs w:val="22"/>
        </w:rPr>
        <w:t>An induction programme is a structured way of providing new board members with all the information and support they need to be confident and productive in their role.</w:t>
      </w:r>
      <w:r>
        <w:rPr>
          <w:rFonts w:cs="Arial"/>
          <w:szCs w:val="22"/>
        </w:rPr>
        <w:t xml:space="preserve"> </w:t>
      </w:r>
      <w:r w:rsidR="00C54AA6">
        <w:rPr>
          <w:rFonts w:cs="Arial"/>
          <w:szCs w:val="22"/>
        </w:rPr>
        <w:t xml:space="preserve">The audit found that </w:t>
      </w:r>
      <w:r>
        <w:rPr>
          <w:rFonts w:cs="Arial"/>
          <w:szCs w:val="22"/>
        </w:rPr>
        <w:t xml:space="preserve">Framework includes </w:t>
      </w:r>
      <w:r w:rsidR="005304BB">
        <w:rPr>
          <w:rFonts w:cs="Arial"/>
          <w:szCs w:val="22"/>
        </w:rPr>
        <w:t xml:space="preserve">minimal </w:t>
      </w:r>
      <w:r>
        <w:rPr>
          <w:rFonts w:cs="Arial"/>
          <w:szCs w:val="22"/>
        </w:rPr>
        <w:t>references to</w:t>
      </w:r>
      <w:r w:rsidR="005304BB">
        <w:rPr>
          <w:rFonts w:cs="Arial"/>
          <w:szCs w:val="22"/>
        </w:rPr>
        <w:t xml:space="preserve"> specific</w:t>
      </w:r>
      <w:r>
        <w:rPr>
          <w:rFonts w:cs="Arial"/>
          <w:szCs w:val="22"/>
        </w:rPr>
        <w:t xml:space="preserve"> Board member</w:t>
      </w:r>
      <w:r w:rsidRPr="00FD032C">
        <w:rPr>
          <w:rFonts w:cs="Arial"/>
          <w:szCs w:val="22"/>
        </w:rPr>
        <w:t xml:space="preserve"> training and </w:t>
      </w:r>
      <w:r w:rsidR="005304BB">
        <w:rPr>
          <w:rFonts w:cs="Arial"/>
          <w:szCs w:val="22"/>
        </w:rPr>
        <w:t xml:space="preserve">protocols; additionally there is </w:t>
      </w:r>
      <w:r w:rsidRPr="00FD032C">
        <w:rPr>
          <w:rFonts w:cs="Arial"/>
          <w:szCs w:val="22"/>
        </w:rPr>
        <w:t>not a specific reference to the induction process</w:t>
      </w:r>
      <w:r>
        <w:rPr>
          <w:rFonts w:cs="Arial"/>
          <w:szCs w:val="22"/>
        </w:rPr>
        <w:t>. Typically this may include information on</w:t>
      </w:r>
      <w:r w:rsidR="005304BB">
        <w:rPr>
          <w:rFonts w:cs="Arial"/>
          <w:szCs w:val="22"/>
        </w:rPr>
        <w:t xml:space="preserve"> how the training programme can be accessed and what it </w:t>
      </w:r>
      <w:r w:rsidR="005304BB">
        <w:rPr>
          <w:rFonts w:cs="Arial"/>
          <w:szCs w:val="22"/>
        </w:rPr>
        <w:lastRenderedPageBreak/>
        <w:t>involves,</w:t>
      </w:r>
      <w:r>
        <w:rPr>
          <w:rFonts w:cs="Arial"/>
          <w:szCs w:val="22"/>
        </w:rPr>
        <w:t xml:space="preserve"> induction packs a new member receives including a summary of the Boards objectives and recent history, a nominated staff or Board member who can support with queries and explanation of requirements around ethical behaviour, conflicts of interest and claiming expenses.</w:t>
      </w:r>
    </w:p>
    <w:p w:rsidR="00D6282D" w:rsidRPr="00B1572B" w:rsidRDefault="00D6282D" w:rsidP="00FB1E93">
      <w:pPr>
        <w:pStyle w:val="BodyText2"/>
        <w:numPr>
          <w:ilvl w:val="0"/>
          <w:numId w:val="1"/>
        </w:numPr>
        <w:ind w:left="709"/>
        <w:rPr>
          <w:rFonts w:cs="Arial"/>
          <w:szCs w:val="22"/>
          <w:u w:val="single"/>
        </w:rPr>
      </w:pPr>
      <w:r>
        <w:rPr>
          <w:szCs w:val="22"/>
        </w:rPr>
        <w:t>The risk here is that if guidance notes are unclear on induction and training then new Board members may not be adequately supported leading to them contributing to the Board less effectively than otherwise possible.</w:t>
      </w:r>
    </w:p>
    <w:tbl>
      <w:tblPr>
        <w:tblStyle w:val="TableGrid"/>
        <w:tblW w:w="9061" w:type="dxa"/>
        <w:tblInd w:w="833" w:type="dxa"/>
        <w:tblLook w:val="05E0" w:firstRow="1" w:lastRow="1" w:firstColumn="1" w:lastColumn="1" w:noHBand="0" w:noVBand="1"/>
      </w:tblPr>
      <w:tblGrid>
        <w:gridCol w:w="1296"/>
        <w:gridCol w:w="3596"/>
        <w:gridCol w:w="1872"/>
        <w:gridCol w:w="2297"/>
      </w:tblGrid>
      <w:tr w:rsidR="00011B3E" w:rsidRPr="00B34334" w:rsidTr="00663FF2">
        <w:trPr>
          <w:cantSplit/>
        </w:trPr>
        <w:tc>
          <w:tcPr>
            <w:tcW w:w="4892" w:type="dxa"/>
            <w:gridSpan w:val="2"/>
            <w:shd w:val="clear" w:color="auto" w:fill="B58829"/>
          </w:tcPr>
          <w:p w:rsidR="00011B3E" w:rsidRPr="00B34334" w:rsidRDefault="00011B3E" w:rsidP="00663FF2">
            <w:pPr>
              <w:pStyle w:val="Heading3"/>
              <w:outlineLvl w:val="2"/>
            </w:pPr>
          </w:p>
        </w:tc>
        <w:tc>
          <w:tcPr>
            <w:tcW w:w="4169" w:type="dxa"/>
            <w:gridSpan w:val="2"/>
            <w:shd w:val="clear" w:color="auto" w:fill="B58829"/>
          </w:tcPr>
          <w:p w:rsidR="00011B3E" w:rsidRPr="00B34334" w:rsidRDefault="00011B3E" w:rsidP="00663FF2">
            <w:pPr>
              <w:pStyle w:val="BodyText2"/>
              <w:ind w:left="0"/>
              <w:rPr>
                <w:rFonts w:ascii="Arial Narrow" w:hAnsi="Arial Narrow"/>
                <w:b/>
                <w:color w:val="FFFFFF"/>
              </w:rPr>
            </w:pPr>
            <w:r w:rsidRPr="00B34334">
              <w:rPr>
                <w:rFonts w:ascii="Arial Narrow" w:hAnsi="Arial Narrow"/>
                <w:b/>
                <w:color w:val="FFFFFF"/>
              </w:rPr>
              <w:t>Summary Response</w:t>
            </w:r>
          </w:p>
        </w:tc>
      </w:tr>
      <w:tr w:rsidR="00011B3E" w:rsidRPr="00B34334" w:rsidTr="00663FF2">
        <w:trPr>
          <w:cantSplit/>
          <w:trHeight w:val="784"/>
        </w:trPr>
        <w:tc>
          <w:tcPr>
            <w:tcW w:w="1296" w:type="dxa"/>
            <w:tcBorders>
              <w:left w:val="nil"/>
              <w:bottom w:val="single" w:sz="4" w:space="0" w:color="auto"/>
            </w:tcBorders>
            <w:shd w:val="clear" w:color="auto" w:fill="auto"/>
          </w:tcPr>
          <w:p w:rsidR="00011B3E" w:rsidRPr="00B34334" w:rsidRDefault="00011B3E" w:rsidP="00663FF2">
            <w:pPr>
              <w:pStyle w:val="RecBodyText"/>
              <w:spacing w:after="0"/>
              <w:rPr>
                <w:b/>
              </w:rPr>
            </w:pPr>
            <w:r w:rsidRPr="00B34334">
              <w:rPr>
                <w:b/>
              </w:rPr>
              <w:t>Risk Rating:</w:t>
            </w:r>
          </w:p>
        </w:tc>
        <w:tc>
          <w:tcPr>
            <w:tcW w:w="3596" w:type="dxa"/>
            <w:tcBorders>
              <w:bottom w:val="single" w:sz="4" w:space="0" w:color="auto"/>
            </w:tcBorders>
            <w:vAlign w:val="center"/>
          </w:tcPr>
          <w:p w:rsidR="00011B3E" w:rsidRPr="00B34334" w:rsidRDefault="00BE32D3" w:rsidP="00663FF2">
            <w:pPr>
              <w:pStyle w:val="RecBodyText"/>
              <w:spacing w:after="0"/>
              <w:jc w:val="left"/>
              <w:rPr>
                <w:color w:val="006600"/>
              </w:rPr>
            </w:pPr>
            <w:r w:rsidRPr="00BE32D3">
              <w:rPr>
                <w:color w:val="92D050"/>
              </w:rPr>
              <w:t>Low</w:t>
            </w:r>
            <w:r w:rsidR="00011B3E" w:rsidRPr="00BE32D3">
              <w:rPr>
                <w:color w:val="92D050"/>
              </w:rPr>
              <w:t xml:space="preserve"> Priority</w:t>
            </w:r>
          </w:p>
        </w:tc>
        <w:tc>
          <w:tcPr>
            <w:tcW w:w="1872" w:type="dxa"/>
            <w:tcBorders>
              <w:bottom w:val="single" w:sz="4" w:space="0" w:color="auto"/>
            </w:tcBorders>
          </w:tcPr>
          <w:p w:rsidR="00011B3E" w:rsidRPr="00B34334" w:rsidRDefault="00011B3E" w:rsidP="00663FF2">
            <w:pPr>
              <w:pStyle w:val="RecBodyText"/>
              <w:spacing w:after="0"/>
              <w:rPr>
                <w:b/>
              </w:rPr>
            </w:pPr>
            <w:r w:rsidRPr="00B34334">
              <w:rPr>
                <w:b/>
              </w:rPr>
              <w:t>Responsible Officer:</w:t>
            </w:r>
          </w:p>
        </w:tc>
        <w:tc>
          <w:tcPr>
            <w:tcW w:w="2297" w:type="dxa"/>
            <w:tcBorders>
              <w:bottom w:val="single" w:sz="4" w:space="0" w:color="auto"/>
              <w:right w:val="nil"/>
            </w:tcBorders>
            <w:shd w:val="clear" w:color="auto" w:fill="auto"/>
          </w:tcPr>
          <w:p w:rsidR="00011B3E" w:rsidRPr="00432F9D" w:rsidRDefault="00BE4380" w:rsidP="00663FF2">
            <w:pPr>
              <w:pStyle w:val="BodyText2"/>
              <w:spacing w:before="0" w:after="0"/>
              <w:ind w:left="0"/>
              <w:rPr>
                <w:rFonts w:cs="Arial"/>
              </w:rPr>
            </w:pPr>
            <w:r>
              <w:rPr>
                <w:rFonts w:cs="Arial"/>
              </w:rPr>
              <w:t>SSLEP Interim Partnership Manager</w:t>
            </w:r>
          </w:p>
        </w:tc>
      </w:tr>
      <w:tr w:rsidR="00C71A7E" w:rsidRPr="00B34334" w:rsidTr="00663FF2">
        <w:trPr>
          <w:cantSplit/>
        </w:trPr>
        <w:tc>
          <w:tcPr>
            <w:tcW w:w="4892" w:type="dxa"/>
            <w:gridSpan w:val="2"/>
            <w:tcBorders>
              <w:left w:val="nil"/>
              <w:bottom w:val="nil"/>
            </w:tcBorders>
            <w:shd w:val="clear" w:color="auto" w:fill="auto"/>
          </w:tcPr>
          <w:p w:rsidR="00C71A7E" w:rsidRPr="00B34334" w:rsidRDefault="00C71A7E" w:rsidP="00C71A7E">
            <w:pPr>
              <w:pStyle w:val="RecBodyText"/>
              <w:rPr>
                <w:b/>
              </w:rPr>
            </w:pPr>
            <w:r w:rsidRPr="00B34334">
              <w:rPr>
                <w:b/>
              </w:rPr>
              <w:t>Summary of Weakness:</w:t>
            </w:r>
          </w:p>
        </w:tc>
        <w:tc>
          <w:tcPr>
            <w:tcW w:w="4169" w:type="dxa"/>
            <w:gridSpan w:val="2"/>
            <w:tcBorders>
              <w:bottom w:val="nil"/>
              <w:right w:val="nil"/>
            </w:tcBorders>
            <w:shd w:val="clear" w:color="auto" w:fill="auto"/>
          </w:tcPr>
          <w:p w:rsidR="00C71A7E" w:rsidRPr="00B34334" w:rsidRDefault="00C71A7E" w:rsidP="00C71A7E">
            <w:pPr>
              <w:pStyle w:val="RecBodyText"/>
              <w:rPr>
                <w:b/>
              </w:rPr>
            </w:pPr>
            <w:r w:rsidRPr="00B34334">
              <w:rPr>
                <w:b/>
              </w:rPr>
              <w:t>Agreed Actions:</w:t>
            </w:r>
          </w:p>
        </w:tc>
      </w:tr>
      <w:tr w:rsidR="00C71A7E" w:rsidRPr="00B34334" w:rsidTr="00663FF2">
        <w:trPr>
          <w:cantSplit/>
        </w:trPr>
        <w:tc>
          <w:tcPr>
            <w:tcW w:w="4892" w:type="dxa"/>
            <w:gridSpan w:val="2"/>
            <w:tcBorders>
              <w:top w:val="nil"/>
              <w:left w:val="nil"/>
              <w:bottom w:val="single" w:sz="4" w:space="0" w:color="auto"/>
            </w:tcBorders>
            <w:shd w:val="clear" w:color="auto" w:fill="auto"/>
          </w:tcPr>
          <w:p w:rsidR="00C71A7E" w:rsidRPr="009F25A0" w:rsidRDefault="00C71A7E" w:rsidP="00A5543D">
            <w:pPr>
              <w:pStyle w:val="RecBodyText"/>
              <w:rPr>
                <w:color w:val="000000"/>
              </w:rPr>
            </w:pPr>
            <w:r>
              <w:t xml:space="preserve">The SSLEP Framework does not include sufficient inclusion around Board </w:t>
            </w:r>
            <w:r w:rsidR="00A5543D">
              <w:t xml:space="preserve">training and </w:t>
            </w:r>
            <w:r w:rsidR="002838A2">
              <w:t>induction process</w:t>
            </w:r>
            <w:r>
              <w:t xml:space="preserve"> </w:t>
            </w:r>
            <w:r w:rsidR="00A5543D">
              <w:t>specifically how the process works, what is included in an induction pack, what minimum levels of training are required and a time period within which it must all be completed</w:t>
            </w:r>
          </w:p>
        </w:tc>
        <w:tc>
          <w:tcPr>
            <w:tcW w:w="4169" w:type="dxa"/>
            <w:gridSpan w:val="2"/>
            <w:tcBorders>
              <w:top w:val="nil"/>
              <w:bottom w:val="single" w:sz="4" w:space="0" w:color="auto"/>
              <w:right w:val="nil"/>
            </w:tcBorders>
            <w:shd w:val="clear" w:color="auto" w:fill="auto"/>
          </w:tcPr>
          <w:p w:rsidR="00C71A7E" w:rsidRPr="009F25A0" w:rsidRDefault="00BE4380" w:rsidP="00C71A7E">
            <w:pPr>
              <w:pStyle w:val="BodyText2"/>
              <w:spacing w:before="0"/>
              <w:ind w:left="0"/>
              <w:rPr>
                <w:rFonts w:cs="Arial"/>
                <w:color w:val="auto"/>
              </w:rPr>
            </w:pPr>
            <w:r>
              <w:rPr>
                <w:rFonts w:cs="Arial"/>
                <w:color w:val="auto"/>
              </w:rPr>
              <w:t>A review of the current induction progress is in progress and the assurance framework will be updated when this is completed.</w:t>
            </w:r>
          </w:p>
        </w:tc>
      </w:tr>
      <w:tr w:rsidR="00C71A7E" w:rsidRPr="00B34334" w:rsidTr="00663FF2">
        <w:trPr>
          <w:cantSplit/>
        </w:trPr>
        <w:tc>
          <w:tcPr>
            <w:tcW w:w="4892" w:type="dxa"/>
            <w:gridSpan w:val="2"/>
            <w:tcBorders>
              <w:left w:val="nil"/>
              <w:bottom w:val="nil"/>
            </w:tcBorders>
            <w:shd w:val="clear" w:color="auto" w:fill="auto"/>
          </w:tcPr>
          <w:p w:rsidR="00C71A7E" w:rsidRPr="00B34334" w:rsidRDefault="00C71A7E" w:rsidP="00C71A7E">
            <w:pPr>
              <w:pStyle w:val="RecBodyText"/>
              <w:rPr>
                <w:b/>
              </w:rPr>
            </w:pPr>
            <w:r w:rsidRPr="00B34334">
              <w:rPr>
                <w:b/>
              </w:rPr>
              <w:t>Suggested Action:</w:t>
            </w:r>
          </w:p>
        </w:tc>
        <w:tc>
          <w:tcPr>
            <w:tcW w:w="4169" w:type="dxa"/>
            <w:gridSpan w:val="2"/>
            <w:tcBorders>
              <w:bottom w:val="nil"/>
              <w:right w:val="nil"/>
            </w:tcBorders>
            <w:shd w:val="clear" w:color="auto" w:fill="auto"/>
          </w:tcPr>
          <w:p w:rsidR="00C71A7E" w:rsidRPr="0042061A" w:rsidRDefault="00C71A7E" w:rsidP="00C71A7E">
            <w:pPr>
              <w:pStyle w:val="RecBodyText"/>
              <w:rPr>
                <w:b/>
                <w:color w:val="auto"/>
              </w:rPr>
            </w:pPr>
            <w:r w:rsidRPr="0042061A">
              <w:rPr>
                <w:b/>
                <w:color w:val="auto"/>
              </w:rPr>
              <w:t>Implementation Date:</w:t>
            </w:r>
          </w:p>
        </w:tc>
      </w:tr>
      <w:tr w:rsidR="00C71A7E" w:rsidRPr="00B34334" w:rsidTr="00663FF2">
        <w:trPr>
          <w:cantSplit/>
        </w:trPr>
        <w:tc>
          <w:tcPr>
            <w:tcW w:w="4892" w:type="dxa"/>
            <w:gridSpan w:val="2"/>
            <w:tcBorders>
              <w:top w:val="nil"/>
              <w:left w:val="nil"/>
            </w:tcBorders>
            <w:shd w:val="clear" w:color="auto" w:fill="auto"/>
          </w:tcPr>
          <w:p w:rsidR="00C71A7E" w:rsidRPr="00C71350" w:rsidRDefault="00C71A7E" w:rsidP="00A0223F">
            <w:pPr>
              <w:pStyle w:val="RecBodyText"/>
            </w:pPr>
            <w:r>
              <w:t>To revise the SSLEP A</w:t>
            </w:r>
            <w:r w:rsidR="005304BB">
              <w:t xml:space="preserve">ssurance Framework document to include </w:t>
            </w:r>
            <w:r w:rsidR="0083487B">
              <w:t>specific narrative around Board member training and induction specifically covering how and when induction packs are provided and what they will cover. The packs should cover the Boards objectives, the Local Assurance Framework, requirements around conflicts and ethical behaviour, claiming expenses and what training is available as a minimum</w:t>
            </w:r>
            <w:r w:rsidR="00A5543D">
              <w:t>. It should also be clarified that the induction pack training must be documented as complete within the first quarter of joining</w:t>
            </w:r>
          </w:p>
        </w:tc>
        <w:tc>
          <w:tcPr>
            <w:tcW w:w="4169" w:type="dxa"/>
            <w:gridSpan w:val="2"/>
            <w:tcBorders>
              <w:top w:val="nil"/>
              <w:right w:val="nil"/>
            </w:tcBorders>
            <w:shd w:val="clear" w:color="auto" w:fill="auto"/>
          </w:tcPr>
          <w:p w:rsidR="00C71A7E" w:rsidRPr="008A0B42" w:rsidRDefault="00BE4380" w:rsidP="00A0223F">
            <w:pPr>
              <w:pStyle w:val="BodyText2"/>
              <w:spacing w:before="0"/>
              <w:ind w:left="0"/>
              <w:rPr>
                <w:rFonts w:cs="Arial"/>
                <w:color w:val="auto"/>
              </w:rPr>
            </w:pPr>
            <w:r>
              <w:rPr>
                <w:rFonts w:cs="Arial"/>
                <w:color w:val="auto"/>
              </w:rPr>
              <w:t>31</w:t>
            </w:r>
            <w:r w:rsidRPr="00554B54">
              <w:rPr>
                <w:rFonts w:cs="Arial"/>
                <w:color w:val="auto"/>
                <w:vertAlign w:val="superscript"/>
              </w:rPr>
              <w:t>st</w:t>
            </w:r>
            <w:r>
              <w:rPr>
                <w:rFonts w:cs="Arial"/>
                <w:color w:val="auto"/>
              </w:rPr>
              <w:t xml:space="preserve"> July 2019</w:t>
            </w:r>
          </w:p>
        </w:tc>
      </w:tr>
    </w:tbl>
    <w:p w:rsidR="00011B3E" w:rsidRPr="00A0223F" w:rsidRDefault="00011B3E" w:rsidP="00174E0F">
      <w:pPr>
        <w:pStyle w:val="BodyText"/>
        <w:numPr>
          <w:ilvl w:val="0"/>
          <w:numId w:val="0"/>
        </w:numPr>
        <w:ind w:firstLine="709"/>
        <w:rPr>
          <w:rFonts w:cs="Arial"/>
          <w:szCs w:val="22"/>
          <w:u w:val="single"/>
        </w:rPr>
      </w:pPr>
      <w:bookmarkStart w:id="41" w:name="_Toc8282383"/>
      <w:bookmarkStart w:id="42" w:name="_Toc8284314"/>
      <w:bookmarkStart w:id="43" w:name="_Toc8284364"/>
      <w:bookmarkStart w:id="44" w:name="_Toc8284853"/>
      <w:bookmarkStart w:id="45" w:name="_Toc8378389"/>
      <w:bookmarkStart w:id="46" w:name="_Toc8284315"/>
      <w:bookmarkStart w:id="47" w:name="_Toc8284365"/>
      <w:bookmarkStart w:id="48" w:name="_Toc8284854"/>
      <w:bookmarkStart w:id="49" w:name="_Toc8378390"/>
      <w:bookmarkStart w:id="50" w:name="_Toc8284316"/>
      <w:bookmarkStart w:id="51" w:name="_Toc8284366"/>
      <w:bookmarkStart w:id="52" w:name="_Toc8284855"/>
      <w:bookmarkStart w:id="53" w:name="_Toc8378391"/>
      <w:bookmarkStart w:id="54" w:name="_Toc8284317"/>
      <w:bookmarkStart w:id="55" w:name="_Toc8284367"/>
      <w:bookmarkStart w:id="56" w:name="_Toc8284856"/>
      <w:bookmarkStart w:id="57" w:name="_Toc837839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A0223F">
        <w:rPr>
          <w:rFonts w:cs="Arial"/>
          <w:szCs w:val="22"/>
          <w:u w:val="single"/>
        </w:rPr>
        <w:t>Requirement – Outline how the independent secretariat will function</w:t>
      </w:r>
    </w:p>
    <w:p w:rsidR="009D7033" w:rsidRPr="00BB3ED0" w:rsidRDefault="00174E0F" w:rsidP="00174E0F">
      <w:pPr>
        <w:pStyle w:val="Default"/>
        <w:ind w:left="709" w:hanging="709"/>
        <w:jc w:val="both"/>
        <w:rPr>
          <w:color w:val="auto"/>
          <w:sz w:val="22"/>
          <w:szCs w:val="22"/>
        </w:rPr>
      </w:pPr>
      <w:r>
        <w:rPr>
          <w:color w:val="auto"/>
          <w:sz w:val="22"/>
          <w:szCs w:val="22"/>
        </w:rPr>
        <w:t>3.1.5.</w:t>
      </w:r>
      <w:r>
        <w:rPr>
          <w:color w:val="auto"/>
          <w:sz w:val="22"/>
          <w:szCs w:val="22"/>
        </w:rPr>
        <w:tab/>
      </w:r>
      <w:r w:rsidR="009D7033" w:rsidRPr="00BB3ED0">
        <w:rPr>
          <w:color w:val="auto"/>
          <w:sz w:val="22"/>
          <w:szCs w:val="22"/>
        </w:rPr>
        <w:t>The National Framework sets out the LEP’s approach to the independent role of the secretariat (Paragraph 134-135). It states the LEP requires an independent secretariat.  The LEP should be able to draw on impartial advice for all Board Members; regardless of their organisational background</w:t>
      </w:r>
      <w:r w:rsidR="009D7033" w:rsidRPr="00BB3ED0">
        <w:rPr>
          <w:b/>
          <w:bCs/>
          <w:color w:val="auto"/>
          <w:sz w:val="22"/>
          <w:szCs w:val="22"/>
        </w:rPr>
        <w:t xml:space="preserve">. </w:t>
      </w:r>
    </w:p>
    <w:p w:rsidR="009D7033" w:rsidRPr="00BB3ED0" w:rsidRDefault="009D7033" w:rsidP="00FB1E93">
      <w:pPr>
        <w:pStyle w:val="TableParagraph"/>
        <w:numPr>
          <w:ilvl w:val="0"/>
          <w:numId w:val="1"/>
        </w:numPr>
        <w:ind w:left="709"/>
        <w:jc w:val="both"/>
        <w:rPr>
          <w:rFonts w:eastAsia="Times New Roman" w:cs="Times New Roman"/>
          <w:lang w:eastAsia="en-US"/>
        </w:rPr>
      </w:pPr>
    </w:p>
    <w:p w:rsidR="00011B3E" w:rsidRPr="00BB3ED0" w:rsidRDefault="00011B3E" w:rsidP="00FB1E93">
      <w:pPr>
        <w:pStyle w:val="TableParagraph"/>
        <w:numPr>
          <w:ilvl w:val="0"/>
          <w:numId w:val="1"/>
        </w:numPr>
        <w:ind w:left="709"/>
        <w:jc w:val="both"/>
        <w:rPr>
          <w:rFonts w:eastAsia="Times New Roman" w:cs="Times New Roman"/>
          <w:lang w:eastAsia="en-US"/>
        </w:rPr>
      </w:pPr>
      <w:r w:rsidRPr="00BB3ED0">
        <w:rPr>
          <w:rFonts w:eastAsia="Times New Roman" w:cs="Times New Roman"/>
          <w:lang w:eastAsia="en-US"/>
        </w:rPr>
        <w:t xml:space="preserve">The Framework refers to the secretariat throughout and their role and which meetings they will be appointed to however, a specific mention to confirm that they are independent and not a member of the particular Group they support cannot be seen.  This is expected to be finalised at the June </w:t>
      </w:r>
      <w:r w:rsidR="00A91830" w:rsidRPr="00BB3ED0">
        <w:rPr>
          <w:rFonts w:eastAsia="Times New Roman" w:cs="Times New Roman"/>
          <w:lang w:eastAsia="en-US"/>
        </w:rPr>
        <w:t xml:space="preserve">2019 </w:t>
      </w:r>
      <w:r w:rsidRPr="00BB3ED0">
        <w:rPr>
          <w:rFonts w:eastAsia="Times New Roman" w:cs="Times New Roman"/>
          <w:lang w:eastAsia="en-US"/>
        </w:rPr>
        <w:t>LEP Board Meeting after which the Framework will be updated.</w:t>
      </w:r>
    </w:p>
    <w:p w:rsidR="00825FB9" w:rsidRPr="00BB3ED0" w:rsidRDefault="00825FB9" w:rsidP="00FB1E93">
      <w:pPr>
        <w:pStyle w:val="TableParagraph"/>
        <w:jc w:val="both"/>
        <w:rPr>
          <w:rFonts w:eastAsia="Times New Roman" w:cs="Times New Roman"/>
          <w:lang w:eastAsia="en-US"/>
        </w:rPr>
      </w:pPr>
    </w:p>
    <w:p w:rsidR="00825FB9" w:rsidRPr="00BB3ED0" w:rsidRDefault="00825FB9" w:rsidP="00FB1E93">
      <w:pPr>
        <w:pStyle w:val="TableParagraph"/>
        <w:ind w:left="709"/>
        <w:jc w:val="both"/>
        <w:rPr>
          <w:rFonts w:eastAsia="Times New Roman" w:cs="Times New Roman"/>
          <w:lang w:eastAsia="en-US"/>
        </w:rPr>
      </w:pPr>
      <w:r w:rsidRPr="00BB3ED0">
        <w:rPr>
          <w:rFonts w:eastAsia="Times New Roman" w:cs="Times New Roman"/>
          <w:lang w:eastAsia="en-US"/>
        </w:rPr>
        <w:t>The risk here is that if the Local Assurance Framework does be specific about the independent role and how this is maintained it could undermine the confidence in the impartial support and advice given by the role.</w:t>
      </w:r>
    </w:p>
    <w:p w:rsidR="00A91830" w:rsidRDefault="00A91830" w:rsidP="00011B3E">
      <w:pPr>
        <w:pStyle w:val="TableParagraph"/>
        <w:numPr>
          <w:ilvl w:val="0"/>
          <w:numId w:val="1"/>
        </w:numPr>
        <w:ind w:left="709"/>
        <w:rPr>
          <w:rFonts w:eastAsia="Times New Roman" w:cs="Times New Roman"/>
          <w:color w:val="000000" w:themeColor="text1"/>
          <w:lang w:eastAsia="en-US"/>
        </w:rPr>
      </w:pPr>
    </w:p>
    <w:tbl>
      <w:tblPr>
        <w:tblStyle w:val="TableGrid"/>
        <w:tblW w:w="9061" w:type="dxa"/>
        <w:tblInd w:w="833" w:type="dxa"/>
        <w:tblLook w:val="05E0" w:firstRow="1" w:lastRow="1" w:firstColumn="1" w:lastColumn="1" w:noHBand="0" w:noVBand="1"/>
      </w:tblPr>
      <w:tblGrid>
        <w:gridCol w:w="1296"/>
        <w:gridCol w:w="3596"/>
        <w:gridCol w:w="1872"/>
        <w:gridCol w:w="2297"/>
      </w:tblGrid>
      <w:tr w:rsidR="00011B3E" w:rsidRPr="00B34334" w:rsidTr="00663FF2">
        <w:trPr>
          <w:cantSplit/>
        </w:trPr>
        <w:tc>
          <w:tcPr>
            <w:tcW w:w="4892" w:type="dxa"/>
            <w:gridSpan w:val="2"/>
            <w:shd w:val="clear" w:color="auto" w:fill="B58829"/>
          </w:tcPr>
          <w:p w:rsidR="00011B3E" w:rsidRPr="00B34334" w:rsidRDefault="00011B3E" w:rsidP="00663FF2">
            <w:pPr>
              <w:pStyle w:val="Heading3"/>
              <w:outlineLvl w:val="2"/>
            </w:pPr>
          </w:p>
        </w:tc>
        <w:tc>
          <w:tcPr>
            <w:tcW w:w="4169" w:type="dxa"/>
            <w:gridSpan w:val="2"/>
            <w:shd w:val="clear" w:color="auto" w:fill="B58829"/>
          </w:tcPr>
          <w:p w:rsidR="00011B3E" w:rsidRPr="00B34334" w:rsidRDefault="00011B3E" w:rsidP="00663FF2">
            <w:pPr>
              <w:pStyle w:val="BodyText2"/>
              <w:ind w:left="0"/>
              <w:rPr>
                <w:rFonts w:ascii="Arial Narrow" w:hAnsi="Arial Narrow"/>
                <w:b/>
                <w:color w:val="FFFFFF"/>
              </w:rPr>
            </w:pPr>
            <w:r w:rsidRPr="00B34334">
              <w:rPr>
                <w:rFonts w:ascii="Arial Narrow" w:hAnsi="Arial Narrow"/>
                <w:b/>
                <w:color w:val="FFFFFF"/>
              </w:rPr>
              <w:t>Summary Response</w:t>
            </w:r>
          </w:p>
        </w:tc>
      </w:tr>
      <w:tr w:rsidR="00011B3E" w:rsidRPr="00B34334" w:rsidTr="00663FF2">
        <w:trPr>
          <w:cantSplit/>
          <w:trHeight w:val="784"/>
        </w:trPr>
        <w:tc>
          <w:tcPr>
            <w:tcW w:w="1296" w:type="dxa"/>
            <w:tcBorders>
              <w:left w:val="nil"/>
              <w:bottom w:val="single" w:sz="4" w:space="0" w:color="auto"/>
            </w:tcBorders>
            <w:shd w:val="clear" w:color="auto" w:fill="auto"/>
          </w:tcPr>
          <w:p w:rsidR="00011B3E" w:rsidRPr="00B34334" w:rsidRDefault="00011B3E" w:rsidP="00663FF2">
            <w:pPr>
              <w:pStyle w:val="RecBodyText"/>
              <w:spacing w:after="0"/>
              <w:rPr>
                <w:b/>
              </w:rPr>
            </w:pPr>
            <w:r w:rsidRPr="00B34334">
              <w:rPr>
                <w:b/>
              </w:rPr>
              <w:t>Risk Rating:</w:t>
            </w:r>
          </w:p>
        </w:tc>
        <w:tc>
          <w:tcPr>
            <w:tcW w:w="3596" w:type="dxa"/>
            <w:tcBorders>
              <w:bottom w:val="single" w:sz="4" w:space="0" w:color="auto"/>
            </w:tcBorders>
            <w:vAlign w:val="center"/>
          </w:tcPr>
          <w:p w:rsidR="00011B3E" w:rsidRPr="00B34334" w:rsidRDefault="00BE32D3" w:rsidP="00663FF2">
            <w:pPr>
              <w:pStyle w:val="RecBodyText"/>
              <w:spacing w:after="0"/>
              <w:jc w:val="left"/>
              <w:rPr>
                <w:color w:val="006600"/>
              </w:rPr>
            </w:pPr>
            <w:r w:rsidRPr="00BE32D3">
              <w:rPr>
                <w:color w:val="92D050"/>
              </w:rPr>
              <w:t>Low</w:t>
            </w:r>
            <w:r w:rsidR="00011B3E" w:rsidRPr="00BE32D3">
              <w:rPr>
                <w:color w:val="92D050"/>
              </w:rPr>
              <w:t xml:space="preserve"> Priority</w:t>
            </w:r>
          </w:p>
        </w:tc>
        <w:tc>
          <w:tcPr>
            <w:tcW w:w="1872" w:type="dxa"/>
            <w:tcBorders>
              <w:bottom w:val="single" w:sz="4" w:space="0" w:color="auto"/>
            </w:tcBorders>
          </w:tcPr>
          <w:p w:rsidR="00011B3E" w:rsidRPr="00B34334" w:rsidRDefault="00011B3E" w:rsidP="00663FF2">
            <w:pPr>
              <w:pStyle w:val="RecBodyText"/>
              <w:spacing w:after="0"/>
              <w:rPr>
                <w:b/>
              </w:rPr>
            </w:pPr>
            <w:r w:rsidRPr="00B34334">
              <w:rPr>
                <w:b/>
              </w:rPr>
              <w:t>Responsible Officer:</w:t>
            </w:r>
          </w:p>
        </w:tc>
        <w:tc>
          <w:tcPr>
            <w:tcW w:w="2297" w:type="dxa"/>
            <w:tcBorders>
              <w:bottom w:val="single" w:sz="4" w:space="0" w:color="auto"/>
              <w:right w:val="nil"/>
            </w:tcBorders>
            <w:shd w:val="clear" w:color="auto" w:fill="auto"/>
          </w:tcPr>
          <w:p w:rsidR="00011B3E" w:rsidRDefault="00011B3E" w:rsidP="00663FF2">
            <w:pPr>
              <w:pStyle w:val="BodyText2"/>
              <w:spacing w:before="0" w:after="0"/>
              <w:ind w:left="0"/>
              <w:rPr>
                <w:rFonts w:cs="Arial"/>
              </w:rPr>
            </w:pPr>
          </w:p>
          <w:p w:rsidR="00011B3E" w:rsidRPr="00432F9D" w:rsidRDefault="00BE4380" w:rsidP="00663FF2">
            <w:pPr>
              <w:pStyle w:val="BodyText2"/>
              <w:spacing w:before="0" w:after="0"/>
              <w:ind w:left="0"/>
              <w:rPr>
                <w:rFonts w:cs="Arial"/>
              </w:rPr>
            </w:pPr>
            <w:r>
              <w:rPr>
                <w:rFonts w:cs="Arial"/>
              </w:rPr>
              <w:t>SSLEP Interim Partnership Manager</w:t>
            </w:r>
          </w:p>
        </w:tc>
      </w:tr>
      <w:tr w:rsidR="002838A2" w:rsidRPr="00B34334" w:rsidTr="00663FF2">
        <w:trPr>
          <w:cantSplit/>
        </w:trPr>
        <w:tc>
          <w:tcPr>
            <w:tcW w:w="4892" w:type="dxa"/>
            <w:gridSpan w:val="2"/>
            <w:tcBorders>
              <w:left w:val="nil"/>
              <w:bottom w:val="nil"/>
            </w:tcBorders>
            <w:shd w:val="clear" w:color="auto" w:fill="auto"/>
          </w:tcPr>
          <w:p w:rsidR="002838A2" w:rsidRPr="00B34334" w:rsidRDefault="002838A2" w:rsidP="002838A2">
            <w:pPr>
              <w:pStyle w:val="RecBodyText"/>
              <w:rPr>
                <w:b/>
              </w:rPr>
            </w:pPr>
            <w:r w:rsidRPr="00B34334">
              <w:rPr>
                <w:b/>
              </w:rPr>
              <w:t>Summary of Weakness:</w:t>
            </w:r>
          </w:p>
        </w:tc>
        <w:tc>
          <w:tcPr>
            <w:tcW w:w="4169" w:type="dxa"/>
            <w:gridSpan w:val="2"/>
            <w:tcBorders>
              <w:bottom w:val="nil"/>
              <w:right w:val="nil"/>
            </w:tcBorders>
            <w:shd w:val="clear" w:color="auto" w:fill="auto"/>
          </w:tcPr>
          <w:p w:rsidR="002838A2" w:rsidRPr="00B34334" w:rsidRDefault="002838A2" w:rsidP="002838A2">
            <w:pPr>
              <w:pStyle w:val="RecBodyText"/>
              <w:rPr>
                <w:b/>
              </w:rPr>
            </w:pPr>
            <w:r w:rsidRPr="00B34334">
              <w:rPr>
                <w:b/>
              </w:rPr>
              <w:t>Agreed Actions:</w:t>
            </w:r>
          </w:p>
        </w:tc>
      </w:tr>
      <w:tr w:rsidR="002838A2" w:rsidRPr="00B34334" w:rsidTr="00663FF2">
        <w:trPr>
          <w:cantSplit/>
        </w:trPr>
        <w:tc>
          <w:tcPr>
            <w:tcW w:w="4892" w:type="dxa"/>
            <w:gridSpan w:val="2"/>
            <w:tcBorders>
              <w:top w:val="nil"/>
              <w:left w:val="nil"/>
              <w:bottom w:val="single" w:sz="4" w:space="0" w:color="auto"/>
            </w:tcBorders>
            <w:shd w:val="clear" w:color="auto" w:fill="auto"/>
          </w:tcPr>
          <w:p w:rsidR="002838A2" w:rsidRPr="009F25A0" w:rsidRDefault="002838A2" w:rsidP="00E84CCF">
            <w:pPr>
              <w:pStyle w:val="RecBodyText"/>
              <w:rPr>
                <w:color w:val="000000"/>
              </w:rPr>
            </w:pPr>
            <w:r>
              <w:t xml:space="preserve">The SSLEP Framework does not </w:t>
            </w:r>
            <w:r w:rsidR="00E84CCF">
              <w:t>confirm how the role of an</w:t>
            </w:r>
            <w:r>
              <w:t xml:space="preserve"> independent secretariat </w:t>
            </w:r>
            <w:r w:rsidR="00E84CCF">
              <w:t>is approved and maintained</w:t>
            </w:r>
          </w:p>
        </w:tc>
        <w:tc>
          <w:tcPr>
            <w:tcW w:w="4169" w:type="dxa"/>
            <w:gridSpan w:val="2"/>
            <w:tcBorders>
              <w:top w:val="nil"/>
              <w:bottom w:val="single" w:sz="4" w:space="0" w:color="auto"/>
              <w:right w:val="nil"/>
            </w:tcBorders>
            <w:shd w:val="clear" w:color="auto" w:fill="auto"/>
          </w:tcPr>
          <w:p w:rsidR="002838A2" w:rsidRPr="009F25A0" w:rsidRDefault="00BE4380" w:rsidP="002838A2">
            <w:pPr>
              <w:pStyle w:val="BodyText2"/>
              <w:spacing w:before="0"/>
              <w:ind w:left="0"/>
              <w:rPr>
                <w:rFonts w:cs="Arial"/>
                <w:color w:val="auto"/>
              </w:rPr>
            </w:pPr>
            <w:r>
              <w:rPr>
                <w:rFonts w:cs="Arial"/>
                <w:color w:val="auto"/>
              </w:rPr>
              <w:t>The structure of the Secretariat is currently being reviewed and will be approved by the Executive Board. The SSLEP Assurance framework will be updated to clarify the issue raised</w:t>
            </w:r>
          </w:p>
        </w:tc>
      </w:tr>
      <w:tr w:rsidR="002838A2" w:rsidRPr="00B34334" w:rsidTr="00663FF2">
        <w:trPr>
          <w:cantSplit/>
        </w:trPr>
        <w:tc>
          <w:tcPr>
            <w:tcW w:w="4892" w:type="dxa"/>
            <w:gridSpan w:val="2"/>
            <w:tcBorders>
              <w:left w:val="nil"/>
              <w:bottom w:val="nil"/>
            </w:tcBorders>
            <w:shd w:val="clear" w:color="auto" w:fill="auto"/>
          </w:tcPr>
          <w:p w:rsidR="002838A2" w:rsidRPr="00B34334" w:rsidRDefault="002838A2" w:rsidP="002838A2">
            <w:pPr>
              <w:pStyle w:val="RecBodyText"/>
              <w:rPr>
                <w:b/>
              </w:rPr>
            </w:pPr>
            <w:r w:rsidRPr="00B34334">
              <w:rPr>
                <w:b/>
              </w:rPr>
              <w:t>Suggested Action:</w:t>
            </w:r>
          </w:p>
        </w:tc>
        <w:tc>
          <w:tcPr>
            <w:tcW w:w="4169" w:type="dxa"/>
            <w:gridSpan w:val="2"/>
            <w:tcBorders>
              <w:bottom w:val="nil"/>
              <w:right w:val="nil"/>
            </w:tcBorders>
            <w:shd w:val="clear" w:color="auto" w:fill="auto"/>
          </w:tcPr>
          <w:p w:rsidR="002838A2" w:rsidRPr="0042061A" w:rsidRDefault="002838A2" w:rsidP="002838A2">
            <w:pPr>
              <w:pStyle w:val="RecBodyText"/>
              <w:rPr>
                <w:b/>
                <w:color w:val="auto"/>
              </w:rPr>
            </w:pPr>
            <w:r w:rsidRPr="0042061A">
              <w:rPr>
                <w:b/>
                <w:color w:val="auto"/>
              </w:rPr>
              <w:t>Implementation Date:</w:t>
            </w:r>
          </w:p>
        </w:tc>
      </w:tr>
      <w:tr w:rsidR="002838A2" w:rsidRPr="00B34334" w:rsidTr="00663FF2">
        <w:trPr>
          <w:cantSplit/>
        </w:trPr>
        <w:tc>
          <w:tcPr>
            <w:tcW w:w="4892" w:type="dxa"/>
            <w:gridSpan w:val="2"/>
            <w:tcBorders>
              <w:top w:val="nil"/>
              <w:left w:val="nil"/>
            </w:tcBorders>
            <w:shd w:val="clear" w:color="auto" w:fill="auto"/>
          </w:tcPr>
          <w:p w:rsidR="002838A2" w:rsidRPr="00C71350" w:rsidRDefault="002838A2" w:rsidP="00A0223F">
            <w:pPr>
              <w:pStyle w:val="RecBodyText"/>
            </w:pPr>
            <w:r>
              <w:t>To revise the SSLEP Assuranc</w:t>
            </w:r>
            <w:r w:rsidR="00825FB9">
              <w:t>e Framework document to ensure it specifically states the role of the secretariat is independent and how this is achieved and maintained</w:t>
            </w:r>
          </w:p>
        </w:tc>
        <w:tc>
          <w:tcPr>
            <w:tcW w:w="4169" w:type="dxa"/>
            <w:gridSpan w:val="2"/>
            <w:tcBorders>
              <w:top w:val="nil"/>
              <w:right w:val="nil"/>
            </w:tcBorders>
            <w:shd w:val="clear" w:color="auto" w:fill="auto"/>
          </w:tcPr>
          <w:p w:rsidR="002838A2" w:rsidRPr="008A0B42" w:rsidRDefault="00BE4380" w:rsidP="00A0223F">
            <w:pPr>
              <w:pStyle w:val="BodyText2"/>
              <w:spacing w:before="0"/>
              <w:ind w:left="0"/>
              <w:rPr>
                <w:rFonts w:cs="Arial"/>
                <w:color w:val="auto"/>
              </w:rPr>
            </w:pPr>
            <w:r>
              <w:rPr>
                <w:rFonts w:cs="Arial"/>
                <w:color w:val="auto"/>
              </w:rPr>
              <w:t>31</w:t>
            </w:r>
            <w:r w:rsidRPr="00554B54">
              <w:rPr>
                <w:rFonts w:cs="Arial"/>
                <w:color w:val="auto"/>
                <w:vertAlign w:val="superscript"/>
              </w:rPr>
              <w:t>st</w:t>
            </w:r>
            <w:r>
              <w:rPr>
                <w:rFonts w:cs="Arial"/>
                <w:color w:val="auto"/>
              </w:rPr>
              <w:t xml:space="preserve"> July 2019</w:t>
            </w:r>
          </w:p>
        </w:tc>
      </w:tr>
    </w:tbl>
    <w:p w:rsidR="00174E0F" w:rsidRPr="00174E0F" w:rsidRDefault="00A0223F" w:rsidP="00174E0F">
      <w:pPr>
        <w:pStyle w:val="BodyText"/>
        <w:numPr>
          <w:ilvl w:val="0"/>
          <w:numId w:val="0"/>
        </w:numPr>
        <w:ind w:left="709"/>
        <w:rPr>
          <w:i/>
          <w:u w:val="single"/>
        </w:rPr>
      </w:pPr>
      <w:bookmarkStart w:id="58" w:name="_Toc8282391"/>
      <w:bookmarkStart w:id="59" w:name="_Toc8284318"/>
      <w:bookmarkStart w:id="60" w:name="_Toc8284368"/>
      <w:bookmarkStart w:id="61" w:name="_Toc8284857"/>
      <w:bookmarkStart w:id="62" w:name="_Toc8378393"/>
      <w:bookmarkStart w:id="63" w:name="_Toc8284319"/>
      <w:bookmarkStart w:id="64" w:name="_Toc8284369"/>
      <w:bookmarkStart w:id="65" w:name="_Toc8284858"/>
      <w:bookmarkStart w:id="66" w:name="_Toc8378394"/>
      <w:bookmarkStart w:id="67" w:name="_Toc8284320"/>
      <w:bookmarkStart w:id="68" w:name="_Toc8284370"/>
      <w:bookmarkStart w:id="69" w:name="_Toc8284859"/>
      <w:bookmarkStart w:id="70" w:name="_Toc8378395"/>
      <w:bookmarkStart w:id="71" w:name="_Toc8284321"/>
      <w:bookmarkStart w:id="72" w:name="_Toc8284371"/>
      <w:bookmarkStart w:id="73" w:name="_Toc8284860"/>
      <w:bookmarkStart w:id="74" w:name="_Toc837839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A0223F">
        <w:rPr>
          <w:u w:val="single"/>
        </w:rPr>
        <w:t>Requirement – Information on the LEP’s  decision making procedures, including the arrangements for ensuring decisions are taken at meetings which are quorate.</w:t>
      </w:r>
    </w:p>
    <w:p w:rsidR="00C54AA6" w:rsidRPr="00174E0F" w:rsidRDefault="00174E0F" w:rsidP="00174E0F">
      <w:pPr>
        <w:pStyle w:val="BodyText"/>
        <w:numPr>
          <w:ilvl w:val="0"/>
          <w:numId w:val="0"/>
        </w:numPr>
        <w:ind w:left="709" w:hanging="709"/>
        <w:rPr>
          <w:i/>
          <w:u w:val="single"/>
        </w:rPr>
      </w:pPr>
      <w:r>
        <w:rPr>
          <w:color w:val="auto"/>
          <w:szCs w:val="22"/>
        </w:rPr>
        <w:t>3.1.6.</w:t>
      </w:r>
      <w:r>
        <w:rPr>
          <w:color w:val="auto"/>
          <w:szCs w:val="22"/>
        </w:rPr>
        <w:tab/>
      </w:r>
      <w:r w:rsidR="00C54AA6" w:rsidRPr="00174E0F">
        <w:rPr>
          <w:color w:val="auto"/>
          <w:szCs w:val="22"/>
        </w:rPr>
        <w:t>The National Framework sets out the LEP’s appro</w:t>
      </w:r>
      <w:r w:rsidR="00A91830" w:rsidRPr="00174E0F">
        <w:rPr>
          <w:color w:val="auto"/>
          <w:szCs w:val="22"/>
        </w:rPr>
        <w:t>ach to quorate meetings (Paragraph 147</w:t>
      </w:r>
      <w:r w:rsidR="00C54AA6" w:rsidRPr="00174E0F">
        <w:rPr>
          <w:color w:val="auto"/>
          <w:szCs w:val="22"/>
        </w:rPr>
        <w:t xml:space="preserve"> (d)). This should include a description </w:t>
      </w:r>
      <w:r w:rsidR="00A91830" w:rsidRPr="00174E0F">
        <w:rPr>
          <w:color w:val="auto"/>
          <w:szCs w:val="22"/>
        </w:rPr>
        <w:t>on the LEP’s decision making procedures, including their arrangements for ensuring that decisions are taken at meetings which are quorate. Furthermore, information on the number of Board Members and the breakdown of those Members (private or public sector Board Members) that are required to be present at meetings to ensure that a meeting is quorate.</w:t>
      </w:r>
    </w:p>
    <w:p w:rsidR="00C54AA6" w:rsidRPr="00BB3ED0" w:rsidRDefault="00C54AA6" w:rsidP="00FB1E93">
      <w:pPr>
        <w:pStyle w:val="TableParagraph"/>
        <w:numPr>
          <w:ilvl w:val="0"/>
          <w:numId w:val="1"/>
        </w:numPr>
        <w:ind w:left="709"/>
        <w:jc w:val="both"/>
        <w:rPr>
          <w:rFonts w:eastAsia="Times New Roman" w:cs="Times New Roman"/>
          <w:lang w:eastAsia="en-US"/>
        </w:rPr>
      </w:pPr>
    </w:p>
    <w:p w:rsidR="00011B3E" w:rsidRPr="00BB3ED0" w:rsidRDefault="00C54AA6" w:rsidP="00FB1E93">
      <w:pPr>
        <w:pStyle w:val="TableParagraph"/>
        <w:numPr>
          <w:ilvl w:val="0"/>
          <w:numId w:val="1"/>
        </w:numPr>
        <w:ind w:left="709"/>
        <w:jc w:val="both"/>
        <w:rPr>
          <w:rFonts w:eastAsia="Times New Roman" w:cs="Times New Roman"/>
          <w:lang w:eastAsia="en-US"/>
        </w:rPr>
      </w:pPr>
      <w:r w:rsidRPr="00BB3ED0">
        <w:rPr>
          <w:rFonts w:eastAsia="Times New Roman" w:cs="Times New Roman"/>
          <w:lang w:eastAsia="en-US"/>
        </w:rPr>
        <w:t>The audit found that t</w:t>
      </w:r>
      <w:r w:rsidR="00011B3E" w:rsidRPr="00BB3ED0">
        <w:rPr>
          <w:rFonts w:eastAsia="Times New Roman" w:cs="Times New Roman"/>
          <w:lang w:eastAsia="en-US"/>
        </w:rPr>
        <w:t>he Framework sets out arrangements for the LEP Board in terms of quorate levels</w:t>
      </w:r>
      <w:r w:rsidR="00CF4515" w:rsidRPr="00BB3ED0">
        <w:rPr>
          <w:rFonts w:eastAsia="Times New Roman" w:cs="Times New Roman"/>
          <w:lang w:eastAsia="en-US"/>
        </w:rPr>
        <w:t xml:space="preserve"> (note 2.3.6)</w:t>
      </w:r>
      <w:r w:rsidR="00011B3E" w:rsidRPr="00BB3ED0">
        <w:rPr>
          <w:rFonts w:eastAsia="Times New Roman" w:cs="Times New Roman"/>
          <w:lang w:eastAsia="en-US"/>
        </w:rPr>
        <w:t xml:space="preserve"> needed in order to make decisions.  </w:t>
      </w:r>
      <w:r w:rsidRPr="00BB3ED0">
        <w:rPr>
          <w:rFonts w:eastAsia="Times New Roman" w:cs="Times New Roman"/>
          <w:lang w:eastAsia="en-US"/>
        </w:rPr>
        <w:t>However, t</w:t>
      </w:r>
      <w:r w:rsidR="00011B3E" w:rsidRPr="00BB3ED0">
        <w:rPr>
          <w:rFonts w:eastAsia="Times New Roman" w:cs="Times New Roman"/>
          <w:lang w:eastAsia="en-US"/>
        </w:rPr>
        <w:t>he Framework does not set out quorate levels for the six sub-groups to the Board as they are not decision making meetings.</w:t>
      </w:r>
    </w:p>
    <w:p w:rsidR="00011B3E" w:rsidRPr="00BB3ED0" w:rsidRDefault="00011B3E" w:rsidP="00FB1E93">
      <w:pPr>
        <w:pStyle w:val="TableParagraph"/>
        <w:numPr>
          <w:ilvl w:val="0"/>
          <w:numId w:val="1"/>
        </w:numPr>
        <w:ind w:left="709"/>
        <w:jc w:val="both"/>
        <w:rPr>
          <w:rFonts w:eastAsia="Times New Roman" w:cs="Times New Roman"/>
          <w:lang w:eastAsia="en-US"/>
        </w:rPr>
      </w:pPr>
    </w:p>
    <w:p w:rsidR="00011B3E" w:rsidRDefault="00011B3E" w:rsidP="00FB1E93">
      <w:pPr>
        <w:pStyle w:val="TableParagraph"/>
        <w:numPr>
          <w:ilvl w:val="0"/>
          <w:numId w:val="1"/>
        </w:numPr>
        <w:ind w:left="709"/>
        <w:jc w:val="both"/>
        <w:rPr>
          <w:rFonts w:eastAsia="Times New Roman" w:cs="Times New Roman"/>
          <w:color w:val="000000" w:themeColor="text1"/>
          <w:lang w:eastAsia="en-US"/>
        </w:rPr>
      </w:pPr>
      <w:r w:rsidRPr="00BB3ED0">
        <w:rPr>
          <w:rFonts w:eastAsia="Times New Roman" w:cs="Times New Roman"/>
          <w:lang w:eastAsia="en-US"/>
        </w:rPr>
        <w:t>This point is more of note in that the sub-groups remits are under review in the coming months which could result in changes and if necessary the Framework should then be updated to include information on quorate levels for decisions made.</w:t>
      </w:r>
      <w:r w:rsidR="00CF4515" w:rsidRPr="00BB3ED0">
        <w:rPr>
          <w:rFonts w:eastAsia="Times New Roman" w:cs="Times New Roman"/>
          <w:lang w:eastAsia="en-US"/>
        </w:rPr>
        <w:t xml:space="preserve">  The risk here is that decisions in sub-groups may be made at inconsistent </w:t>
      </w:r>
      <w:r w:rsidR="00CF4515">
        <w:rPr>
          <w:rFonts w:eastAsia="Times New Roman" w:cs="Times New Roman"/>
          <w:color w:val="000000" w:themeColor="text1"/>
          <w:lang w:eastAsia="en-US"/>
        </w:rPr>
        <w:t>quorate levels undermining the collective responsibility and effectiveness of decisions.</w:t>
      </w:r>
    </w:p>
    <w:p w:rsidR="00174E0F" w:rsidRDefault="00174E0F" w:rsidP="00174E0F">
      <w:pPr>
        <w:pStyle w:val="ListParagraph"/>
        <w:rPr>
          <w:lang w:eastAsia="en-US"/>
        </w:rPr>
      </w:pPr>
    </w:p>
    <w:p w:rsidR="00174E0F" w:rsidRDefault="00174E0F" w:rsidP="00FB1E93">
      <w:pPr>
        <w:pStyle w:val="TableParagraph"/>
        <w:numPr>
          <w:ilvl w:val="0"/>
          <w:numId w:val="1"/>
        </w:numPr>
        <w:ind w:left="709"/>
        <w:jc w:val="both"/>
        <w:rPr>
          <w:rFonts w:eastAsia="Times New Roman" w:cs="Times New Roman"/>
          <w:color w:val="000000" w:themeColor="text1"/>
          <w:lang w:eastAsia="en-US"/>
        </w:rPr>
      </w:pPr>
    </w:p>
    <w:tbl>
      <w:tblPr>
        <w:tblStyle w:val="TableGrid"/>
        <w:tblW w:w="9061" w:type="dxa"/>
        <w:tblInd w:w="833" w:type="dxa"/>
        <w:tblLook w:val="05E0" w:firstRow="1" w:lastRow="1" w:firstColumn="1" w:lastColumn="1" w:noHBand="0" w:noVBand="1"/>
      </w:tblPr>
      <w:tblGrid>
        <w:gridCol w:w="1296"/>
        <w:gridCol w:w="3596"/>
        <w:gridCol w:w="1872"/>
        <w:gridCol w:w="2297"/>
      </w:tblGrid>
      <w:tr w:rsidR="00011B3E" w:rsidRPr="00B34334" w:rsidTr="00663FF2">
        <w:trPr>
          <w:cantSplit/>
        </w:trPr>
        <w:tc>
          <w:tcPr>
            <w:tcW w:w="4892" w:type="dxa"/>
            <w:gridSpan w:val="2"/>
            <w:shd w:val="clear" w:color="auto" w:fill="B58829"/>
          </w:tcPr>
          <w:p w:rsidR="00011B3E" w:rsidRPr="00B34334" w:rsidRDefault="00011B3E" w:rsidP="00663FF2">
            <w:pPr>
              <w:pStyle w:val="Heading3"/>
              <w:outlineLvl w:val="2"/>
            </w:pPr>
          </w:p>
        </w:tc>
        <w:tc>
          <w:tcPr>
            <w:tcW w:w="4169" w:type="dxa"/>
            <w:gridSpan w:val="2"/>
            <w:shd w:val="clear" w:color="auto" w:fill="B58829"/>
          </w:tcPr>
          <w:p w:rsidR="00011B3E" w:rsidRPr="00B34334" w:rsidRDefault="00011B3E" w:rsidP="00663FF2">
            <w:pPr>
              <w:pStyle w:val="BodyText2"/>
              <w:ind w:left="0"/>
              <w:rPr>
                <w:rFonts w:ascii="Arial Narrow" w:hAnsi="Arial Narrow"/>
                <w:b/>
                <w:color w:val="FFFFFF"/>
              </w:rPr>
            </w:pPr>
            <w:r w:rsidRPr="00B34334">
              <w:rPr>
                <w:rFonts w:ascii="Arial Narrow" w:hAnsi="Arial Narrow"/>
                <w:b/>
                <w:color w:val="FFFFFF"/>
              </w:rPr>
              <w:t>Summary Response</w:t>
            </w:r>
          </w:p>
        </w:tc>
      </w:tr>
      <w:tr w:rsidR="00011B3E" w:rsidRPr="00B34334" w:rsidTr="00174E0F">
        <w:trPr>
          <w:cantSplit/>
          <w:trHeight w:val="534"/>
        </w:trPr>
        <w:tc>
          <w:tcPr>
            <w:tcW w:w="1296" w:type="dxa"/>
            <w:tcBorders>
              <w:left w:val="nil"/>
              <w:bottom w:val="single" w:sz="4" w:space="0" w:color="auto"/>
            </w:tcBorders>
            <w:shd w:val="clear" w:color="auto" w:fill="auto"/>
          </w:tcPr>
          <w:p w:rsidR="00011B3E" w:rsidRPr="00B34334" w:rsidRDefault="00011B3E" w:rsidP="00174E0F">
            <w:pPr>
              <w:pStyle w:val="RecBodyText"/>
              <w:spacing w:after="0"/>
              <w:rPr>
                <w:b/>
              </w:rPr>
            </w:pPr>
            <w:r w:rsidRPr="00B34334">
              <w:rPr>
                <w:b/>
              </w:rPr>
              <w:t>Risk Rating:</w:t>
            </w:r>
          </w:p>
        </w:tc>
        <w:tc>
          <w:tcPr>
            <w:tcW w:w="3596" w:type="dxa"/>
            <w:tcBorders>
              <w:bottom w:val="single" w:sz="4" w:space="0" w:color="auto"/>
            </w:tcBorders>
            <w:vAlign w:val="center"/>
          </w:tcPr>
          <w:p w:rsidR="00011B3E" w:rsidRPr="00B34334" w:rsidRDefault="00BE32D3" w:rsidP="00174E0F">
            <w:pPr>
              <w:pStyle w:val="RecBodyText"/>
              <w:spacing w:after="0"/>
              <w:jc w:val="left"/>
              <w:rPr>
                <w:color w:val="006600"/>
              </w:rPr>
            </w:pPr>
            <w:r w:rsidRPr="00BE32D3">
              <w:rPr>
                <w:color w:val="92D050"/>
              </w:rPr>
              <w:t>Low</w:t>
            </w:r>
            <w:r w:rsidR="00011B3E" w:rsidRPr="00BE32D3">
              <w:rPr>
                <w:color w:val="92D050"/>
              </w:rPr>
              <w:t xml:space="preserve"> Priority</w:t>
            </w:r>
          </w:p>
        </w:tc>
        <w:tc>
          <w:tcPr>
            <w:tcW w:w="1872" w:type="dxa"/>
            <w:tcBorders>
              <w:bottom w:val="single" w:sz="4" w:space="0" w:color="auto"/>
            </w:tcBorders>
          </w:tcPr>
          <w:p w:rsidR="00011B3E" w:rsidRPr="00B34334" w:rsidRDefault="00011B3E" w:rsidP="00663FF2">
            <w:pPr>
              <w:pStyle w:val="RecBodyText"/>
              <w:spacing w:after="0"/>
              <w:rPr>
                <w:b/>
              </w:rPr>
            </w:pPr>
            <w:r w:rsidRPr="00B34334">
              <w:rPr>
                <w:b/>
              </w:rPr>
              <w:t>Responsible Officer:</w:t>
            </w:r>
          </w:p>
        </w:tc>
        <w:tc>
          <w:tcPr>
            <w:tcW w:w="2297" w:type="dxa"/>
            <w:tcBorders>
              <w:bottom w:val="single" w:sz="4" w:space="0" w:color="auto"/>
              <w:right w:val="nil"/>
            </w:tcBorders>
            <w:shd w:val="clear" w:color="auto" w:fill="auto"/>
          </w:tcPr>
          <w:p w:rsidR="00011B3E" w:rsidRPr="00432F9D" w:rsidRDefault="00BE4380" w:rsidP="00174E0F">
            <w:pPr>
              <w:pStyle w:val="BodyText2"/>
              <w:spacing w:before="0" w:after="0"/>
              <w:ind w:left="0"/>
              <w:rPr>
                <w:rFonts w:cs="Arial"/>
              </w:rPr>
            </w:pPr>
            <w:r>
              <w:rPr>
                <w:rFonts w:cs="Arial"/>
              </w:rPr>
              <w:t>SSLEP Interim Partnership Manager</w:t>
            </w:r>
          </w:p>
        </w:tc>
      </w:tr>
      <w:tr w:rsidR="002838A2" w:rsidRPr="00B34334" w:rsidTr="00663FF2">
        <w:trPr>
          <w:cantSplit/>
        </w:trPr>
        <w:tc>
          <w:tcPr>
            <w:tcW w:w="4892" w:type="dxa"/>
            <w:gridSpan w:val="2"/>
            <w:tcBorders>
              <w:left w:val="nil"/>
              <w:bottom w:val="nil"/>
            </w:tcBorders>
            <w:shd w:val="clear" w:color="auto" w:fill="auto"/>
          </w:tcPr>
          <w:p w:rsidR="002838A2" w:rsidRPr="00B34334" w:rsidRDefault="002838A2" w:rsidP="002838A2">
            <w:pPr>
              <w:pStyle w:val="RecBodyText"/>
              <w:rPr>
                <w:b/>
              </w:rPr>
            </w:pPr>
            <w:r w:rsidRPr="00B34334">
              <w:rPr>
                <w:b/>
              </w:rPr>
              <w:t>Summary of Weakness:</w:t>
            </w:r>
          </w:p>
        </w:tc>
        <w:tc>
          <w:tcPr>
            <w:tcW w:w="4169" w:type="dxa"/>
            <w:gridSpan w:val="2"/>
            <w:tcBorders>
              <w:bottom w:val="nil"/>
              <w:right w:val="nil"/>
            </w:tcBorders>
            <w:shd w:val="clear" w:color="auto" w:fill="auto"/>
          </w:tcPr>
          <w:p w:rsidR="002838A2" w:rsidRPr="00B34334" w:rsidRDefault="002838A2" w:rsidP="002838A2">
            <w:pPr>
              <w:pStyle w:val="RecBodyText"/>
              <w:rPr>
                <w:b/>
              </w:rPr>
            </w:pPr>
            <w:r w:rsidRPr="00B34334">
              <w:rPr>
                <w:b/>
              </w:rPr>
              <w:t>Agreed Actions:</w:t>
            </w:r>
          </w:p>
        </w:tc>
      </w:tr>
      <w:tr w:rsidR="002838A2" w:rsidRPr="00B34334" w:rsidTr="00663FF2">
        <w:trPr>
          <w:cantSplit/>
        </w:trPr>
        <w:tc>
          <w:tcPr>
            <w:tcW w:w="4892" w:type="dxa"/>
            <w:gridSpan w:val="2"/>
            <w:tcBorders>
              <w:top w:val="nil"/>
              <w:left w:val="nil"/>
              <w:bottom w:val="single" w:sz="4" w:space="0" w:color="auto"/>
            </w:tcBorders>
            <w:shd w:val="clear" w:color="auto" w:fill="auto"/>
          </w:tcPr>
          <w:p w:rsidR="002838A2" w:rsidRPr="009F25A0" w:rsidRDefault="002838A2" w:rsidP="00041910">
            <w:pPr>
              <w:pStyle w:val="RecBodyText"/>
              <w:rPr>
                <w:color w:val="000000"/>
              </w:rPr>
            </w:pPr>
            <w:r>
              <w:t xml:space="preserve">The SSLEP Framework does not include </w:t>
            </w:r>
            <w:r w:rsidR="00041910">
              <w:t xml:space="preserve">information around </w:t>
            </w:r>
            <w:r>
              <w:t xml:space="preserve"> </w:t>
            </w:r>
            <w:r w:rsidR="00041910">
              <w:t>Board sub-group quorate levels</w:t>
            </w:r>
          </w:p>
        </w:tc>
        <w:tc>
          <w:tcPr>
            <w:tcW w:w="4169" w:type="dxa"/>
            <w:gridSpan w:val="2"/>
            <w:tcBorders>
              <w:top w:val="nil"/>
              <w:bottom w:val="single" w:sz="4" w:space="0" w:color="auto"/>
              <w:right w:val="nil"/>
            </w:tcBorders>
            <w:shd w:val="clear" w:color="auto" w:fill="auto"/>
          </w:tcPr>
          <w:p w:rsidR="002838A2" w:rsidRPr="009F25A0" w:rsidRDefault="00BE4380" w:rsidP="002838A2">
            <w:pPr>
              <w:pStyle w:val="BodyText2"/>
              <w:spacing w:before="0"/>
              <w:ind w:left="0"/>
              <w:rPr>
                <w:rFonts w:cs="Arial"/>
                <w:color w:val="auto"/>
              </w:rPr>
            </w:pPr>
            <w:r>
              <w:rPr>
                <w:rFonts w:cs="Arial"/>
                <w:color w:val="auto"/>
              </w:rPr>
              <w:t>The current assurance framework reflects current practice where all decisions are made by the Executive Board, and hence there are no requirements for quorate levels at sub groups. The scheme of delegation is however being revised which may change this approach, and if so the Assurance framework will be updated accordingly.</w:t>
            </w:r>
          </w:p>
        </w:tc>
      </w:tr>
      <w:tr w:rsidR="002838A2" w:rsidRPr="00B34334" w:rsidTr="00663FF2">
        <w:trPr>
          <w:cantSplit/>
        </w:trPr>
        <w:tc>
          <w:tcPr>
            <w:tcW w:w="4892" w:type="dxa"/>
            <w:gridSpan w:val="2"/>
            <w:tcBorders>
              <w:left w:val="nil"/>
              <w:bottom w:val="nil"/>
            </w:tcBorders>
            <w:shd w:val="clear" w:color="auto" w:fill="auto"/>
          </w:tcPr>
          <w:p w:rsidR="002838A2" w:rsidRPr="00B34334" w:rsidRDefault="002838A2" w:rsidP="002838A2">
            <w:pPr>
              <w:pStyle w:val="RecBodyText"/>
              <w:rPr>
                <w:b/>
              </w:rPr>
            </w:pPr>
            <w:r w:rsidRPr="00B34334">
              <w:rPr>
                <w:b/>
              </w:rPr>
              <w:t>Suggested Action:</w:t>
            </w:r>
          </w:p>
        </w:tc>
        <w:tc>
          <w:tcPr>
            <w:tcW w:w="4169" w:type="dxa"/>
            <w:gridSpan w:val="2"/>
            <w:tcBorders>
              <w:bottom w:val="nil"/>
              <w:right w:val="nil"/>
            </w:tcBorders>
            <w:shd w:val="clear" w:color="auto" w:fill="auto"/>
          </w:tcPr>
          <w:p w:rsidR="002838A2" w:rsidRPr="0042061A" w:rsidRDefault="002838A2" w:rsidP="002838A2">
            <w:pPr>
              <w:pStyle w:val="RecBodyText"/>
              <w:rPr>
                <w:b/>
                <w:color w:val="auto"/>
              </w:rPr>
            </w:pPr>
            <w:r w:rsidRPr="0042061A">
              <w:rPr>
                <w:b/>
                <w:color w:val="auto"/>
              </w:rPr>
              <w:t>Implementation Date:</w:t>
            </w:r>
          </w:p>
        </w:tc>
      </w:tr>
      <w:tr w:rsidR="002838A2" w:rsidRPr="00B34334" w:rsidTr="00663FF2">
        <w:trPr>
          <w:cantSplit/>
        </w:trPr>
        <w:tc>
          <w:tcPr>
            <w:tcW w:w="4892" w:type="dxa"/>
            <w:gridSpan w:val="2"/>
            <w:tcBorders>
              <w:top w:val="nil"/>
              <w:left w:val="nil"/>
            </w:tcBorders>
            <w:shd w:val="clear" w:color="auto" w:fill="auto"/>
          </w:tcPr>
          <w:p w:rsidR="002838A2" w:rsidRPr="00C71350" w:rsidRDefault="002838A2" w:rsidP="00174E0F">
            <w:pPr>
              <w:pStyle w:val="RecBodyText"/>
            </w:pPr>
            <w:r>
              <w:t>To revise the SSLEP Assurance Framework document to</w:t>
            </w:r>
            <w:r w:rsidR="00CF4515">
              <w:t xml:space="preserve"> specify </w:t>
            </w:r>
            <w:r w:rsidR="00056AD8">
              <w:t>the quorate levels required for sub-groups of the Board</w:t>
            </w:r>
            <w:r w:rsidR="00CF4515">
              <w:t xml:space="preserve"> </w:t>
            </w:r>
          </w:p>
        </w:tc>
        <w:tc>
          <w:tcPr>
            <w:tcW w:w="4169" w:type="dxa"/>
            <w:gridSpan w:val="2"/>
            <w:tcBorders>
              <w:top w:val="nil"/>
              <w:right w:val="nil"/>
            </w:tcBorders>
            <w:shd w:val="clear" w:color="auto" w:fill="auto"/>
          </w:tcPr>
          <w:p w:rsidR="002838A2" w:rsidRPr="008A0B42" w:rsidRDefault="00BE4380" w:rsidP="00174E0F">
            <w:pPr>
              <w:pStyle w:val="BodyText2"/>
              <w:spacing w:before="0"/>
              <w:ind w:left="0"/>
              <w:rPr>
                <w:rFonts w:cs="Arial"/>
                <w:color w:val="auto"/>
              </w:rPr>
            </w:pPr>
            <w:r>
              <w:rPr>
                <w:rFonts w:cs="Arial"/>
                <w:color w:val="auto"/>
              </w:rPr>
              <w:t>31</w:t>
            </w:r>
            <w:r w:rsidRPr="00554B54">
              <w:rPr>
                <w:rFonts w:cs="Arial"/>
                <w:color w:val="auto"/>
                <w:vertAlign w:val="superscript"/>
              </w:rPr>
              <w:t>st</w:t>
            </w:r>
            <w:r>
              <w:rPr>
                <w:rFonts w:cs="Arial"/>
                <w:color w:val="auto"/>
              </w:rPr>
              <w:t xml:space="preserve"> August 2019</w:t>
            </w:r>
          </w:p>
        </w:tc>
      </w:tr>
    </w:tbl>
    <w:p w:rsidR="0065368D" w:rsidRDefault="00174E0F" w:rsidP="00174E0F">
      <w:pPr>
        <w:pStyle w:val="BodyText"/>
        <w:numPr>
          <w:ilvl w:val="0"/>
          <w:numId w:val="0"/>
        </w:numPr>
        <w:tabs>
          <w:tab w:val="num" w:pos="720"/>
        </w:tabs>
      </w:pPr>
      <w:bookmarkStart w:id="75" w:name="_Toc8282400"/>
      <w:bookmarkStart w:id="76" w:name="_Toc8284322"/>
      <w:bookmarkStart w:id="77" w:name="_Toc8284372"/>
      <w:bookmarkStart w:id="78" w:name="_Toc8284861"/>
      <w:bookmarkStart w:id="79" w:name="_Toc8378397"/>
      <w:bookmarkStart w:id="80" w:name="_Toc8284323"/>
      <w:bookmarkStart w:id="81" w:name="_Toc8284373"/>
      <w:bookmarkStart w:id="82" w:name="_Toc8284862"/>
      <w:bookmarkStart w:id="83" w:name="_Toc8378398"/>
      <w:bookmarkStart w:id="84" w:name="_Toc8284324"/>
      <w:bookmarkStart w:id="85" w:name="_Toc8284374"/>
      <w:bookmarkStart w:id="86" w:name="_Toc8284863"/>
      <w:bookmarkStart w:id="87" w:name="_Toc8378399"/>
      <w:bookmarkStart w:id="88" w:name="_Toc8284325"/>
      <w:bookmarkStart w:id="89" w:name="_Toc8284375"/>
      <w:bookmarkStart w:id="90" w:name="_Toc8284864"/>
      <w:bookmarkStart w:id="91" w:name="_Toc8378400"/>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tab/>
      </w:r>
    </w:p>
    <w:p w:rsidR="00011B3E" w:rsidRPr="00174E0F" w:rsidRDefault="0065368D" w:rsidP="00174E0F">
      <w:pPr>
        <w:pStyle w:val="BodyText"/>
        <w:numPr>
          <w:ilvl w:val="0"/>
          <w:numId w:val="0"/>
        </w:numPr>
        <w:tabs>
          <w:tab w:val="num" w:pos="720"/>
        </w:tabs>
        <w:rPr>
          <w:i/>
        </w:rPr>
      </w:pPr>
      <w:r>
        <w:tab/>
      </w:r>
      <w:r w:rsidR="00174E0F">
        <w:rPr>
          <w:u w:val="single"/>
        </w:rPr>
        <w:t>Requirement – Set out the LEP’s role in recovering funding.</w:t>
      </w:r>
    </w:p>
    <w:p w:rsidR="00A91830" w:rsidRPr="00BB3ED0" w:rsidRDefault="00174E0F" w:rsidP="00174E0F">
      <w:pPr>
        <w:pStyle w:val="Default"/>
        <w:ind w:left="709" w:hanging="709"/>
        <w:jc w:val="both"/>
        <w:rPr>
          <w:color w:val="auto"/>
          <w:sz w:val="22"/>
          <w:szCs w:val="22"/>
        </w:rPr>
      </w:pPr>
      <w:r>
        <w:rPr>
          <w:color w:val="auto"/>
          <w:sz w:val="22"/>
          <w:szCs w:val="22"/>
        </w:rPr>
        <w:t>3.1.7.</w:t>
      </w:r>
      <w:r>
        <w:rPr>
          <w:color w:val="auto"/>
          <w:sz w:val="22"/>
          <w:szCs w:val="22"/>
        </w:rPr>
        <w:tab/>
      </w:r>
      <w:r w:rsidR="00A91830" w:rsidRPr="00BB3ED0">
        <w:rPr>
          <w:color w:val="auto"/>
          <w:sz w:val="22"/>
          <w:szCs w:val="22"/>
        </w:rPr>
        <w:t>The National Framework sets out the LEP’s role to recovery of non-compliant funding (Paragraph 149). This confirms that LEPs should play a role in recovering funding where there has been non-compliance, mis-representation or under-performance. In such circumstances, the LEP Board or delegated Sub-Board should receive reports providing information on projects which have received funding, including:</w:t>
      </w:r>
    </w:p>
    <w:p w:rsidR="00A91830" w:rsidRPr="00BB3ED0" w:rsidRDefault="00A91830" w:rsidP="00FB1E93">
      <w:pPr>
        <w:pStyle w:val="Default"/>
        <w:jc w:val="both"/>
        <w:rPr>
          <w:color w:val="auto"/>
          <w:sz w:val="22"/>
          <w:szCs w:val="22"/>
        </w:rPr>
      </w:pPr>
    </w:p>
    <w:p w:rsidR="00A91830" w:rsidRPr="00BB3ED0" w:rsidRDefault="00A91830" w:rsidP="00FB1E93">
      <w:pPr>
        <w:pStyle w:val="Default"/>
        <w:numPr>
          <w:ilvl w:val="0"/>
          <w:numId w:val="20"/>
        </w:numPr>
        <w:jc w:val="both"/>
        <w:rPr>
          <w:color w:val="auto"/>
          <w:sz w:val="22"/>
          <w:szCs w:val="22"/>
        </w:rPr>
      </w:pPr>
      <w:r w:rsidRPr="00BB3ED0">
        <w:rPr>
          <w:color w:val="auto"/>
          <w:sz w:val="22"/>
          <w:szCs w:val="22"/>
        </w:rPr>
        <w:t xml:space="preserve">A description of projects where concerns have been identified; </w:t>
      </w:r>
    </w:p>
    <w:p w:rsidR="00A91830" w:rsidRPr="00BB3ED0" w:rsidRDefault="00A91830" w:rsidP="00FB1E93">
      <w:pPr>
        <w:pStyle w:val="Default"/>
        <w:numPr>
          <w:ilvl w:val="0"/>
          <w:numId w:val="20"/>
        </w:numPr>
        <w:jc w:val="both"/>
        <w:rPr>
          <w:color w:val="auto"/>
          <w:sz w:val="22"/>
          <w:szCs w:val="22"/>
        </w:rPr>
      </w:pPr>
      <w:r w:rsidRPr="00BB3ED0">
        <w:rPr>
          <w:color w:val="auto"/>
          <w:sz w:val="22"/>
          <w:szCs w:val="22"/>
        </w:rPr>
        <w:t xml:space="preserve">Relevant details including the amount of funding awarded and the sum at risk due to the concerns; and </w:t>
      </w:r>
    </w:p>
    <w:p w:rsidR="00C54AA6" w:rsidRPr="00BB3ED0" w:rsidRDefault="00A91830" w:rsidP="00FB1E93">
      <w:pPr>
        <w:pStyle w:val="Default"/>
        <w:numPr>
          <w:ilvl w:val="0"/>
          <w:numId w:val="20"/>
        </w:numPr>
        <w:jc w:val="both"/>
        <w:rPr>
          <w:color w:val="auto"/>
          <w:sz w:val="22"/>
          <w:szCs w:val="22"/>
        </w:rPr>
      </w:pPr>
      <w:r w:rsidRPr="00BB3ED0">
        <w:rPr>
          <w:color w:val="auto"/>
          <w:sz w:val="22"/>
          <w:szCs w:val="22"/>
        </w:rPr>
        <w:t xml:space="preserve">Where recovery of funds is considered, a legal opinion which sets out the legal basis for recovery and likelihood of success. </w:t>
      </w:r>
    </w:p>
    <w:p w:rsidR="00C54AA6" w:rsidRPr="00BB3ED0" w:rsidRDefault="00C54AA6" w:rsidP="00FB1E93">
      <w:pPr>
        <w:pStyle w:val="TableParagraph"/>
        <w:numPr>
          <w:ilvl w:val="0"/>
          <w:numId w:val="1"/>
        </w:numPr>
        <w:ind w:left="709"/>
        <w:jc w:val="both"/>
        <w:rPr>
          <w:rFonts w:eastAsia="Times New Roman" w:cs="Times New Roman"/>
          <w:lang w:eastAsia="en-US"/>
        </w:rPr>
      </w:pPr>
    </w:p>
    <w:p w:rsidR="00011B3E" w:rsidRPr="00BB3ED0" w:rsidRDefault="00C54AA6" w:rsidP="00FB1E93">
      <w:pPr>
        <w:pStyle w:val="TableParagraph"/>
        <w:numPr>
          <w:ilvl w:val="0"/>
          <w:numId w:val="1"/>
        </w:numPr>
        <w:ind w:left="709"/>
        <w:jc w:val="both"/>
        <w:rPr>
          <w:rFonts w:eastAsia="Times New Roman" w:cs="Times New Roman"/>
          <w:lang w:eastAsia="en-US"/>
        </w:rPr>
      </w:pPr>
      <w:r w:rsidRPr="00BB3ED0">
        <w:rPr>
          <w:rFonts w:eastAsia="Times New Roman" w:cs="Times New Roman"/>
          <w:lang w:eastAsia="en-US"/>
        </w:rPr>
        <w:t>The audit found that t</w:t>
      </w:r>
      <w:r w:rsidR="00011B3E" w:rsidRPr="00BB3ED0">
        <w:rPr>
          <w:rFonts w:eastAsia="Times New Roman" w:cs="Times New Roman"/>
          <w:lang w:eastAsia="en-US"/>
        </w:rPr>
        <w:t>he</w:t>
      </w:r>
      <w:r w:rsidR="00A91830" w:rsidRPr="00BB3ED0">
        <w:rPr>
          <w:rFonts w:eastAsia="Times New Roman" w:cs="Times New Roman"/>
          <w:lang w:eastAsia="en-US"/>
        </w:rPr>
        <w:t xml:space="preserve"> Framework</w:t>
      </w:r>
      <w:r w:rsidR="00011B3E" w:rsidRPr="00BB3ED0">
        <w:rPr>
          <w:rFonts w:eastAsia="Times New Roman" w:cs="Times New Roman"/>
          <w:lang w:eastAsia="en-US"/>
        </w:rPr>
        <w:t xml:space="preserve"> funding agreement note 15 states ‘Breaches of legislation may result in suspension and/ or recovery of Grant where this is deemed appropriate by the Council’.  It further sets out that if a breach is identified then conditions may be placed on the recipient and these must be acted upon.</w:t>
      </w:r>
    </w:p>
    <w:p w:rsidR="00011B3E" w:rsidRPr="00BB3ED0" w:rsidRDefault="00011B3E" w:rsidP="00FB1E93">
      <w:pPr>
        <w:pStyle w:val="TableParagraph"/>
        <w:numPr>
          <w:ilvl w:val="0"/>
          <w:numId w:val="1"/>
        </w:numPr>
        <w:ind w:left="709"/>
        <w:jc w:val="both"/>
        <w:rPr>
          <w:rFonts w:eastAsia="Times New Roman" w:cs="Times New Roman"/>
          <w:lang w:eastAsia="en-US"/>
        </w:rPr>
      </w:pPr>
    </w:p>
    <w:p w:rsidR="00011B3E" w:rsidRPr="00BB3ED0" w:rsidRDefault="00011B3E" w:rsidP="00FB1E93">
      <w:pPr>
        <w:pStyle w:val="TableParagraph"/>
        <w:numPr>
          <w:ilvl w:val="0"/>
          <w:numId w:val="1"/>
        </w:numPr>
        <w:ind w:left="709"/>
        <w:jc w:val="both"/>
      </w:pPr>
      <w:r w:rsidRPr="00BB3ED0">
        <w:rPr>
          <w:rFonts w:eastAsia="Times New Roman" w:cs="Times New Roman"/>
          <w:lang w:eastAsia="en-US"/>
        </w:rPr>
        <w:t>However the</w:t>
      </w:r>
      <w:r w:rsidRPr="00BB3ED0">
        <w:t xml:space="preserve"> Executive Board or other groups do not specifically state it is their role to oversee breaches. Therefore </w:t>
      </w:r>
      <w:r w:rsidR="00A5543D" w:rsidRPr="00BB3ED0">
        <w:t xml:space="preserve">the risk here is that </w:t>
      </w:r>
      <w:r w:rsidRPr="00BB3ED0">
        <w:t>it is unclear who t</w:t>
      </w:r>
      <w:r w:rsidR="00A5543D" w:rsidRPr="00BB3ED0">
        <w:t>his responsibility rests with undermining accountability.</w:t>
      </w:r>
    </w:p>
    <w:p w:rsidR="00011B3E" w:rsidRPr="00BB3ED0" w:rsidRDefault="00011B3E" w:rsidP="00FB1E93">
      <w:pPr>
        <w:pStyle w:val="TableParagraph"/>
        <w:numPr>
          <w:ilvl w:val="0"/>
          <w:numId w:val="1"/>
        </w:numPr>
        <w:ind w:left="709"/>
        <w:jc w:val="both"/>
      </w:pPr>
    </w:p>
    <w:p w:rsidR="00011B3E" w:rsidRPr="00174E0F" w:rsidRDefault="00011B3E" w:rsidP="00FB1E93">
      <w:pPr>
        <w:pStyle w:val="TableParagraph"/>
        <w:numPr>
          <w:ilvl w:val="0"/>
          <w:numId w:val="1"/>
        </w:numPr>
        <w:ind w:left="709"/>
        <w:jc w:val="both"/>
        <w:rPr>
          <w:rFonts w:eastAsia="Times New Roman" w:cs="Times New Roman"/>
          <w:u w:val="single"/>
          <w:lang w:eastAsia="en-US"/>
        </w:rPr>
      </w:pPr>
      <w:r w:rsidRPr="00BB3ED0">
        <w:rPr>
          <w:u w:val="single"/>
          <w:lang w:eastAsia="en-US"/>
        </w:rPr>
        <w:t>Requirement – Set out the arrangements to recover non-compliant funding</w:t>
      </w:r>
      <w:r w:rsidR="00174E0F">
        <w:rPr>
          <w:u w:val="single"/>
          <w:lang w:eastAsia="en-US"/>
        </w:rPr>
        <w:t>.</w:t>
      </w:r>
    </w:p>
    <w:p w:rsidR="00174E0F" w:rsidRPr="00BB3ED0" w:rsidRDefault="00174E0F" w:rsidP="00174E0F">
      <w:pPr>
        <w:pStyle w:val="TableParagraph"/>
        <w:ind w:left="0"/>
        <w:jc w:val="both"/>
        <w:rPr>
          <w:rFonts w:eastAsia="Times New Roman" w:cs="Times New Roman"/>
          <w:u w:val="single"/>
          <w:lang w:eastAsia="en-US"/>
        </w:rPr>
      </w:pPr>
    </w:p>
    <w:p w:rsidR="00A91830" w:rsidRPr="00BB3ED0" w:rsidRDefault="0065368D" w:rsidP="0065368D">
      <w:pPr>
        <w:pStyle w:val="Default"/>
        <w:ind w:left="709" w:hanging="709"/>
        <w:jc w:val="both"/>
        <w:rPr>
          <w:color w:val="auto"/>
          <w:sz w:val="22"/>
          <w:szCs w:val="22"/>
        </w:rPr>
      </w:pPr>
      <w:r>
        <w:rPr>
          <w:color w:val="auto"/>
          <w:sz w:val="22"/>
          <w:szCs w:val="22"/>
        </w:rPr>
        <w:t>3.1.8.</w:t>
      </w:r>
      <w:r>
        <w:rPr>
          <w:color w:val="auto"/>
          <w:sz w:val="22"/>
          <w:szCs w:val="22"/>
        </w:rPr>
        <w:tab/>
      </w:r>
      <w:r w:rsidR="00C54AA6" w:rsidRPr="00BB3ED0">
        <w:rPr>
          <w:color w:val="auto"/>
          <w:sz w:val="22"/>
          <w:szCs w:val="22"/>
        </w:rPr>
        <w:t>The National Framework sets out the LEP’</w:t>
      </w:r>
      <w:r w:rsidR="00A91830" w:rsidRPr="00BB3ED0">
        <w:rPr>
          <w:color w:val="auto"/>
          <w:sz w:val="22"/>
          <w:szCs w:val="22"/>
        </w:rPr>
        <w:t>s arrangements to recovery of non-compliant funding (Paragraph 150). It states that the LEP is expected to have in place appropriate arrangements to recover non-compliant funding. Where the LEP decides not to pursue recovery where it has identified non-compliance and has legal grounds to do so it must provide a compelling justification for its decision.</w:t>
      </w:r>
    </w:p>
    <w:p w:rsidR="00011B3E" w:rsidRPr="00BB3ED0" w:rsidRDefault="00011B3E" w:rsidP="00FB1E93">
      <w:pPr>
        <w:pStyle w:val="TableParagraph"/>
        <w:spacing w:line="228" w:lineRule="auto"/>
        <w:ind w:left="0" w:right="327"/>
        <w:jc w:val="both"/>
      </w:pPr>
    </w:p>
    <w:p w:rsidR="00011B3E" w:rsidRPr="00BB3ED0" w:rsidRDefault="00C54AA6" w:rsidP="00FB1E93">
      <w:pPr>
        <w:pStyle w:val="TableParagraph"/>
        <w:numPr>
          <w:ilvl w:val="0"/>
          <w:numId w:val="1"/>
        </w:numPr>
        <w:ind w:left="709"/>
        <w:jc w:val="both"/>
        <w:rPr>
          <w:rFonts w:eastAsia="Times New Roman" w:cs="Times New Roman"/>
          <w:lang w:eastAsia="en-US"/>
        </w:rPr>
      </w:pPr>
      <w:r w:rsidRPr="00BB3ED0">
        <w:rPr>
          <w:rFonts w:eastAsia="Times New Roman" w:cs="Times New Roman"/>
          <w:lang w:eastAsia="en-US"/>
        </w:rPr>
        <w:lastRenderedPageBreak/>
        <w:t>The audit found that t</w:t>
      </w:r>
      <w:r w:rsidR="00011B3E" w:rsidRPr="00BB3ED0">
        <w:rPr>
          <w:rFonts w:eastAsia="Times New Roman" w:cs="Times New Roman"/>
          <w:lang w:eastAsia="en-US"/>
        </w:rPr>
        <w:t>his is not set out other than to say actions will be set and recovery made; no specifics are stated.</w:t>
      </w:r>
      <w:r w:rsidR="00387299" w:rsidRPr="00BB3ED0">
        <w:rPr>
          <w:rFonts w:eastAsia="Times New Roman" w:cs="Times New Roman"/>
          <w:lang w:eastAsia="en-US"/>
        </w:rPr>
        <w:t xml:space="preserve">  Therefore the current disclosure does not meet the requirement of setting out ‘arrangements’.</w:t>
      </w:r>
    </w:p>
    <w:p w:rsidR="00011B3E" w:rsidRPr="00BB3ED0" w:rsidRDefault="00B1572B" w:rsidP="00FB1E93">
      <w:pPr>
        <w:pStyle w:val="BodyText2"/>
        <w:ind w:left="709"/>
        <w:rPr>
          <w:color w:val="auto"/>
          <w:szCs w:val="22"/>
        </w:rPr>
      </w:pPr>
      <w:r w:rsidRPr="00BB3ED0">
        <w:rPr>
          <w:color w:val="auto"/>
          <w:szCs w:val="22"/>
        </w:rPr>
        <w:t>The risk with not being fully compliant with the National Framework is that the SSLEP Framework is not sufficiently comprehensive which could impact the performance of the SSLEP.</w:t>
      </w:r>
    </w:p>
    <w:tbl>
      <w:tblPr>
        <w:tblStyle w:val="TableGrid"/>
        <w:tblW w:w="9061" w:type="dxa"/>
        <w:tblInd w:w="833" w:type="dxa"/>
        <w:tblLook w:val="05E0" w:firstRow="1" w:lastRow="1" w:firstColumn="1" w:lastColumn="1" w:noHBand="0" w:noVBand="1"/>
      </w:tblPr>
      <w:tblGrid>
        <w:gridCol w:w="1296"/>
        <w:gridCol w:w="3596"/>
        <w:gridCol w:w="1872"/>
        <w:gridCol w:w="2297"/>
      </w:tblGrid>
      <w:tr w:rsidR="00011B3E" w:rsidRPr="00B34334" w:rsidTr="00663FF2">
        <w:trPr>
          <w:cantSplit/>
        </w:trPr>
        <w:tc>
          <w:tcPr>
            <w:tcW w:w="4892" w:type="dxa"/>
            <w:gridSpan w:val="2"/>
            <w:shd w:val="clear" w:color="auto" w:fill="B58829"/>
          </w:tcPr>
          <w:p w:rsidR="00011B3E" w:rsidRPr="00B34334" w:rsidRDefault="00011B3E" w:rsidP="00663FF2">
            <w:pPr>
              <w:pStyle w:val="Heading3"/>
              <w:outlineLvl w:val="2"/>
            </w:pPr>
          </w:p>
        </w:tc>
        <w:tc>
          <w:tcPr>
            <w:tcW w:w="4169" w:type="dxa"/>
            <w:gridSpan w:val="2"/>
            <w:shd w:val="clear" w:color="auto" w:fill="B58829"/>
          </w:tcPr>
          <w:p w:rsidR="00011B3E" w:rsidRPr="00B34334" w:rsidRDefault="00011B3E" w:rsidP="00663FF2">
            <w:pPr>
              <w:pStyle w:val="BodyText2"/>
              <w:ind w:left="0"/>
              <w:rPr>
                <w:rFonts w:ascii="Arial Narrow" w:hAnsi="Arial Narrow"/>
                <w:b/>
                <w:color w:val="FFFFFF"/>
              </w:rPr>
            </w:pPr>
            <w:r w:rsidRPr="00B34334">
              <w:rPr>
                <w:rFonts w:ascii="Arial Narrow" w:hAnsi="Arial Narrow"/>
                <w:b/>
                <w:color w:val="FFFFFF"/>
              </w:rPr>
              <w:t>Summary Response</w:t>
            </w:r>
          </w:p>
        </w:tc>
      </w:tr>
      <w:tr w:rsidR="00011B3E" w:rsidRPr="00B34334" w:rsidTr="00174E0F">
        <w:trPr>
          <w:cantSplit/>
          <w:trHeight w:val="535"/>
        </w:trPr>
        <w:tc>
          <w:tcPr>
            <w:tcW w:w="1296" w:type="dxa"/>
            <w:tcBorders>
              <w:left w:val="nil"/>
              <w:bottom w:val="single" w:sz="4" w:space="0" w:color="auto"/>
            </w:tcBorders>
            <w:shd w:val="clear" w:color="auto" w:fill="auto"/>
          </w:tcPr>
          <w:p w:rsidR="00011B3E" w:rsidRPr="00B34334" w:rsidRDefault="00011B3E" w:rsidP="00663FF2">
            <w:pPr>
              <w:pStyle w:val="RecBodyText"/>
              <w:spacing w:after="0"/>
              <w:rPr>
                <w:b/>
              </w:rPr>
            </w:pPr>
            <w:r w:rsidRPr="00B34334">
              <w:rPr>
                <w:b/>
              </w:rPr>
              <w:t>Risk Rating:</w:t>
            </w:r>
          </w:p>
        </w:tc>
        <w:tc>
          <w:tcPr>
            <w:tcW w:w="3596" w:type="dxa"/>
            <w:tcBorders>
              <w:bottom w:val="single" w:sz="4" w:space="0" w:color="auto"/>
            </w:tcBorders>
            <w:vAlign w:val="center"/>
          </w:tcPr>
          <w:p w:rsidR="00011B3E" w:rsidRPr="00B34334" w:rsidRDefault="00BE32D3" w:rsidP="00663FF2">
            <w:pPr>
              <w:pStyle w:val="RecBodyText"/>
              <w:spacing w:after="0"/>
              <w:jc w:val="left"/>
              <w:rPr>
                <w:color w:val="006600"/>
              </w:rPr>
            </w:pPr>
            <w:r w:rsidRPr="00BE32D3">
              <w:rPr>
                <w:color w:val="92D050"/>
              </w:rPr>
              <w:t>Low</w:t>
            </w:r>
            <w:r w:rsidR="00011B3E" w:rsidRPr="00BE32D3">
              <w:rPr>
                <w:color w:val="92D050"/>
              </w:rPr>
              <w:t xml:space="preserve"> Priority</w:t>
            </w:r>
          </w:p>
        </w:tc>
        <w:tc>
          <w:tcPr>
            <w:tcW w:w="1872" w:type="dxa"/>
            <w:tcBorders>
              <w:bottom w:val="single" w:sz="4" w:space="0" w:color="auto"/>
            </w:tcBorders>
          </w:tcPr>
          <w:p w:rsidR="00011B3E" w:rsidRPr="00B34334" w:rsidRDefault="00011B3E" w:rsidP="00663FF2">
            <w:pPr>
              <w:pStyle w:val="RecBodyText"/>
              <w:spacing w:after="0"/>
              <w:rPr>
                <w:b/>
              </w:rPr>
            </w:pPr>
            <w:r w:rsidRPr="00B34334">
              <w:rPr>
                <w:b/>
              </w:rPr>
              <w:t>Responsible Officer:</w:t>
            </w:r>
          </w:p>
        </w:tc>
        <w:tc>
          <w:tcPr>
            <w:tcW w:w="2297" w:type="dxa"/>
            <w:tcBorders>
              <w:bottom w:val="single" w:sz="4" w:space="0" w:color="auto"/>
              <w:right w:val="nil"/>
            </w:tcBorders>
            <w:shd w:val="clear" w:color="auto" w:fill="auto"/>
          </w:tcPr>
          <w:p w:rsidR="00011B3E" w:rsidRDefault="00011B3E" w:rsidP="00663FF2">
            <w:pPr>
              <w:pStyle w:val="BodyText2"/>
              <w:spacing w:before="0" w:after="0"/>
              <w:ind w:left="0"/>
              <w:rPr>
                <w:rFonts w:cs="Arial"/>
              </w:rPr>
            </w:pPr>
          </w:p>
          <w:p w:rsidR="00011B3E" w:rsidRPr="00432F9D" w:rsidRDefault="009759B0" w:rsidP="00663FF2">
            <w:pPr>
              <w:pStyle w:val="BodyText2"/>
              <w:spacing w:before="0" w:after="0"/>
              <w:ind w:left="0"/>
              <w:rPr>
                <w:rFonts w:cs="Arial"/>
              </w:rPr>
            </w:pPr>
            <w:r>
              <w:rPr>
                <w:rFonts w:cs="Arial"/>
              </w:rPr>
              <w:t>SSLEP Interim Partnership Manager</w:t>
            </w:r>
          </w:p>
        </w:tc>
      </w:tr>
      <w:tr w:rsidR="002838A2" w:rsidRPr="00B34334" w:rsidTr="00663FF2">
        <w:trPr>
          <w:cantSplit/>
        </w:trPr>
        <w:tc>
          <w:tcPr>
            <w:tcW w:w="4892" w:type="dxa"/>
            <w:gridSpan w:val="2"/>
            <w:tcBorders>
              <w:left w:val="nil"/>
              <w:bottom w:val="nil"/>
            </w:tcBorders>
            <w:shd w:val="clear" w:color="auto" w:fill="auto"/>
          </w:tcPr>
          <w:p w:rsidR="002838A2" w:rsidRPr="00B34334" w:rsidRDefault="002838A2" w:rsidP="002838A2">
            <w:pPr>
              <w:pStyle w:val="RecBodyText"/>
              <w:rPr>
                <w:b/>
              </w:rPr>
            </w:pPr>
            <w:r w:rsidRPr="00B34334">
              <w:rPr>
                <w:b/>
              </w:rPr>
              <w:t>Summary of Weakness:</w:t>
            </w:r>
          </w:p>
        </w:tc>
        <w:tc>
          <w:tcPr>
            <w:tcW w:w="4169" w:type="dxa"/>
            <w:gridSpan w:val="2"/>
            <w:tcBorders>
              <w:bottom w:val="nil"/>
              <w:right w:val="nil"/>
            </w:tcBorders>
            <w:shd w:val="clear" w:color="auto" w:fill="auto"/>
          </w:tcPr>
          <w:p w:rsidR="002838A2" w:rsidRPr="00B34334" w:rsidRDefault="002838A2" w:rsidP="002838A2">
            <w:pPr>
              <w:pStyle w:val="RecBodyText"/>
              <w:rPr>
                <w:b/>
              </w:rPr>
            </w:pPr>
            <w:r w:rsidRPr="00B34334">
              <w:rPr>
                <w:b/>
              </w:rPr>
              <w:t>Agreed Actions:</w:t>
            </w:r>
          </w:p>
        </w:tc>
      </w:tr>
      <w:tr w:rsidR="002838A2" w:rsidRPr="00B34334" w:rsidTr="00663FF2">
        <w:trPr>
          <w:cantSplit/>
        </w:trPr>
        <w:tc>
          <w:tcPr>
            <w:tcW w:w="4892" w:type="dxa"/>
            <w:gridSpan w:val="2"/>
            <w:tcBorders>
              <w:top w:val="nil"/>
              <w:left w:val="nil"/>
              <w:bottom w:val="single" w:sz="4" w:space="0" w:color="auto"/>
            </w:tcBorders>
            <w:shd w:val="clear" w:color="auto" w:fill="auto"/>
          </w:tcPr>
          <w:p w:rsidR="002838A2" w:rsidRPr="009F25A0" w:rsidRDefault="002838A2" w:rsidP="000F1F44">
            <w:pPr>
              <w:pStyle w:val="RecBodyText"/>
              <w:rPr>
                <w:color w:val="000000"/>
              </w:rPr>
            </w:pPr>
            <w:r>
              <w:t>The S</w:t>
            </w:r>
            <w:r w:rsidR="000F1F44">
              <w:t>SLEP Framework does not clarify who has overall responsibility for overseeing the recovery of funds including who receives reports and updates. Furthermore the Framework does not state what actions could or may be taken to recover non-compliant payments especially where it is decided that it is non-recoverable</w:t>
            </w:r>
          </w:p>
        </w:tc>
        <w:tc>
          <w:tcPr>
            <w:tcW w:w="4169" w:type="dxa"/>
            <w:gridSpan w:val="2"/>
            <w:tcBorders>
              <w:top w:val="nil"/>
              <w:bottom w:val="single" w:sz="4" w:space="0" w:color="auto"/>
              <w:right w:val="nil"/>
            </w:tcBorders>
            <w:shd w:val="clear" w:color="auto" w:fill="auto"/>
          </w:tcPr>
          <w:p w:rsidR="002838A2" w:rsidRPr="009F25A0" w:rsidRDefault="009759B0" w:rsidP="002838A2">
            <w:pPr>
              <w:pStyle w:val="BodyText2"/>
              <w:spacing w:before="0"/>
              <w:ind w:left="0"/>
              <w:rPr>
                <w:rFonts w:cs="Arial"/>
                <w:color w:val="auto"/>
              </w:rPr>
            </w:pPr>
            <w:r>
              <w:rPr>
                <w:rFonts w:cs="Arial"/>
                <w:color w:val="auto"/>
              </w:rPr>
              <w:t xml:space="preserve">The position will be clarified in the Assurance framework and the scheme of delegation. The details of recovery of non-compliant payments relating to the Growth Deal is set out in the individual grant agreements. </w:t>
            </w:r>
          </w:p>
        </w:tc>
      </w:tr>
      <w:tr w:rsidR="002838A2" w:rsidRPr="00B34334" w:rsidTr="00663FF2">
        <w:trPr>
          <w:cantSplit/>
        </w:trPr>
        <w:tc>
          <w:tcPr>
            <w:tcW w:w="4892" w:type="dxa"/>
            <w:gridSpan w:val="2"/>
            <w:tcBorders>
              <w:left w:val="nil"/>
              <w:bottom w:val="nil"/>
            </w:tcBorders>
            <w:shd w:val="clear" w:color="auto" w:fill="auto"/>
          </w:tcPr>
          <w:p w:rsidR="002838A2" w:rsidRPr="00B34334" w:rsidRDefault="002838A2" w:rsidP="002838A2">
            <w:pPr>
              <w:pStyle w:val="RecBodyText"/>
              <w:rPr>
                <w:b/>
              </w:rPr>
            </w:pPr>
            <w:r w:rsidRPr="00B34334">
              <w:rPr>
                <w:b/>
              </w:rPr>
              <w:t>Suggested Action:</w:t>
            </w:r>
          </w:p>
        </w:tc>
        <w:tc>
          <w:tcPr>
            <w:tcW w:w="4169" w:type="dxa"/>
            <w:gridSpan w:val="2"/>
            <w:tcBorders>
              <w:bottom w:val="nil"/>
              <w:right w:val="nil"/>
            </w:tcBorders>
            <w:shd w:val="clear" w:color="auto" w:fill="auto"/>
          </w:tcPr>
          <w:p w:rsidR="002838A2" w:rsidRPr="0042061A" w:rsidRDefault="002838A2" w:rsidP="002838A2">
            <w:pPr>
              <w:pStyle w:val="RecBodyText"/>
              <w:rPr>
                <w:b/>
                <w:color w:val="auto"/>
              </w:rPr>
            </w:pPr>
            <w:r w:rsidRPr="0042061A">
              <w:rPr>
                <w:b/>
                <w:color w:val="auto"/>
              </w:rPr>
              <w:t>Implementation Date:</w:t>
            </w:r>
          </w:p>
        </w:tc>
      </w:tr>
      <w:tr w:rsidR="002838A2" w:rsidRPr="00B34334" w:rsidTr="00663FF2">
        <w:trPr>
          <w:cantSplit/>
        </w:trPr>
        <w:tc>
          <w:tcPr>
            <w:tcW w:w="4892" w:type="dxa"/>
            <w:gridSpan w:val="2"/>
            <w:tcBorders>
              <w:top w:val="nil"/>
              <w:left w:val="nil"/>
            </w:tcBorders>
            <w:shd w:val="clear" w:color="auto" w:fill="auto"/>
          </w:tcPr>
          <w:p w:rsidR="002838A2" w:rsidRPr="00C71350" w:rsidRDefault="002838A2" w:rsidP="00174E0F">
            <w:pPr>
              <w:pStyle w:val="RecBodyText"/>
            </w:pPr>
            <w:r>
              <w:t xml:space="preserve">To revise the SSLEP Assurance Framework document to </w:t>
            </w:r>
            <w:r w:rsidR="00A5543D">
              <w:t>state the Boards role in overseeing non-compliant funding specifically covering whether they or other sub-groups receive summaries of cases and what they receive.  Furthermore, the arrangements to recover funding should be made specific covering how decisions are made on when it has been agreed that recovery is not worthwhile, who makes this decision and how steps are taken to document this.</w:t>
            </w:r>
          </w:p>
        </w:tc>
        <w:tc>
          <w:tcPr>
            <w:tcW w:w="4169" w:type="dxa"/>
            <w:gridSpan w:val="2"/>
            <w:tcBorders>
              <w:top w:val="nil"/>
              <w:right w:val="nil"/>
            </w:tcBorders>
            <w:shd w:val="clear" w:color="auto" w:fill="auto"/>
          </w:tcPr>
          <w:p w:rsidR="002838A2" w:rsidRPr="008A0B42" w:rsidRDefault="009759B0" w:rsidP="00174E0F">
            <w:pPr>
              <w:pStyle w:val="BodyText2"/>
              <w:spacing w:before="0"/>
              <w:ind w:left="0"/>
              <w:rPr>
                <w:rFonts w:cs="Arial"/>
                <w:color w:val="auto"/>
              </w:rPr>
            </w:pPr>
            <w:r>
              <w:rPr>
                <w:rFonts w:cs="Arial"/>
                <w:color w:val="auto"/>
              </w:rPr>
              <w:t>31</w:t>
            </w:r>
            <w:r w:rsidRPr="00554B54">
              <w:rPr>
                <w:rFonts w:cs="Arial"/>
                <w:color w:val="auto"/>
                <w:vertAlign w:val="superscript"/>
              </w:rPr>
              <w:t>st</w:t>
            </w:r>
            <w:r>
              <w:rPr>
                <w:rFonts w:cs="Arial"/>
                <w:color w:val="auto"/>
              </w:rPr>
              <w:t xml:space="preserve"> July 2019</w:t>
            </w:r>
          </w:p>
        </w:tc>
      </w:tr>
    </w:tbl>
    <w:p w:rsidR="00E72A77" w:rsidRPr="00E72A77" w:rsidRDefault="00E72A77" w:rsidP="00174E0F">
      <w:pPr>
        <w:pStyle w:val="ListParagraph"/>
        <w:keepNext/>
        <w:spacing w:before="240" w:after="60"/>
        <w:ind w:left="0"/>
        <w:contextualSpacing w:val="0"/>
        <w:outlineLvl w:val="1"/>
        <w:rPr>
          <w:rFonts w:eastAsia="Arial Unicode MS"/>
          <w:vanish/>
          <w:sz w:val="28"/>
          <w:szCs w:val="28"/>
          <w:lang w:eastAsia="en-US"/>
        </w:rPr>
      </w:pPr>
      <w:bookmarkStart w:id="92" w:name="_Toc8284326"/>
      <w:bookmarkStart w:id="93" w:name="_Toc8284376"/>
      <w:bookmarkStart w:id="94" w:name="_Toc8284865"/>
      <w:bookmarkStart w:id="95" w:name="_Toc8378401"/>
      <w:bookmarkStart w:id="96" w:name="_Toc8284377"/>
      <w:bookmarkStart w:id="97" w:name="_Toc8284866"/>
      <w:bookmarkStart w:id="98" w:name="_Toc8378402"/>
      <w:bookmarkStart w:id="99" w:name="_Toc8284378"/>
      <w:bookmarkStart w:id="100" w:name="_Toc8284867"/>
      <w:bookmarkStart w:id="101" w:name="_Toc8378403"/>
      <w:bookmarkStart w:id="102" w:name="_Toc8284379"/>
      <w:bookmarkStart w:id="103" w:name="_Toc8284868"/>
      <w:bookmarkStart w:id="104" w:name="_Toc8378404"/>
      <w:bookmarkEnd w:id="92"/>
      <w:bookmarkEnd w:id="93"/>
      <w:bookmarkEnd w:id="94"/>
      <w:bookmarkEnd w:id="95"/>
      <w:bookmarkEnd w:id="96"/>
      <w:bookmarkEnd w:id="97"/>
      <w:bookmarkEnd w:id="98"/>
      <w:bookmarkEnd w:id="99"/>
      <w:bookmarkEnd w:id="100"/>
      <w:bookmarkEnd w:id="101"/>
      <w:bookmarkEnd w:id="102"/>
      <w:bookmarkEnd w:id="103"/>
      <w:bookmarkEnd w:id="104"/>
    </w:p>
    <w:p w:rsidR="00706950" w:rsidRPr="00E72A77" w:rsidRDefault="00706950" w:rsidP="0065368D">
      <w:pPr>
        <w:pStyle w:val="Heading2"/>
        <w:numPr>
          <w:ilvl w:val="1"/>
          <w:numId w:val="31"/>
        </w:numPr>
      </w:pPr>
      <w:bookmarkStart w:id="105" w:name="_Toc9488572"/>
      <w:r w:rsidRPr="00E72A77">
        <w:t>The LEP have a standardised process for holding confidential information</w:t>
      </w:r>
      <w:bookmarkEnd w:id="105"/>
      <w:r w:rsidRPr="00E72A77">
        <w:t xml:space="preserve"> </w:t>
      </w:r>
    </w:p>
    <w:p w:rsidR="00E2027A" w:rsidRDefault="00E2027A" w:rsidP="0065368D">
      <w:pPr>
        <w:pStyle w:val="BodyText"/>
        <w:numPr>
          <w:ilvl w:val="2"/>
          <w:numId w:val="31"/>
        </w:numPr>
        <w:rPr>
          <w:i/>
        </w:rPr>
      </w:pPr>
      <w:r w:rsidRPr="005F4BC4">
        <w:rPr>
          <w:i/>
        </w:rPr>
        <w:t xml:space="preserve">It </w:t>
      </w:r>
      <w:r>
        <w:rPr>
          <w:i/>
        </w:rPr>
        <w:t xml:space="preserve">was expected that the SSLEP Assurance Framework </w:t>
      </w:r>
      <w:r w:rsidR="00706950">
        <w:rPr>
          <w:i/>
        </w:rPr>
        <w:t>sets out the laws required to be complied with in regards to data correctly</w:t>
      </w:r>
    </w:p>
    <w:p w:rsidR="00E2027A" w:rsidRDefault="00E2027A" w:rsidP="00FB1E93">
      <w:pPr>
        <w:pStyle w:val="BodyText2"/>
        <w:rPr>
          <w:u w:val="single"/>
        </w:rPr>
      </w:pPr>
      <w:r w:rsidRPr="0091107E">
        <w:rPr>
          <w:u w:val="single"/>
        </w:rPr>
        <w:t>Requirement - Set out the processes the LEP has put in place in regard to the handling on data</w:t>
      </w:r>
    </w:p>
    <w:p w:rsidR="00C54AA6" w:rsidRPr="00BB3ED0" w:rsidRDefault="00C54AA6" w:rsidP="00FB1E93">
      <w:pPr>
        <w:pStyle w:val="Default"/>
        <w:ind w:left="709"/>
        <w:jc w:val="both"/>
        <w:rPr>
          <w:color w:val="auto"/>
          <w:sz w:val="22"/>
          <w:szCs w:val="22"/>
        </w:rPr>
      </w:pPr>
      <w:r w:rsidRPr="00BB3ED0">
        <w:rPr>
          <w:color w:val="auto"/>
          <w:sz w:val="22"/>
          <w:szCs w:val="22"/>
        </w:rPr>
        <w:t xml:space="preserve">The National Framework sets out the LEP’s approach to </w:t>
      </w:r>
      <w:r w:rsidR="00387299" w:rsidRPr="00BB3ED0">
        <w:rPr>
          <w:color w:val="auto"/>
          <w:sz w:val="22"/>
          <w:szCs w:val="22"/>
        </w:rPr>
        <w:t>handling data</w:t>
      </w:r>
      <w:r w:rsidRPr="00BB3ED0">
        <w:rPr>
          <w:color w:val="auto"/>
          <w:sz w:val="22"/>
          <w:szCs w:val="22"/>
        </w:rPr>
        <w:t xml:space="preserve"> (Paragraph 65</w:t>
      </w:r>
      <w:r w:rsidR="00387299" w:rsidRPr="00BB3ED0">
        <w:rPr>
          <w:color w:val="auto"/>
          <w:sz w:val="22"/>
          <w:szCs w:val="22"/>
        </w:rPr>
        <w:t>.m 102</w:t>
      </w:r>
      <w:r w:rsidRPr="00BB3ED0">
        <w:rPr>
          <w:color w:val="auto"/>
          <w:sz w:val="22"/>
          <w:szCs w:val="22"/>
        </w:rPr>
        <w:t xml:space="preserve">). </w:t>
      </w:r>
      <w:r w:rsidR="00387299" w:rsidRPr="00BB3ED0">
        <w:rPr>
          <w:color w:val="auto"/>
          <w:sz w:val="22"/>
          <w:szCs w:val="22"/>
        </w:rPr>
        <w:t>It states that the LEP must put in place appropriate data protection arrangements in line with the General Data Protection Regulations (GDPR) and the Data Protection Act 2018.</w:t>
      </w:r>
    </w:p>
    <w:p w:rsidR="00E2027A" w:rsidRPr="00BB3ED0" w:rsidRDefault="00C54AA6" w:rsidP="00FB1E93">
      <w:pPr>
        <w:pStyle w:val="BodyText2"/>
        <w:rPr>
          <w:color w:val="auto"/>
          <w:szCs w:val="22"/>
        </w:rPr>
      </w:pPr>
      <w:r w:rsidRPr="00BB3ED0">
        <w:rPr>
          <w:color w:val="auto"/>
          <w:szCs w:val="22"/>
        </w:rPr>
        <w:t>The audit found that the Framework</w:t>
      </w:r>
      <w:r w:rsidR="00E2027A" w:rsidRPr="00BB3ED0">
        <w:rPr>
          <w:color w:val="auto"/>
          <w:szCs w:val="22"/>
        </w:rPr>
        <w:t xml:space="preserve"> set</w:t>
      </w:r>
      <w:r w:rsidRPr="00BB3ED0">
        <w:rPr>
          <w:color w:val="auto"/>
          <w:szCs w:val="22"/>
        </w:rPr>
        <w:t>s</w:t>
      </w:r>
      <w:r w:rsidR="00E2027A" w:rsidRPr="00BB3ED0">
        <w:rPr>
          <w:color w:val="auto"/>
          <w:szCs w:val="22"/>
        </w:rPr>
        <w:t xml:space="preserve"> out in the Accountable Body agreement note 6.1.6 however, in note 6.1.7 it refers to the 1998 Data Protection Act which is no longer applicable. </w:t>
      </w:r>
    </w:p>
    <w:p w:rsidR="00E2027A" w:rsidRPr="00BB3ED0" w:rsidRDefault="00E2027A" w:rsidP="00FB1E93">
      <w:pPr>
        <w:pStyle w:val="BodyText2"/>
        <w:rPr>
          <w:color w:val="auto"/>
          <w:szCs w:val="22"/>
        </w:rPr>
      </w:pPr>
      <w:r w:rsidRPr="00BB3ED0">
        <w:rPr>
          <w:color w:val="auto"/>
          <w:szCs w:val="22"/>
        </w:rPr>
        <w:t>The Enquiries, Comments and Complaints Policy under the heading ‘Anonymous Allegations’ refers to the 1998 Act incorrectly and the embedded web link is not the correct one.  Also in the Grant Funding Agreement document in appendix C, it refers to the 1998 Act in note 15.8.1 incorrectly.</w:t>
      </w:r>
    </w:p>
    <w:p w:rsidR="00B1572B" w:rsidRPr="0091107E" w:rsidRDefault="00B1572B" w:rsidP="00FB1E93">
      <w:pPr>
        <w:pStyle w:val="BodyText2"/>
        <w:ind w:left="709"/>
      </w:pPr>
      <w:r w:rsidRPr="00BB3ED0">
        <w:rPr>
          <w:color w:val="auto"/>
          <w:szCs w:val="22"/>
        </w:rPr>
        <w:lastRenderedPageBreak/>
        <w:t>The risk with referencing incorrect data laws is that the SSLEP do not acknowledge and ensure compliance with the latest data laws</w:t>
      </w:r>
      <w:r w:rsidRPr="00BB3ED0">
        <w:rPr>
          <w:color w:val="auto"/>
        </w:rPr>
        <w:t xml:space="preserve"> </w:t>
      </w:r>
      <w:r>
        <w:t>and increase exposure to being in breach with the latest data protection laws which could incur sanctions and fines.</w:t>
      </w:r>
    </w:p>
    <w:tbl>
      <w:tblPr>
        <w:tblStyle w:val="TableGrid"/>
        <w:tblW w:w="9061" w:type="dxa"/>
        <w:tblInd w:w="833" w:type="dxa"/>
        <w:tblLook w:val="05E0" w:firstRow="1" w:lastRow="1" w:firstColumn="1" w:lastColumn="1" w:noHBand="0" w:noVBand="1"/>
      </w:tblPr>
      <w:tblGrid>
        <w:gridCol w:w="1296"/>
        <w:gridCol w:w="3596"/>
        <w:gridCol w:w="1872"/>
        <w:gridCol w:w="2297"/>
      </w:tblGrid>
      <w:tr w:rsidR="00E2027A" w:rsidRPr="00B34334" w:rsidTr="00663FF2">
        <w:trPr>
          <w:cantSplit/>
        </w:trPr>
        <w:tc>
          <w:tcPr>
            <w:tcW w:w="4892" w:type="dxa"/>
            <w:gridSpan w:val="2"/>
            <w:shd w:val="clear" w:color="auto" w:fill="B58829"/>
          </w:tcPr>
          <w:p w:rsidR="00E2027A" w:rsidRPr="00B34334" w:rsidRDefault="00E2027A" w:rsidP="00663FF2">
            <w:pPr>
              <w:pStyle w:val="Heading3"/>
              <w:outlineLvl w:val="2"/>
            </w:pPr>
          </w:p>
        </w:tc>
        <w:tc>
          <w:tcPr>
            <w:tcW w:w="4169" w:type="dxa"/>
            <w:gridSpan w:val="2"/>
            <w:shd w:val="clear" w:color="auto" w:fill="B58829"/>
          </w:tcPr>
          <w:p w:rsidR="00E2027A" w:rsidRPr="00B34334" w:rsidRDefault="00E2027A" w:rsidP="00663FF2">
            <w:pPr>
              <w:pStyle w:val="BodyText2"/>
              <w:ind w:left="0"/>
              <w:rPr>
                <w:rFonts w:ascii="Arial Narrow" w:hAnsi="Arial Narrow"/>
                <w:b/>
                <w:color w:val="FFFFFF"/>
              </w:rPr>
            </w:pPr>
            <w:r w:rsidRPr="00B34334">
              <w:rPr>
                <w:rFonts w:ascii="Arial Narrow" w:hAnsi="Arial Narrow"/>
                <w:b/>
                <w:color w:val="FFFFFF"/>
              </w:rPr>
              <w:t>Summary Response</w:t>
            </w:r>
          </w:p>
        </w:tc>
      </w:tr>
      <w:tr w:rsidR="00E2027A" w:rsidRPr="00B34334" w:rsidTr="0065368D">
        <w:trPr>
          <w:cantSplit/>
          <w:trHeight w:val="534"/>
        </w:trPr>
        <w:tc>
          <w:tcPr>
            <w:tcW w:w="1296" w:type="dxa"/>
            <w:tcBorders>
              <w:left w:val="nil"/>
              <w:bottom w:val="single" w:sz="4" w:space="0" w:color="auto"/>
            </w:tcBorders>
            <w:shd w:val="clear" w:color="auto" w:fill="auto"/>
          </w:tcPr>
          <w:p w:rsidR="00E2027A" w:rsidRPr="00B34334" w:rsidRDefault="00E2027A" w:rsidP="00663FF2">
            <w:pPr>
              <w:pStyle w:val="RecBodyText"/>
              <w:spacing w:after="0"/>
              <w:rPr>
                <w:b/>
              </w:rPr>
            </w:pPr>
            <w:r w:rsidRPr="00B34334">
              <w:rPr>
                <w:b/>
              </w:rPr>
              <w:t>Risk Rating:</w:t>
            </w:r>
          </w:p>
        </w:tc>
        <w:tc>
          <w:tcPr>
            <w:tcW w:w="3596" w:type="dxa"/>
            <w:tcBorders>
              <w:bottom w:val="single" w:sz="4" w:space="0" w:color="auto"/>
            </w:tcBorders>
            <w:vAlign w:val="center"/>
          </w:tcPr>
          <w:p w:rsidR="00E2027A" w:rsidRPr="00B34334" w:rsidRDefault="00724198" w:rsidP="00663FF2">
            <w:pPr>
              <w:pStyle w:val="RecBodyText"/>
              <w:spacing w:after="0"/>
              <w:jc w:val="left"/>
              <w:rPr>
                <w:color w:val="006600"/>
              </w:rPr>
            </w:pPr>
            <w:r w:rsidRPr="00724198">
              <w:rPr>
                <w:color w:val="92D050"/>
              </w:rPr>
              <w:t>Low</w:t>
            </w:r>
            <w:r w:rsidR="00E2027A" w:rsidRPr="00724198">
              <w:rPr>
                <w:color w:val="92D050"/>
              </w:rPr>
              <w:t xml:space="preserve"> Priority</w:t>
            </w:r>
          </w:p>
        </w:tc>
        <w:tc>
          <w:tcPr>
            <w:tcW w:w="1872" w:type="dxa"/>
            <w:tcBorders>
              <w:bottom w:val="single" w:sz="4" w:space="0" w:color="auto"/>
            </w:tcBorders>
          </w:tcPr>
          <w:p w:rsidR="00E2027A" w:rsidRPr="00B34334" w:rsidRDefault="00E2027A" w:rsidP="00663FF2">
            <w:pPr>
              <w:pStyle w:val="RecBodyText"/>
              <w:spacing w:after="0"/>
              <w:rPr>
                <w:b/>
              </w:rPr>
            </w:pPr>
            <w:r w:rsidRPr="00B34334">
              <w:rPr>
                <w:b/>
              </w:rPr>
              <w:t>Responsible Officer:</w:t>
            </w:r>
          </w:p>
        </w:tc>
        <w:tc>
          <w:tcPr>
            <w:tcW w:w="2297" w:type="dxa"/>
            <w:tcBorders>
              <w:bottom w:val="single" w:sz="4" w:space="0" w:color="auto"/>
              <w:right w:val="nil"/>
            </w:tcBorders>
            <w:shd w:val="clear" w:color="auto" w:fill="auto"/>
          </w:tcPr>
          <w:p w:rsidR="00E2027A" w:rsidRDefault="00E2027A" w:rsidP="00663FF2">
            <w:pPr>
              <w:pStyle w:val="BodyText2"/>
              <w:spacing w:before="0" w:after="0"/>
              <w:ind w:left="0"/>
              <w:rPr>
                <w:rFonts w:cs="Arial"/>
              </w:rPr>
            </w:pPr>
          </w:p>
          <w:p w:rsidR="00E2027A" w:rsidRPr="00432F9D" w:rsidRDefault="009759B0" w:rsidP="00663FF2">
            <w:pPr>
              <w:pStyle w:val="BodyText2"/>
              <w:spacing w:before="0" w:after="0"/>
              <w:ind w:left="0"/>
              <w:rPr>
                <w:rFonts w:cs="Arial"/>
              </w:rPr>
            </w:pPr>
            <w:r>
              <w:rPr>
                <w:rFonts w:cs="Arial"/>
              </w:rPr>
              <w:t>SSLEP Interim Partnership Manager</w:t>
            </w:r>
          </w:p>
        </w:tc>
      </w:tr>
      <w:tr w:rsidR="002838A2" w:rsidRPr="00B34334" w:rsidTr="00663FF2">
        <w:trPr>
          <w:cantSplit/>
        </w:trPr>
        <w:tc>
          <w:tcPr>
            <w:tcW w:w="4892" w:type="dxa"/>
            <w:gridSpan w:val="2"/>
            <w:tcBorders>
              <w:left w:val="nil"/>
              <w:bottom w:val="nil"/>
            </w:tcBorders>
            <w:shd w:val="clear" w:color="auto" w:fill="auto"/>
          </w:tcPr>
          <w:p w:rsidR="002838A2" w:rsidRPr="00B34334" w:rsidRDefault="002838A2" w:rsidP="002838A2">
            <w:pPr>
              <w:pStyle w:val="RecBodyText"/>
              <w:rPr>
                <w:b/>
              </w:rPr>
            </w:pPr>
            <w:r w:rsidRPr="00B34334">
              <w:rPr>
                <w:b/>
              </w:rPr>
              <w:t>Summary of Weakness:</w:t>
            </w:r>
          </w:p>
        </w:tc>
        <w:tc>
          <w:tcPr>
            <w:tcW w:w="4169" w:type="dxa"/>
            <w:gridSpan w:val="2"/>
            <w:tcBorders>
              <w:bottom w:val="nil"/>
              <w:right w:val="nil"/>
            </w:tcBorders>
            <w:shd w:val="clear" w:color="auto" w:fill="auto"/>
          </w:tcPr>
          <w:p w:rsidR="002838A2" w:rsidRPr="00B34334" w:rsidRDefault="002838A2" w:rsidP="002838A2">
            <w:pPr>
              <w:pStyle w:val="RecBodyText"/>
              <w:rPr>
                <w:b/>
              </w:rPr>
            </w:pPr>
            <w:r w:rsidRPr="00B34334">
              <w:rPr>
                <w:b/>
              </w:rPr>
              <w:t>Agreed Actions:</w:t>
            </w:r>
          </w:p>
        </w:tc>
      </w:tr>
      <w:tr w:rsidR="002838A2" w:rsidRPr="00B34334" w:rsidTr="00663FF2">
        <w:trPr>
          <w:cantSplit/>
        </w:trPr>
        <w:tc>
          <w:tcPr>
            <w:tcW w:w="4892" w:type="dxa"/>
            <w:gridSpan w:val="2"/>
            <w:tcBorders>
              <w:top w:val="nil"/>
              <w:left w:val="nil"/>
              <w:bottom w:val="single" w:sz="4" w:space="0" w:color="auto"/>
            </w:tcBorders>
            <w:shd w:val="clear" w:color="auto" w:fill="auto"/>
          </w:tcPr>
          <w:p w:rsidR="002838A2" w:rsidRPr="009F25A0" w:rsidRDefault="002838A2" w:rsidP="00A5543D">
            <w:pPr>
              <w:pStyle w:val="RecBodyText"/>
              <w:rPr>
                <w:color w:val="000000"/>
              </w:rPr>
            </w:pPr>
            <w:r>
              <w:t xml:space="preserve">The SSLEP Framework </w:t>
            </w:r>
            <w:r w:rsidR="00643F64">
              <w:t>includes incorrect references to Data Protection Laws and requires updat</w:t>
            </w:r>
            <w:r w:rsidR="00A5543D">
              <w:t>ing</w:t>
            </w:r>
          </w:p>
        </w:tc>
        <w:tc>
          <w:tcPr>
            <w:tcW w:w="4169" w:type="dxa"/>
            <w:gridSpan w:val="2"/>
            <w:tcBorders>
              <w:top w:val="nil"/>
              <w:bottom w:val="single" w:sz="4" w:space="0" w:color="auto"/>
              <w:right w:val="nil"/>
            </w:tcBorders>
            <w:shd w:val="clear" w:color="auto" w:fill="auto"/>
          </w:tcPr>
          <w:p w:rsidR="002838A2" w:rsidRPr="009F25A0" w:rsidRDefault="009759B0" w:rsidP="002838A2">
            <w:pPr>
              <w:pStyle w:val="BodyText2"/>
              <w:spacing w:before="0"/>
              <w:ind w:left="0"/>
              <w:rPr>
                <w:rFonts w:cs="Arial"/>
                <w:color w:val="auto"/>
              </w:rPr>
            </w:pPr>
            <w:r>
              <w:rPr>
                <w:rFonts w:cs="Arial"/>
                <w:color w:val="auto"/>
              </w:rPr>
              <w:t>The SSLEP framework has been updated to correct these references.</w:t>
            </w:r>
          </w:p>
        </w:tc>
      </w:tr>
      <w:tr w:rsidR="002838A2" w:rsidRPr="00B34334" w:rsidTr="00663FF2">
        <w:trPr>
          <w:cantSplit/>
        </w:trPr>
        <w:tc>
          <w:tcPr>
            <w:tcW w:w="4892" w:type="dxa"/>
            <w:gridSpan w:val="2"/>
            <w:tcBorders>
              <w:left w:val="nil"/>
              <w:bottom w:val="nil"/>
            </w:tcBorders>
            <w:shd w:val="clear" w:color="auto" w:fill="auto"/>
          </w:tcPr>
          <w:p w:rsidR="002838A2" w:rsidRPr="00B34334" w:rsidRDefault="002838A2" w:rsidP="002838A2">
            <w:pPr>
              <w:pStyle w:val="RecBodyText"/>
              <w:rPr>
                <w:b/>
              </w:rPr>
            </w:pPr>
            <w:r w:rsidRPr="00B34334">
              <w:rPr>
                <w:b/>
              </w:rPr>
              <w:t>Suggested Action:</w:t>
            </w:r>
          </w:p>
        </w:tc>
        <w:tc>
          <w:tcPr>
            <w:tcW w:w="4169" w:type="dxa"/>
            <w:gridSpan w:val="2"/>
            <w:tcBorders>
              <w:bottom w:val="nil"/>
              <w:right w:val="nil"/>
            </w:tcBorders>
            <w:shd w:val="clear" w:color="auto" w:fill="auto"/>
          </w:tcPr>
          <w:p w:rsidR="002838A2" w:rsidRPr="0042061A" w:rsidRDefault="002838A2" w:rsidP="002838A2">
            <w:pPr>
              <w:pStyle w:val="RecBodyText"/>
              <w:rPr>
                <w:b/>
                <w:color w:val="auto"/>
              </w:rPr>
            </w:pPr>
            <w:r w:rsidRPr="0042061A">
              <w:rPr>
                <w:b/>
                <w:color w:val="auto"/>
              </w:rPr>
              <w:t>Implementation Date:</w:t>
            </w:r>
          </w:p>
        </w:tc>
      </w:tr>
      <w:tr w:rsidR="002838A2" w:rsidRPr="00B34334" w:rsidTr="00663FF2">
        <w:trPr>
          <w:cantSplit/>
        </w:trPr>
        <w:tc>
          <w:tcPr>
            <w:tcW w:w="4892" w:type="dxa"/>
            <w:gridSpan w:val="2"/>
            <w:tcBorders>
              <w:top w:val="nil"/>
              <w:left w:val="nil"/>
            </w:tcBorders>
            <w:shd w:val="clear" w:color="auto" w:fill="auto"/>
          </w:tcPr>
          <w:p w:rsidR="002838A2" w:rsidRPr="00C71350" w:rsidRDefault="002838A2" w:rsidP="0065368D">
            <w:pPr>
              <w:pStyle w:val="RecBodyText"/>
            </w:pPr>
            <w:r>
              <w:t xml:space="preserve">To revise the SSLEP Assurance Framework document to ensure compliance </w:t>
            </w:r>
            <w:r w:rsidR="00643F64">
              <w:t>it sets out the latest Data Protections Laws per the 2018 Act and not 1998</w:t>
            </w:r>
          </w:p>
        </w:tc>
        <w:tc>
          <w:tcPr>
            <w:tcW w:w="4169" w:type="dxa"/>
            <w:gridSpan w:val="2"/>
            <w:tcBorders>
              <w:top w:val="nil"/>
              <w:right w:val="nil"/>
            </w:tcBorders>
            <w:shd w:val="clear" w:color="auto" w:fill="auto"/>
          </w:tcPr>
          <w:p w:rsidR="002838A2" w:rsidRPr="008A0B42" w:rsidRDefault="009759B0" w:rsidP="0065368D">
            <w:pPr>
              <w:pStyle w:val="BodyText2"/>
              <w:spacing w:before="0"/>
              <w:ind w:left="0"/>
              <w:rPr>
                <w:rFonts w:cs="Arial"/>
                <w:color w:val="auto"/>
              </w:rPr>
            </w:pPr>
            <w:r>
              <w:rPr>
                <w:rFonts w:cs="Arial"/>
                <w:color w:val="auto"/>
              </w:rPr>
              <w:t>30</w:t>
            </w:r>
            <w:r w:rsidRPr="00554B54">
              <w:rPr>
                <w:rFonts w:cs="Arial"/>
                <w:color w:val="auto"/>
                <w:vertAlign w:val="superscript"/>
              </w:rPr>
              <w:t>th</w:t>
            </w:r>
            <w:r>
              <w:rPr>
                <w:rFonts w:cs="Arial"/>
                <w:color w:val="auto"/>
              </w:rPr>
              <w:t xml:space="preserve"> April 2019</w:t>
            </w:r>
          </w:p>
        </w:tc>
      </w:tr>
    </w:tbl>
    <w:p w:rsidR="00011B3E" w:rsidRDefault="00011B3E" w:rsidP="00BF46B9">
      <w:pPr>
        <w:spacing w:after="200" w:line="276" w:lineRule="auto"/>
        <w:rPr>
          <w:szCs w:val="20"/>
          <w:lang w:eastAsia="en-US"/>
        </w:rPr>
      </w:pPr>
    </w:p>
    <w:p w:rsidR="00B1572B" w:rsidRDefault="00B1572B" w:rsidP="00BF46B9">
      <w:pPr>
        <w:spacing w:after="200" w:line="276" w:lineRule="auto"/>
        <w:rPr>
          <w:szCs w:val="20"/>
          <w:lang w:eastAsia="en-US"/>
        </w:rPr>
      </w:pPr>
    </w:p>
    <w:p w:rsidR="00B1572B" w:rsidRDefault="00B1572B" w:rsidP="00BF46B9">
      <w:pPr>
        <w:spacing w:after="200" w:line="276" w:lineRule="auto"/>
        <w:rPr>
          <w:szCs w:val="20"/>
          <w:lang w:eastAsia="en-US"/>
        </w:rPr>
      </w:pPr>
    </w:p>
    <w:p w:rsidR="00B1572B" w:rsidRDefault="00B1572B" w:rsidP="00BF46B9">
      <w:pPr>
        <w:spacing w:after="200" w:line="276" w:lineRule="auto"/>
        <w:rPr>
          <w:szCs w:val="20"/>
          <w:lang w:eastAsia="en-US"/>
        </w:rPr>
      </w:pPr>
    </w:p>
    <w:p w:rsidR="00B1572B" w:rsidRDefault="00B1572B" w:rsidP="00BF46B9">
      <w:pPr>
        <w:spacing w:after="200" w:line="276" w:lineRule="auto"/>
        <w:rPr>
          <w:szCs w:val="20"/>
          <w:lang w:eastAsia="en-US"/>
        </w:rPr>
      </w:pPr>
    </w:p>
    <w:p w:rsidR="00874750" w:rsidRDefault="00874750" w:rsidP="00BF46B9">
      <w:pPr>
        <w:spacing w:after="200" w:line="276" w:lineRule="auto"/>
        <w:rPr>
          <w:szCs w:val="20"/>
          <w:lang w:eastAsia="en-US"/>
        </w:rPr>
      </w:pPr>
    </w:p>
    <w:p w:rsidR="00874750" w:rsidRDefault="00874750" w:rsidP="00BF46B9">
      <w:pPr>
        <w:spacing w:after="200" w:line="276" w:lineRule="auto"/>
        <w:rPr>
          <w:szCs w:val="20"/>
          <w:lang w:eastAsia="en-US"/>
        </w:rPr>
      </w:pPr>
    </w:p>
    <w:p w:rsidR="00874750" w:rsidRDefault="00874750" w:rsidP="00BF46B9">
      <w:pPr>
        <w:spacing w:after="200" w:line="276" w:lineRule="auto"/>
        <w:rPr>
          <w:szCs w:val="20"/>
          <w:lang w:eastAsia="en-US"/>
        </w:rPr>
      </w:pPr>
    </w:p>
    <w:p w:rsidR="00874750" w:rsidRDefault="00874750" w:rsidP="00BF46B9">
      <w:pPr>
        <w:spacing w:after="200" w:line="276" w:lineRule="auto"/>
        <w:rPr>
          <w:szCs w:val="20"/>
          <w:lang w:eastAsia="en-US"/>
        </w:rPr>
      </w:pPr>
    </w:p>
    <w:p w:rsidR="00874750" w:rsidRDefault="00874750" w:rsidP="00BF46B9">
      <w:pPr>
        <w:spacing w:after="200" w:line="276" w:lineRule="auto"/>
        <w:rPr>
          <w:szCs w:val="20"/>
          <w:lang w:eastAsia="en-US"/>
        </w:rPr>
      </w:pPr>
    </w:p>
    <w:p w:rsidR="00874750" w:rsidRDefault="00874750" w:rsidP="00BF46B9">
      <w:pPr>
        <w:spacing w:after="200" w:line="276" w:lineRule="auto"/>
        <w:rPr>
          <w:szCs w:val="20"/>
          <w:lang w:eastAsia="en-US"/>
        </w:rPr>
      </w:pPr>
    </w:p>
    <w:p w:rsidR="0065368D" w:rsidRDefault="0065368D">
      <w:pPr>
        <w:spacing w:after="200" w:line="276" w:lineRule="auto"/>
        <w:rPr>
          <w:szCs w:val="20"/>
          <w:lang w:eastAsia="en-US"/>
        </w:rPr>
      </w:pPr>
      <w:r>
        <w:rPr>
          <w:szCs w:val="20"/>
          <w:lang w:eastAsia="en-US"/>
        </w:rPr>
        <w:br w:type="page"/>
      </w:r>
    </w:p>
    <w:p w:rsidR="00496CB7" w:rsidRDefault="00496CB7" w:rsidP="00387299">
      <w:pPr>
        <w:pStyle w:val="Heading1"/>
        <w:numPr>
          <w:ilvl w:val="1"/>
          <w:numId w:val="8"/>
        </w:numPr>
        <w:tabs>
          <w:tab w:val="clear" w:pos="360"/>
          <w:tab w:val="num" w:pos="720"/>
        </w:tabs>
        <w:spacing w:after="0"/>
      </w:pPr>
      <w:bookmarkStart w:id="106" w:name="_Toc525989966"/>
      <w:bookmarkStart w:id="107" w:name="_Toc8197437"/>
      <w:bookmarkStart w:id="108" w:name="_Toc8231391"/>
      <w:bookmarkStart w:id="109" w:name="_Toc9488573"/>
      <w:r>
        <w:lastRenderedPageBreak/>
        <w:t>Minor Priority Issues</w:t>
      </w:r>
      <w:bookmarkEnd w:id="106"/>
      <w:bookmarkEnd w:id="107"/>
      <w:bookmarkEnd w:id="108"/>
      <w:bookmarkEnd w:id="109"/>
    </w:p>
    <w:p w:rsidR="00496CB7" w:rsidRDefault="00496CB7" w:rsidP="00496CB7">
      <w:pPr>
        <w:pStyle w:val="BodyText2"/>
        <w:spacing w:before="120" w:after="60"/>
      </w:pPr>
      <w:r>
        <w:t>During the course of this audit, Internal Audit have identified control issues which are considered to pose only a minor risk to the organisation, As such, Internal Audit have not raised formal recommendations for management to respond to and do not intend to formally follow up any of these issues. Management is at liberty to take whatever action it deems necessary to mitigate the following minor risks:</w:t>
      </w:r>
    </w:p>
    <w:p w:rsidR="00496CB7" w:rsidRPr="009A46CB" w:rsidRDefault="00496CB7" w:rsidP="009A46CB">
      <w:pPr>
        <w:pStyle w:val="Heading2"/>
        <w:numPr>
          <w:ilvl w:val="2"/>
          <w:numId w:val="8"/>
        </w:numPr>
        <w:spacing w:before="120"/>
        <w:rPr>
          <w:sz w:val="22"/>
          <w:szCs w:val="22"/>
        </w:rPr>
      </w:pPr>
      <w:bookmarkStart w:id="110" w:name="_Toc9488574"/>
      <w:r w:rsidRPr="009A46CB">
        <w:rPr>
          <w:sz w:val="22"/>
          <w:szCs w:val="22"/>
        </w:rPr>
        <w:t>Board Member as Diversity Lead</w:t>
      </w:r>
      <w:bookmarkEnd w:id="110"/>
    </w:p>
    <w:p w:rsidR="00496CB7" w:rsidRDefault="00496CB7" w:rsidP="00FB1E93">
      <w:pPr>
        <w:pStyle w:val="BodyText2"/>
      </w:pPr>
      <w:r>
        <w:t>Best practice (and not mandatory requirements in the Framework) set out that a nominated Board member should be a Diversity Lead. This is to support the achievement of the Diversity Statement and overall balance of the Board to ensure good decisions are made.</w:t>
      </w:r>
    </w:p>
    <w:p w:rsidR="00496CB7" w:rsidRPr="00BF46B9" w:rsidRDefault="00496CB7" w:rsidP="00FB1E93">
      <w:pPr>
        <w:spacing w:after="200" w:line="276" w:lineRule="auto"/>
        <w:ind w:left="720"/>
        <w:jc w:val="both"/>
        <w:rPr>
          <w:szCs w:val="20"/>
          <w:lang w:eastAsia="en-US"/>
        </w:rPr>
        <w:sectPr w:rsidR="00496CB7" w:rsidRPr="00BF46B9" w:rsidSect="00677E74">
          <w:footerReference w:type="default" r:id="rId16"/>
          <w:footerReference w:type="first" r:id="rId17"/>
          <w:pgSz w:w="11909" w:h="16834" w:code="9"/>
          <w:pgMar w:top="2268" w:right="1080" w:bottom="1560" w:left="1260" w:header="706" w:footer="331" w:gutter="0"/>
          <w:paperSrc w:first="7"/>
          <w:pgNumType w:start="1"/>
          <w:cols w:space="708"/>
          <w:docGrid w:linePitch="360"/>
        </w:sectPr>
      </w:pPr>
      <w:r w:rsidRPr="00724198">
        <w:rPr>
          <w:szCs w:val="20"/>
          <w:lang w:eastAsia="en-US"/>
        </w:rPr>
        <w:t>It was found that there is not currently an assigned Board member leading on diversity.  The full Board is currently not in place as vacancies are filled and therefore this role has not been appointed but is recognised and expected that this requirement to be fulfilled in the coming months.  As the Council are in the process of seeking a Diversity Board Member and that this is a best practice and not mandatory requirement, this is noted as a minor priority issue.</w:t>
      </w:r>
    </w:p>
    <w:p w:rsidR="00D64404" w:rsidRDefault="00D64404" w:rsidP="00D64404">
      <w:bookmarkStart w:id="111" w:name="MARKER"/>
      <w:bookmarkEnd w:id="111"/>
    </w:p>
    <w:p w:rsidR="00D64404" w:rsidRDefault="00D64404" w:rsidP="00D64404"/>
    <w:p w:rsidR="00D64404" w:rsidRDefault="00D64404" w:rsidP="00D64404"/>
    <w:p w:rsidR="00D64404" w:rsidRDefault="00D64404" w:rsidP="00D64404"/>
    <w:p w:rsidR="00D64404" w:rsidRDefault="00D64404" w:rsidP="00D64404"/>
    <w:p w:rsidR="00D64404" w:rsidRDefault="00D64404" w:rsidP="00D64404"/>
    <w:p w:rsidR="00D64404" w:rsidRDefault="00D64404" w:rsidP="00D64404"/>
    <w:p w:rsidR="00D64404" w:rsidRDefault="00D64404" w:rsidP="00D64404"/>
    <w:p w:rsidR="00D64404" w:rsidRDefault="00D64404" w:rsidP="00D64404"/>
    <w:p w:rsidR="00D64404" w:rsidRDefault="00D64404" w:rsidP="00D64404"/>
    <w:p w:rsidR="00D64404" w:rsidRDefault="00D64404" w:rsidP="00D64404"/>
    <w:p w:rsidR="00D64404" w:rsidRDefault="00D64404" w:rsidP="00D64404"/>
    <w:p w:rsidR="00D64404" w:rsidRDefault="00D64404" w:rsidP="00D64404"/>
    <w:p w:rsidR="00D64404" w:rsidRDefault="00D64404" w:rsidP="00D64404"/>
    <w:p w:rsidR="00D64404" w:rsidRDefault="00D64404" w:rsidP="00D64404"/>
    <w:p w:rsidR="00D64404" w:rsidRDefault="00D64404" w:rsidP="00D64404"/>
    <w:p w:rsidR="00D64404" w:rsidRDefault="00D64404" w:rsidP="00D64404"/>
    <w:p w:rsidR="00D64404" w:rsidRDefault="00D64404" w:rsidP="00D64404"/>
    <w:p w:rsidR="00D64404" w:rsidRDefault="00D64404" w:rsidP="00D64404"/>
    <w:p w:rsidR="00D64404" w:rsidRDefault="00D64404" w:rsidP="00D64404"/>
    <w:p w:rsidR="00D64404" w:rsidRDefault="00D64404" w:rsidP="00D64404"/>
    <w:p w:rsidR="00D64404" w:rsidRDefault="00D64404" w:rsidP="00D64404"/>
    <w:p w:rsidR="00D64404" w:rsidRDefault="00D64404" w:rsidP="00D64404"/>
    <w:p w:rsidR="00645DB7" w:rsidRDefault="00645DB7" w:rsidP="00D64404"/>
    <w:p w:rsidR="00645DB7" w:rsidRDefault="00645DB7" w:rsidP="00D64404"/>
    <w:p w:rsidR="00645DB7" w:rsidRDefault="00645DB7" w:rsidP="00D64404"/>
    <w:p w:rsidR="00645DB7" w:rsidRDefault="00645DB7" w:rsidP="005D4583">
      <w:pPr>
        <w:pStyle w:val="RecBodyTextLetter"/>
        <w:numPr>
          <w:ilvl w:val="0"/>
          <w:numId w:val="0"/>
        </w:numPr>
        <w:ind w:left="720" w:hanging="360"/>
      </w:pPr>
    </w:p>
    <w:p w:rsidR="00645DB7" w:rsidRDefault="00645DB7" w:rsidP="00D64404"/>
    <w:p w:rsidR="00645DB7" w:rsidRDefault="00645DB7" w:rsidP="00D64404"/>
    <w:p w:rsidR="00645DB7" w:rsidRDefault="00645DB7" w:rsidP="00D64404"/>
    <w:p w:rsidR="00645DB7" w:rsidRDefault="00645DB7" w:rsidP="00D64404"/>
    <w:p w:rsidR="00645DB7" w:rsidRDefault="00645DB7" w:rsidP="00D64404"/>
    <w:p w:rsidR="00645DB7" w:rsidRDefault="00645DB7" w:rsidP="00D64404"/>
    <w:p w:rsidR="00D64404" w:rsidRDefault="00D64404" w:rsidP="00D64404"/>
    <w:p w:rsidR="00D64404" w:rsidRDefault="00D64404" w:rsidP="00D64404"/>
    <w:p w:rsidR="00645DB7" w:rsidRPr="00645DB7" w:rsidRDefault="00645DB7" w:rsidP="00645DB7">
      <w:pPr>
        <w:rPr>
          <w:rFonts w:cs="Arial"/>
          <w:b/>
          <w:color w:val="auto"/>
          <w:szCs w:val="22"/>
          <w:u w:val="single"/>
        </w:rPr>
      </w:pPr>
      <w:r w:rsidRPr="00645DB7">
        <w:rPr>
          <w:rFonts w:cs="Arial"/>
          <w:b/>
          <w:color w:val="auto"/>
          <w:szCs w:val="22"/>
          <w:u w:val="single"/>
        </w:rPr>
        <w:t>Disclaimer</w:t>
      </w:r>
    </w:p>
    <w:p w:rsidR="00645DB7" w:rsidRPr="00645DB7" w:rsidRDefault="00645DB7" w:rsidP="00645DB7">
      <w:pPr>
        <w:rPr>
          <w:rFonts w:cs="Arial"/>
          <w:color w:val="auto"/>
          <w:szCs w:val="22"/>
          <w:u w:val="single"/>
        </w:rPr>
      </w:pPr>
      <w:r w:rsidRPr="00645DB7">
        <w:rPr>
          <w:rFonts w:cs="Arial"/>
          <w:color w:val="auto"/>
          <w:sz w:val="20"/>
          <w:szCs w:val="20"/>
        </w:rPr>
        <w:t>The matters raised in this report are only those that came to the attention of the auditor during the course of the internal audit review and are not necessarily a comprehensive statement of all the weaknesses that exist or all the improvements that might be made. This report has been prepared solely for management's use and must not be recited or referred to in whole or in part to third parties without our prior written consent. No responsibility to any third party is accepted as the report has not been prepared, and is not intended, for any other purpose. SCC neither owes nor accepts any duty of care to any other party who may receive this report and specifically disclaims any liability for loss, damage or expense of whatsoever nature, which is caused by their reliance on our report.</w:t>
      </w:r>
    </w:p>
    <w:p w:rsidR="00994338" w:rsidRDefault="00994338" w:rsidP="00D64404"/>
    <w:p w:rsidR="00994338" w:rsidRDefault="00994338" w:rsidP="00D64404"/>
    <w:p w:rsidR="00994338" w:rsidRDefault="00994338" w:rsidP="00D64404"/>
    <w:p w:rsidR="00D740C3" w:rsidRDefault="00D740C3" w:rsidP="00D64404"/>
    <w:p w:rsidR="00D64404" w:rsidRDefault="00D64404" w:rsidP="00994338">
      <w:pPr>
        <w:jc w:val="center"/>
      </w:pPr>
    </w:p>
    <w:p w:rsidR="008929F1" w:rsidRPr="00D740C3" w:rsidRDefault="00994338" w:rsidP="00994338">
      <w:pPr>
        <w:jc w:val="center"/>
        <w:rPr>
          <w:rFonts w:ascii="Lucida Handwriting" w:hAnsi="Lucida Handwriting"/>
          <w:color w:val="000080"/>
          <w:sz w:val="30"/>
          <w:szCs w:val="30"/>
        </w:rPr>
      </w:pPr>
      <w:r>
        <w:rPr>
          <w:rFonts w:ascii="Lucida Handwriting" w:hAnsi="Lucida Handwriting"/>
          <w:noProof/>
          <w:color w:val="000080"/>
          <w:sz w:val="30"/>
          <w:szCs w:val="30"/>
        </w:rPr>
        <w:drawing>
          <wp:inline distT="0" distB="0" distL="0" distR="0" wp14:anchorId="04EBAA19" wp14:editId="5FE934C8">
            <wp:extent cx="279019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190" cy="762000"/>
                    </a:xfrm>
                    <a:prstGeom prst="rect">
                      <a:avLst/>
                    </a:prstGeom>
                    <a:noFill/>
                  </pic:spPr>
                </pic:pic>
              </a:graphicData>
            </a:graphic>
          </wp:inline>
        </w:drawing>
      </w:r>
    </w:p>
    <w:sectPr w:rsidR="008929F1" w:rsidRPr="00D740C3" w:rsidSect="00994338">
      <w:headerReference w:type="default" r:id="rId18"/>
      <w:footerReference w:type="default" r:id="rId19"/>
      <w:pgSz w:w="11909" w:h="16834" w:code="9"/>
      <w:pgMar w:top="720" w:right="1080" w:bottom="1440" w:left="1440" w:header="706" w:footer="86" w:gutter="0"/>
      <w:paperSrc w:first="7"/>
      <w:pgBorders w:display="firstPage" w:offsetFrom="page">
        <w:top w:val="single" w:sz="12" w:space="24" w:color="B58829"/>
        <w:left w:val="single" w:sz="12" w:space="24" w:color="B58829"/>
        <w:bottom w:val="single" w:sz="12" w:space="24" w:color="B58829"/>
        <w:right w:val="single" w:sz="12" w:space="24" w:color="B5882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380" w:rsidRDefault="00BE4380">
      <w:r>
        <w:separator/>
      </w:r>
    </w:p>
  </w:endnote>
  <w:endnote w:type="continuationSeparator" w:id="0">
    <w:p w:rsidR="00BE4380" w:rsidRDefault="00BE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380" w:rsidRDefault="00BE4380" w:rsidP="00855A87">
    <w:pPr>
      <w:pStyle w:val="Footer"/>
      <w:ind w:left="-360"/>
    </w:pPr>
    <w:r>
      <w:rPr>
        <w:noProof/>
      </w:rPr>
      <w:drawing>
        <wp:inline distT="0" distB="0" distL="0" distR="0" wp14:anchorId="7480B399" wp14:editId="0876DE3C">
          <wp:extent cx="7526215" cy="878888"/>
          <wp:effectExtent l="0" t="0" r="0" b="0"/>
          <wp:docPr id="2" name="Picture 2" descr="staffs swoosh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s swooshe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856" cy="888071"/>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380" w:rsidRDefault="00BE4380">
    <w:pPr>
      <w:pStyle w:val="Footer"/>
      <w:jc w:val="center"/>
    </w:pPr>
  </w:p>
  <w:p w:rsidR="00BE4380" w:rsidRDefault="00BE43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380" w:rsidRPr="00EF7F6D" w:rsidRDefault="00BE4380" w:rsidP="00B13E02">
    <w:pPr>
      <w:pStyle w:val="BodyText2"/>
      <w:ind w:hanging="720"/>
      <w:rPr>
        <w:i/>
      </w:rPr>
    </w:pPr>
    <w:r w:rsidRPr="00EF7F6D">
      <w:rPr>
        <w:i/>
      </w:rPr>
      <w:t>This audit has been conducted in accordance with the Public Sector Internal Audit Standards</w:t>
    </w:r>
    <w:r>
      <w:rPr>
        <w:i/>
      </w:rPr>
      <w:t>.</w:t>
    </w:r>
  </w:p>
  <w:p w:rsidR="00BE4380" w:rsidRDefault="00BE43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380" w:rsidRDefault="00BE4380">
    <w:pPr>
      <w:pStyle w:val="Footer"/>
      <w:jc w:val="center"/>
    </w:pPr>
  </w:p>
  <w:p w:rsidR="00BE4380" w:rsidRDefault="00BE4380" w:rsidP="00994338">
    <w:pPr>
      <w:pStyle w:val="Footer"/>
      <w:ind w:left="-12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351319"/>
      <w:docPartObj>
        <w:docPartGallery w:val="Page Numbers (Bottom of Page)"/>
        <w:docPartUnique/>
      </w:docPartObj>
    </w:sdtPr>
    <w:sdtEndPr>
      <w:rPr>
        <w:noProof/>
      </w:rPr>
    </w:sdtEndPr>
    <w:sdtContent>
      <w:p w:rsidR="00BE4380" w:rsidRDefault="00BE4380">
        <w:pPr>
          <w:pStyle w:val="Footer"/>
          <w:jc w:val="center"/>
        </w:pPr>
        <w:r>
          <w:fldChar w:fldCharType="begin"/>
        </w:r>
        <w:r>
          <w:instrText xml:space="preserve"> PAGE   \* MERGEFORMAT </w:instrText>
        </w:r>
        <w:r>
          <w:fldChar w:fldCharType="separate"/>
        </w:r>
        <w:r w:rsidR="00554B54">
          <w:rPr>
            <w:noProof/>
          </w:rPr>
          <w:t>1</w:t>
        </w:r>
        <w:r>
          <w:rPr>
            <w:noProof/>
          </w:rPr>
          <w:fldChar w:fldCharType="end"/>
        </w:r>
      </w:p>
    </w:sdtContent>
  </w:sdt>
  <w:p w:rsidR="00BE4380" w:rsidRDefault="00BE4380" w:rsidP="00994338">
    <w:pPr>
      <w:pStyle w:val="Footer"/>
      <w:ind w:left="-12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902161"/>
      <w:docPartObj>
        <w:docPartGallery w:val="Page Numbers (Bottom of Page)"/>
        <w:docPartUnique/>
      </w:docPartObj>
    </w:sdtPr>
    <w:sdtEndPr>
      <w:rPr>
        <w:noProof/>
      </w:rPr>
    </w:sdtEndPr>
    <w:sdtContent>
      <w:p w:rsidR="00BE4380" w:rsidRDefault="00BE438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E4380" w:rsidRDefault="00BE43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380" w:rsidRDefault="00BE4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380" w:rsidRDefault="00BE4380">
      <w:r>
        <w:separator/>
      </w:r>
    </w:p>
  </w:footnote>
  <w:footnote w:type="continuationSeparator" w:id="0">
    <w:p w:rsidR="00BE4380" w:rsidRDefault="00BE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468" w:type="dxa"/>
      <w:tblLook w:val="0000" w:firstRow="0" w:lastRow="0" w:firstColumn="0" w:lastColumn="0" w:noHBand="0" w:noVBand="0"/>
    </w:tblPr>
    <w:tblGrid>
      <w:gridCol w:w="10260"/>
    </w:tblGrid>
    <w:tr w:rsidR="00BE4380" w:rsidRPr="00DF1F93" w:rsidTr="00F756A9">
      <w:trPr>
        <w:trHeight w:val="360"/>
      </w:trPr>
      <w:tc>
        <w:tcPr>
          <w:tcW w:w="10260" w:type="dxa"/>
          <w:shd w:val="clear" w:color="auto" w:fill="auto"/>
          <w:vAlign w:val="center"/>
        </w:tcPr>
        <w:p w:rsidR="00BE4380" w:rsidRPr="00DF1F93" w:rsidRDefault="00BE4380" w:rsidP="00F756A9">
          <w:pPr>
            <w:jc w:val="center"/>
            <w:rPr>
              <w:rFonts w:ascii="Century Gothic" w:hAnsi="Century Gothic"/>
              <w:b/>
              <w:color w:val="99CCFF"/>
              <w:sz w:val="48"/>
              <w:szCs w:val="48"/>
            </w:rPr>
          </w:pPr>
        </w:p>
      </w:tc>
    </w:tr>
  </w:tbl>
  <w:p w:rsidR="00BE4380" w:rsidRPr="00F756A9" w:rsidRDefault="00BE4380">
    <w:pPr>
      <w:rPr>
        <w:rFonts w:ascii="Lucida Handwriting" w:hAnsi="Lucida Handwritin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380" w:rsidRPr="00946D52" w:rsidRDefault="00BE4380">
    <w:pPr>
      <w:rPr>
        <w:rFonts w:ascii="Century Gothic" w:hAnsi="Century Gothic"/>
        <w:color w:val="333399"/>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8936"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8"/>
      <w:gridCol w:w="9468"/>
    </w:tblGrid>
    <w:tr w:rsidR="00BE4380" w:rsidRPr="00946D52" w:rsidTr="00343E37">
      <w:tc>
        <w:tcPr>
          <w:tcW w:w="9468" w:type="dxa"/>
        </w:tcPr>
        <w:p w:rsidR="00BE4380" w:rsidRPr="0094291E" w:rsidRDefault="00554B54" w:rsidP="00343E37">
          <w:pPr>
            <w:rPr>
              <w:rFonts w:cs="Arial"/>
              <w:color w:val="B58829"/>
              <w:szCs w:val="20"/>
            </w:rPr>
          </w:pPr>
          <w:r>
            <w:rPr>
              <w:rFonts w:cs="Arial"/>
              <w:color w:val="B58829"/>
              <w:szCs w:val="20"/>
            </w:rPr>
            <w:t>Final</w:t>
          </w:r>
          <w:r w:rsidR="00BE4380">
            <w:rPr>
              <w:rFonts w:cs="Arial"/>
              <w:color w:val="B58829"/>
              <w:szCs w:val="20"/>
            </w:rPr>
            <w:t xml:space="preserve"> Audit Report</w:t>
          </w:r>
        </w:p>
      </w:tc>
      <w:tc>
        <w:tcPr>
          <w:tcW w:w="9468" w:type="dxa"/>
        </w:tcPr>
        <w:p w:rsidR="00BE4380" w:rsidRPr="0094291E" w:rsidRDefault="00BE4380" w:rsidP="00343E37">
          <w:pPr>
            <w:rPr>
              <w:rFonts w:cs="Arial"/>
              <w:color w:val="B58829"/>
              <w:szCs w:val="20"/>
            </w:rPr>
          </w:pPr>
          <w:bookmarkStart w:id="3" w:name="headerreport"/>
          <w:bookmarkEnd w:id="3"/>
        </w:p>
      </w:tc>
    </w:tr>
    <w:tr w:rsidR="00BE4380" w:rsidRPr="0094291E" w:rsidTr="00343E37">
      <w:tc>
        <w:tcPr>
          <w:tcW w:w="9468" w:type="dxa"/>
        </w:tcPr>
        <w:p w:rsidR="00BE4380" w:rsidRPr="0094291E" w:rsidRDefault="00BE4380" w:rsidP="00343E37">
          <w:pPr>
            <w:spacing w:after="120"/>
            <w:rPr>
              <w:rFonts w:cs="Arial"/>
              <w:color w:val="B58829"/>
              <w:sz w:val="32"/>
              <w:szCs w:val="32"/>
            </w:rPr>
          </w:pPr>
          <w:r>
            <w:rPr>
              <w:rFonts w:cs="Arial"/>
              <w:color w:val="B58829"/>
              <w:sz w:val="32"/>
              <w:szCs w:val="32"/>
            </w:rPr>
            <w:t>LEP Governance</w:t>
          </w:r>
        </w:p>
      </w:tc>
      <w:tc>
        <w:tcPr>
          <w:tcW w:w="9468" w:type="dxa"/>
        </w:tcPr>
        <w:p w:rsidR="00BE4380" w:rsidRPr="0094291E" w:rsidRDefault="00BE4380" w:rsidP="00343E37">
          <w:pPr>
            <w:spacing w:after="120"/>
            <w:rPr>
              <w:rFonts w:cs="Arial"/>
              <w:color w:val="B58829"/>
              <w:sz w:val="32"/>
              <w:szCs w:val="32"/>
            </w:rPr>
          </w:pPr>
          <w:bookmarkStart w:id="4" w:name="header"/>
          <w:bookmarkEnd w:id="4"/>
        </w:p>
      </w:tc>
    </w:tr>
  </w:tbl>
  <w:p w:rsidR="00BE4380" w:rsidRPr="00312D4C" w:rsidRDefault="00BE4380">
    <w:pPr>
      <w:rPr>
        <w:rFonts w:ascii="Century Gothic" w:hAnsi="Century Gothic"/>
        <w:color w:val="333399"/>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380" w:rsidRPr="00312D4C" w:rsidRDefault="00BE4380">
    <w:pPr>
      <w:rPr>
        <w:rFonts w:ascii="Century Gothic" w:hAnsi="Century Gothic"/>
        <w:color w:val="33339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C2E24"/>
    <w:multiLevelType w:val="hybridMultilevel"/>
    <w:tmpl w:val="1A022C54"/>
    <w:lvl w:ilvl="0" w:tplc="BDEC9FBC">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98"/>
        </w:tabs>
        <w:ind w:left="1098" w:hanging="360"/>
      </w:pPr>
      <w:rPr>
        <w:rFonts w:ascii="Courier New" w:hAnsi="Courier New" w:hint="default"/>
      </w:rPr>
    </w:lvl>
    <w:lvl w:ilvl="2" w:tplc="FA0EA64C">
      <w:start w:val="1"/>
      <w:numFmt w:val="bullet"/>
      <w:pStyle w:val="Bullet1Indent"/>
      <w:lvlText w:val="o"/>
      <w:lvlJc w:val="left"/>
      <w:pPr>
        <w:tabs>
          <w:tab w:val="num" w:pos="1818"/>
        </w:tabs>
        <w:ind w:left="1418" w:hanging="454"/>
      </w:pPr>
      <w:rPr>
        <w:rFonts w:ascii="Courier New" w:hAnsi="Courier New" w:hint="default"/>
      </w:rPr>
    </w:lvl>
    <w:lvl w:ilvl="3" w:tplc="0409000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 w15:restartNumberingAfterBreak="0">
    <w:nsid w:val="10B11CA8"/>
    <w:multiLevelType w:val="hybridMultilevel"/>
    <w:tmpl w:val="03202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7641B"/>
    <w:multiLevelType w:val="multilevel"/>
    <w:tmpl w:val="5A0854B8"/>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B60EE5"/>
    <w:multiLevelType w:val="hybridMultilevel"/>
    <w:tmpl w:val="03202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27C08"/>
    <w:multiLevelType w:val="hybridMultilevel"/>
    <w:tmpl w:val="66960146"/>
    <w:lvl w:ilvl="0" w:tplc="BDEC9F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98"/>
        </w:tabs>
        <w:ind w:left="1098" w:hanging="360"/>
      </w:pPr>
      <w:rPr>
        <w:rFonts w:ascii="Courier New" w:hAnsi="Courier New" w:hint="default"/>
      </w:rPr>
    </w:lvl>
    <w:lvl w:ilvl="2" w:tplc="08090001">
      <w:start w:val="1"/>
      <w:numFmt w:val="bullet"/>
      <w:lvlText w:val=""/>
      <w:lvlJc w:val="left"/>
      <w:pPr>
        <w:tabs>
          <w:tab w:val="num" w:pos="1564"/>
        </w:tabs>
        <w:ind w:left="1164" w:hanging="454"/>
      </w:pPr>
      <w:rPr>
        <w:rFonts w:ascii="Symbol" w:hAnsi="Symbol" w:hint="default"/>
      </w:rPr>
    </w:lvl>
    <w:lvl w:ilvl="3" w:tplc="0409000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5" w15:restartNumberingAfterBreak="0">
    <w:nsid w:val="1B6940B6"/>
    <w:multiLevelType w:val="hybridMultilevel"/>
    <w:tmpl w:val="146CD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00A91"/>
    <w:multiLevelType w:val="multilevel"/>
    <w:tmpl w:val="4BCE9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956DE7"/>
    <w:multiLevelType w:val="multilevel"/>
    <w:tmpl w:val="EAF0A638"/>
    <w:lvl w:ilvl="0">
      <w:start w:val="1"/>
      <w:numFmt w:val="none"/>
      <w:suff w:val="nothing"/>
      <w:lvlText w:val="%1"/>
      <w:lvlJc w:val="left"/>
      <w:pPr>
        <w:ind w:left="0" w:firstLine="0"/>
      </w:pPr>
      <w:rPr>
        <w:rFonts w:ascii="Verdana" w:hAnsi="Verdana" w:hint="default"/>
        <w:b w:val="0"/>
        <w:i w:val="0"/>
        <w:color w:val="008080"/>
        <w:sz w:val="42"/>
      </w:rPr>
    </w:lvl>
    <w:lvl w:ilvl="1">
      <w:start w:val="1"/>
      <w:numFmt w:val="decimal"/>
      <w:pStyle w:val="Heading1"/>
      <w:lvlText w:val="%2"/>
      <w:lvlJc w:val="left"/>
      <w:pPr>
        <w:tabs>
          <w:tab w:val="num" w:pos="360"/>
        </w:tabs>
        <w:ind w:left="0" w:firstLine="0"/>
      </w:pPr>
      <w:rPr>
        <w:rFonts w:ascii="Arial" w:hAnsi="Arial" w:hint="default"/>
        <w:b w:val="0"/>
        <w:i w:val="0"/>
        <w:color w:val="auto"/>
        <w:sz w:val="36"/>
        <w:szCs w:val="36"/>
      </w:rPr>
    </w:lvl>
    <w:lvl w:ilvl="2">
      <w:start w:val="1"/>
      <w:numFmt w:val="decimal"/>
      <w:pStyle w:val="Heading2"/>
      <w:lvlText w:val="%2.%3"/>
      <w:lvlJc w:val="left"/>
      <w:pPr>
        <w:tabs>
          <w:tab w:val="num" w:pos="720"/>
        </w:tabs>
        <w:ind w:left="0" w:firstLine="0"/>
      </w:pPr>
      <w:rPr>
        <w:rFonts w:ascii="Arial" w:hAnsi="Arial" w:hint="default"/>
        <w:b w:val="0"/>
        <w:i w:val="0"/>
        <w:color w:val="auto"/>
        <w:sz w:val="24"/>
        <w:szCs w:val="24"/>
      </w:rPr>
    </w:lvl>
    <w:lvl w:ilvl="3">
      <w:start w:val="1"/>
      <w:numFmt w:val="decimal"/>
      <w:pStyle w:val="BodyText"/>
      <w:lvlText w:val="%2.%3.%4"/>
      <w:lvlJc w:val="left"/>
      <w:pPr>
        <w:tabs>
          <w:tab w:val="num" w:pos="862"/>
        </w:tabs>
        <w:ind w:left="142" w:firstLine="0"/>
      </w:pPr>
      <w:rPr>
        <w:rFonts w:ascii="Arial" w:hAnsi="Arial" w:hint="default"/>
        <w:b w:val="0"/>
        <w:i w:val="0"/>
        <w:color w:val="000000"/>
        <w:sz w:val="20"/>
        <w:szCs w:val="28"/>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15:restartNumberingAfterBreak="0">
    <w:nsid w:val="25AE3F3F"/>
    <w:multiLevelType w:val="hybridMultilevel"/>
    <w:tmpl w:val="F3DA92B6"/>
    <w:lvl w:ilvl="0" w:tplc="CBE00430">
      <w:start w:val="1"/>
      <w:numFmt w:val="lowerLetter"/>
      <w:pStyle w:val="LimitedReasons"/>
      <w:lvlText w:val="%1)"/>
      <w:lvlJc w:val="left"/>
      <w:pPr>
        <w:ind w:left="1440" w:hanging="360"/>
      </w:pPr>
      <w:rPr>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BED5331"/>
    <w:multiLevelType w:val="multilevel"/>
    <w:tmpl w:val="8318BF3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23D5D"/>
    <w:multiLevelType w:val="hybridMultilevel"/>
    <w:tmpl w:val="146CD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0C0031"/>
    <w:multiLevelType w:val="hybridMultilevel"/>
    <w:tmpl w:val="146CD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733C62"/>
    <w:multiLevelType w:val="hybridMultilevel"/>
    <w:tmpl w:val="8B12ACD4"/>
    <w:lvl w:ilvl="0" w:tplc="8F202AC0">
      <w:start w:val="1"/>
      <w:numFmt w:val="lowerLetter"/>
      <w:pStyle w:val="RecBodyText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A85B55"/>
    <w:multiLevelType w:val="hybridMultilevel"/>
    <w:tmpl w:val="C4A215B6"/>
    <w:lvl w:ilvl="0" w:tplc="2C5ACA78">
      <w:start w:val="1"/>
      <w:numFmt w:val="decimal"/>
      <w:pStyle w:val="Heading3"/>
      <w:lvlText w:val="Recommendation %1"/>
      <w:lvlJc w:val="left"/>
      <w:pPr>
        <w:tabs>
          <w:tab w:val="num" w:pos="2862"/>
        </w:tabs>
        <w:ind w:left="702"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C36D40"/>
    <w:multiLevelType w:val="hybridMultilevel"/>
    <w:tmpl w:val="146CD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99430C"/>
    <w:multiLevelType w:val="hybridMultilevel"/>
    <w:tmpl w:val="03202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900B27"/>
    <w:multiLevelType w:val="multilevel"/>
    <w:tmpl w:val="EE166130"/>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2D01F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8E53F4"/>
    <w:multiLevelType w:val="hybridMultilevel"/>
    <w:tmpl w:val="03202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AB012E"/>
    <w:multiLevelType w:val="hybridMultilevel"/>
    <w:tmpl w:val="EADEC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B705D5"/>
    <w:multiLevelType w:val="hybridMultilevel"/>
    <w:tmpl w:val="146CD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E657B1"/>
    <w:multiLevelType w:val="hybridMultilevel"/>
    <w:tmpl w:val="E556B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6D5100"/>
    <w:multiLevelType w:val="hybridMultilevel"/>
    <w:tmpl w:val="03202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FD1E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A85337"/>
    <w:multiLevelType w:val="hybridMultilevel"/>
    <w:tmpl w:val="79D0C72E"/>
    <w:lvl w:ilvl="0" w:tplc="5A48FA4C">
      <w:start w:val="1"/>
      <w:numFmt w:val="bullet"/>
      <w:pStyle w:val="RecBodyTex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lvlOverride w:ilvl="0">
      <w:startOverride w:val="1"/>
    </w:lvlOverride>
  </w:num>
  <w:num w:numId="3">
    <w:abstractNumId w:val="8"/>
  </w:num>
  <w:num w:numId="4">
    <w:abstractNumId w:val="0"/>
  </w:num>
  <w:num w:numId="5">
    <w:abstractNumId w:val="24"/>
  </w:num>
  <w:num w:numId="6">
    <w:abstractNumId w:val="12"/>
  </w:num>
  <w:num w:numId="7">
    <w:abstractNumId w:val="4"/>
  </w:num>
  <w:num w:numId="8">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10"/>
  </w:num>
  <w:num w:numId="12">
    <w:abstractNumId w:val="18"/>
  </w:num>
  <w:num w:numId="13">
    <w:abstractNumId w:val="5"/>
  </w:num>
  <w:num w:numId="14">
    <w:abstractNumId w:val="22"/>
  </w:num>
  <w:num w:numId="15">
    <w:abstractNumId w:val="20"/>
  </w:num>
  <w:num w:numId="16">
    <w:abstractNumId w:val="1"/>
  </w:num>
  <w:num w:numId="17">
    <w:abstractNumId w:val="11"/>
  </w:num>
  <w:num w:numId="18">
    <w:abstractNumId w:val="3"/>
  </w:num>
  <w:num w:numId="19">
    <w:abstractNumId w:val="2"/>
  </w:num>
  <w:num w:numId="20">
    <w:abstractNumId w:val="19"/>
  </w:num>
  <w:num w:numId="21">
    <w:abstractNumId w:val="13"/>
  </w:num>
  <w:num w:numId="22">
    <w:abstractNumId w:val="21"/>
  </w:num>
  <w:num w:numId="23">
    <w:abstractNumId w:val="23"/>
  </w:num>
  <w:num w:numId="24">
    <w:abstractNumId w:val="17"/>
  </w:num>
  <w:num w:numId="25">
    <w:abstractNumId w:val="7"/>
    <w:lvlOverride w:ilvl="0">
      <w:startOverride w:val="1"/>
    </w:lvlOverride>
    <w:lvlOverride w:ilvl="1">
      <w:startOverride w:val="1"/>
    </w:lvlOverride>
    <w:lvlOverride w:ilvl="2">
      <w:startOverride w:val="1"/>
    </w:lvlOverride>
    <w:lvlOverride w:ilvl="3">
      <w:startOverride w:val="4"/>
    </w:lvlOverride>
  </w:num>
  <w:num w:numId="26">
    <w:abstractNumId w:val="7"/>
    <w:lvlOverride w:ilvl="0">
      <w:startOverride w:val="5"/>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9"/>
  </w:num>
  <w:num w:numId="29">
    <w:abstractNumId w:val="7"/>
    <w:lvlOverride w:ilvl="0">
      <w:startOverride w:val="8"/>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3"/>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4D"/>
    <w:rsid w:val="00000429"/>
    <w:rsid w:val="00002AA4"/>
    <w:rsid w:val="00006A3E"/>
    <w:rsid w:val="000110E3"/>
    <w:rsid w:val="00011B3E"/>
    <w:rsid w:val="00012CC8"/>
    <w:rsid w:val="000141D0"/>
    <w:rsid w:val="00014576"/>
    <w:rsid w:val="00024E1D"/>
    <w:rsid w:val="00032527"/>
    <w:rsid w:val="00036F32"/>
    <w:rsid w:val="00037FB1"/>
    <w:rsid w:val="00041910"/>
    <w:rsid w:val="000425BF"/>
    <w:rsid w:val="00042889"/>
    <w:rsid w:val="00044EB6"/>
    <w:rsid w:val="0004552E"/>
    <w:rsid w:val="00045E7C"/>
    <w:rsid w:val="00046B1A"/>
    <w:rsid w:val="00053E62"/>
    <w:rsid w:val="00056AD8"/>
    <w:rsid w:val="00057006"/>
    <w:rsid w:val="0008191F"/>
    <w:rsid w:val="00087E90"/>
    <w:rsid w:val="00097D9F"/>
    <w:rsid w:val="000A2F9E"/>
    <w:rsid w:val="000A481C"/>
    <w:rsid w:val="000A589F"/>
    <w:rsid w:val="000B418B"/>
    <w:rsid w:val="000B4C35"/>
    <w:rsid w:val="000C07DC"/>
    <w:rsid w:val="000C1D0F"/>
    <w:rsid w:val="000C6C05"/>
    <w:rsid w:val="000D156C"/>
    <w:rsid w:val="000D42F6"/>
    <w:rsid w:val="000E6AEC"/>
    <w:rsid w:val="000E7282"/>
    <w:rsid w:val="000F1F44"/>
    <w:rsid w:val="000F5304"/>
    <w:rsid w:val="000F71A3"/>
    <w:rsid w:val="000F7BAD"/>
    <w:rsid w:val="00100094"/>
    <w:rsid w:val="00101577"/>
    <w:rsid w:val="0010200B"/>
    <w:rsid w:val="001045AC"/>
    <w:rsid w:val="00105EF5"/>
    <w:rsid w:val="00106F52"/>
    <w:rsid w:val="00107196"/>
    <w:rsid w:val="00107261"/>
    <w:rsid w:val="0011214F"/>
    <w:rsid w:val="00112897"/>
    <w:rsid w:val="0011732B"/>
    <w:rsid w:val="00120DDB"/>
    <w:rsid w:val="00122359"/>
    <w:rsid w:val="00135D07"/>
    <w:rsid w:val="00143D67"/>
    <w:rsid w:val="00170A49"/>
    <w:rsid w:val="001720AA"/>
    <w:rsid w:val="00174E0F"/>
    <w:rsid w:val="001766BC"/>
    <w:rsid w:val="00180F85"/>
    <w:rsid w:val="00186479"/>
    <w:rsid w:val="0018693D"/>
    <w:rsid w:val="0019193B"/>
    <w:rsid w:val="001B4A2B"/>
    <w:rsid w:val="001B5A42"/>
    <w:rsid w:val="001B6882"/>
    <w:rsid w:val="001C09DC"/>
    <w:rsid w:val="001C0F74"/>
    <w:rsid w:val="001C34FE"/>
    <w:rsid w:val="001D0635"/>
    <w:rsid w:val="001D32CD"/>
    <w:rsid w:val="001D39FE"/>
    <w:rsid w:val="001D648F"/>
    <w:rsid w:val="001E0E0E"/>
    <w:rsid w:val="001E7D25"/>
    <w:rsid w:val="001F39CC"/>
    <w:rsid w:val="00202678"/>
    <w:rsid w:val="002034B5"/>
    <w:rsid w:val="002122F8"/>
    <w:rsid w:val="00212DFA"/>
    <w:rsid w:val="0021353B"/>
    <w:rsid w:val="00215C4C"/>
    <w:rsid w:val="00224564"/>
    <w:rsid w:val="002308CA"/>
    <w:rsid w:val="002319BB"/>
    <w:rsid w:val="00232EA7"/>
    <w:rsid w:val="002332EB"/>
    <w:rsid w:val="002336C9"/>
    <w:rsid w:val="002427F0"/>
    <w:rsid w:val="0024694B"/>
    <w:rsid w:val="002549CA"/>
    <w:rsid w:val="0025629E"/>
    <w:rsid w:val="00266677"/>
    <w:rsid w:val="0027206C"/>
    <w:rsid w:val="00272C57"/>
    <w:rsid w:val="00273152"/>
    <w:rsid w:val="00280EE7"/>
    <w:rsid w:val="00283362"/>
    <w:rsid w:val="002838A2"/>
    <w:rsid w:val="00284D83"/>
    <w:rsid w:val="002870CF"/>
    <w:rsid w:val="00293B51"/>
    <w:rsid w:val="002A3009"/>
    <w:rsid w:val="002A57D6"/>
    <w:rsid w:val="002A654A"/>
    <w:rsid w:val="002B2822"/>
    <w:rsid w:val="002C32E4"/>
    <w:rsid w:val="002C6F44"/>
    <w:rsid w:val="002D2173"/>
    <w:rsid w:val="002E301A"/>
    <w:rsid w:val="002E57AB"/>
    <w:rsid w:val="002E7AC5"/>
    <w:rsid w:val="002F62BC"/>
    <w:rsid w:val="002F65D2"/>
    <w:rsid w:val="002F7BDA"/>
    <w:rsid w:val="003006DF"/>
    <w:rsid w:val="00310227"/>
    <w:rsid w:val="00310562"/>
    <w:rsid w:val="00313F6B"/>
    <w:rsid w:val="00317CCC"/>
    <w:rsid w:val="00327BBB"/>
    <w:rsid w:val="00332D7B"/>
    <w:rsid w:val="00333864"/>
    <w:rsid w:val="0033783F"/>
    <w:rsid w:val="0034324A"/>
    <w:rsid w:val="00343DB4"/>
    <w:rsid w:val="00343E37"/>
    <w:rsid w:val="00351438"/>
    <w:rsid w:val="0035558B"/>
    <w:rsid w:val="00364287"/>
    <w:rsid w:val="00381178"/>
    <w:rsid w:val="00383E09"/>
    <w:rsid w:val="00387299"/>
    <w:rsid w:val="00394A34"/>
    <w:rsid w:val="003A0B1C"/>
    <w:rsid w:val="003A0CE0"/>
    <w:rsid w:val="003A0FF1"/>
    <w:rsid w:val="003C2BBC"/>
    <w:rsid w:val="003C54FA"/>
    <w:rsid w:val="003C6566"/>
    <w:rsid w:val="003C669C"/>
    <w:rsid w:val="003D31BA"/>
    <w:rsid w:val="003E3205"/>
    <w:rsid w:val="003F16C3"/>
    <w:rsid w:val="003F180F"/>
    <w:rsid w:val="003F3592"/>
    <w:rsid w:val="004061BF"/>
    <w:rsid w:val="00421740"/>
    <w:rsid w:val="00432F9D"/>
    <w:rsid w:val="0044661C"/>
    <w:rsid w:val="00454426"/>
    <w:rsid w:val="004635B3"/>
    <w:rsid w:val="00486C44"/>
    <w:rsid w:val="00490F07"/>
    <w:rsid w:val="00496CB7"/>
    <w:rsid w:val="0049727A"/>
    <w:rsid w:val="004A1B23"/>
    <w:rsid w:val="004B04DC"/>
    <w:rsid w:val="004B304A"/>
    <w:rsid w:val="004B311C"/>
    <w:rsid w:val="004B5A21"/>
    <w:rsid w:val="004C251D"/>
    <w:rsid w:val="004C68AF"/>
    <w:rsid w:val="004D1633"/>
    <w:rsid w:val="004E1DC4"/>
    <w:rsid w:val="004F0B56"/>
    <w:rsid w:val="004F498D"/>
    <w:rsid w:val="00506B16"/>
    <w:rsid w:val="00511C38"/>
    <w:rsid w:val="00511EE7"/>
    <w:rsid w:val="00512AD8"/>
    <w:rsid w:val="00521401"/>
    <w:rsid w:val="00527209"/>
    <w:rsid w:val="005279A2"/>
    <w:rsid w:val="005304BB"/>
    <w:rsid w:val="00534537"/>
    <w:rsid w:val="0053607E"/>
    <w:rsid w:val="0054115B"/>
    <w:rsid w:val="00554B54"/>
    <w:rsid w:val="00566AFF"/>
    <w:rsid w:val="00573066"/>
    <w:rsid w:val="0057662B"/>
    <w:rsid w:val="00586279"/>
    <w:rsid w:val="005B0859"/>
    <w:rsid w:val="005B3A97"/>
    <w:rsid w:val="005B6DA6"/>
    <w:rsid w:val="005C2408"/>
    <w:rsid w:val="005D4583"/>
    <w:rsid w:val="005D47FC"/>
    <w:rsid w:val="005D7010"/>
    <w:rsid w:val="005F41BF"/>
    <w:rsid w:val="005F4BC4"/>
    <w:rsid w:val="005F5967"/>
    <w:rsid w:val="00600566"/>
    <w:rsid w:val="006038FF"/>
    <w:rsid w:val="00614C5C"/>
    <w:rsid w:val="00620605"/>
    <w:rsid w:val="006209B0"/>
    <w:rsid w:val="00636CA7"/>
    <w:rsid w:val="00643F64"/>
    <w:rsid w:val="00644890"/>
    <w:rsid w:val="00645DB7"/>
    <w:rsid w:val="006464DC"/>
    <w:rsid w:val="006479C9"/>
    <w:rsid w:val="00653401"/>
    <w:rsid w:val="0065368D"/>
    <w:rsid w:val="00663A88"/>
    <w:rsid w:val="00663FF2"/>
    <w:rsid w:val="00672C35"/>
    <w:rsid w:val="00673969"/>
    <w:rsid w:val="00677E74"/>
    <w:rsid w:val="00684104"/>
    <w:rsid w:val="00690D07"/>
    <w:rsid w:val="006A0553"/>
    <w:rsid w:val="006A09A7"/>
    <w:rsid w:val="006A711C"/>
    <w:rsid w:val="006C2607"/>
    <w:rsid w:val="006C28CB"/>
    <w:rsid w:val="006C7BA2"/>
    <w:rsid w:val="006D200B"/>
    <w:rsid w:val="006D3521"/>
    <w:rsid w:val="006E01AD"/>
    <w:rsid w:val="006E1551"/>
    <w:rsid w:val="006E3208"/>
    <w:rsid w:val="006E3DE1"/>
    <w:rsid w:val="006F136E"/>
    <w:rsid w:val="006F19F5"/>
    <w:rsid w:val="006F31F2"/>
    <w:rsid w:val="006F4820"/>
    <w:rsid w:val="006F5B4E"/>
    <w:rsid w:val="006F7F52"/>
    <w:rsid w:val="00706068"/>
    <w:rsid w:val="00706950"/>
    <w:rsid w:val="00712375"/>
    <w:rsid w:val="007206A7"/>
    <w:rsid w:val="00720AFD"/>
    <w:rsid w:val="00724198"/>
    <w:rsid w:val="00727C8B"/>
    <w:rsid w:val="00732482"/>
    <w:rsid w:val="00745228"/>
    <w:rsid w:val="00746750"/>
    <w:rsid w:val="00751649"/>
    <w:rsid w:val="007568CB"/>
    <w:rsid w:val="00760799"/>
    <w:rsid w:val="007629C6"/>
    <w:rsid w:val="007666BF"/>
    <w:rsid w:val="00774C5D"/>
    <w:rsid w:val="00774F4A"/>
    <w:rsid w:val="00783C2A"/>
    <w:rsid w:val="00786A13"/>
    <w:rsid w:val="00791D14"/>
    <w:rsid w:val="007924A8"/>
    <w:rsid w:val="0079360D"/>
    <w:rsid w:val="00794BE4"/>
    <w:rsid w:val="007B0476"/>
    <w:rsid w:val="007B2963"/>
    <w:rsid w:val="007B40E5"/>
    <w:rsid w:val="007C2848"/>
    <w:rsid w:val="007C7065"/>
    <w:rsid w:val="007D2197"/>
    <w:rsid w:val="007D2953"/>
    <w:rsid w:val="007D409D"/>
    <w:rsid w:val="00803F03"/>
    <w:rsid w:val="00814109"/>
    <w:rsid w:val="00817091"/>
    <w:rsid w:val="00825FB9"/>
    <w:rsid w:val="00826D8B"/>
    <w:rsid w:val="0083487B"/>
    <w:rsid w:val="00836026"/>
    <w:rsid w:val="00842282"/>
    <w:rsid w:val="00854188"/>
    <w:rsid w:val="00854BBB"/>
    <w:rsid w:val="00855A87"/>
    <w:rsid w:val="00857481"/>
    <w:rsid w:val="00860BE8"/>
    <w:rsid w:val="00861138"/>
    <w:rsid w:val="008708C5"/>
    <w:rsid w:val="008718CE"/>
    <w:rsid w:val="00874750"/>
    <w:rsid w:val="00883B06"/>
    <w:rsid w:val="00884A0D"/>
    <w:rsid w:val="00886063"/>
    <w:rsid w:val="008900CB"/>
    <w:rsid w:val="00891FF3"/>
    <w:rsid w:val="008929F1"/>
    <w:rsid w:val="00893431"/>
    <w:rsid w:val="00894FDB"/>
    <w:rsid w:val="008A01AF"/>
    <w:rsid w:val="008A3B39"/>
    <w:rsid w:val="008C0F18"/>
    <w:rsid w:val="008C1261"/>
    <w:rsid w:val="008C5EBF"/>
    <w:rsid w:val="008D0106"/>
    <w:rsid w:val="008D042E"/>
    <w:rsid w:val="008E3416"/>
    <w:rsid w:val="008E5446"/>
    <w:rsid w:val="008F4BFB"/>
    <w:rsid w:val="009032C4"/>
    <w:rsid w:val="00907F38"/>
    <w:rsid w:val="0091107E"/>
    <w:rsid w:val="00911461"/>
    <w:rsid w:val="00912338"/>
    <w:rsid w:val="00915CC2"/>
    <w:rsid w:val="00925897"/>
    <w:rsid w:val="00926C35"/>
    <w:rsid w:val="00933C33"/>
    <w:rsid w:val="00934C8B"/>
    <w:rsid w:val="00936CD2"/>
    <w:rsid w:val="00937BB4"/>
    <w:rsid w:val="0094291E"/>
    <w:rsid w:val="0094335B"/>
    <w:rsid w:val="00946996"/>
    <w:rsid w:val="009518F2"/>
    <w:rsid w:val="0095680D"/>
    <w:rsid w:val="00964514"/>
    <w:rsid w:val="0097086D"/>
    <w:rsid w:val="00972798"/>
    <w:rsid w:val="009759B0"/>
    <w:rsid w:val="00982944"/>
    <w:rsid w:val="009854FD"/>
    <w:rsid w:val="00987B5D"/>
    <w:rsid w:val="0099135D"/>
    <w:rsid w:val="00994338"/>
    <w:rsid w:val="00996539"/>
    <w:rsid w:val="009A46CB"/>
    <w:rsid w:val="009B146B"/>
    <w:rsid w:val="009B356F"/>
    <w:rsid w:val="009C4ADF"/>
    <w:rsid w:val="009D186C"/>
    <w:rsid w:val="009D6082"/>
    <w:rsid w:val="009D6141"/>
    <w:rsid w:val="009D63FD"/>
    <w:rsid w:val="009D7033"/>
    <w:rsid w:val="009D7B99"/>
    <w:rsid w:val="009E0FE0"/>
    <w:rsid w:val="009E6DAF"/>
    <w:rsid w:val="009E7CC9"/>
    <w:rsid w:val="009F093F"/>
    <w:rsid w:val="009F0A75"/>
    <w:rsid w:val="009F29FF"/>
    <w:rsid w:val="009F3388"/>
    <w:rsid w:val="009F505A"/>
    <w:rsid w:val="009F6960"/>
    <w:rsid w:val="00A0223F"/>
    <w:rsid w:val="00A05B27"/>
    <w:rsid w:val="00A0765F"/>
    <w:rsid w:val="00A277E5"/>
    <w:rsid w:val="00A336A6"/>
    <w:rsid w:val="00A34B39"/>
    <w:rsid w:val="00A35D2A"/>
    <w:rsid w:val="00A36422"/>
    <w:rsid w:val="00A46C68"/>
    <w:rsid w:val="00A51F7A"/>
    <w:rsid w:val="00A5543D"/>
    <w:rsid w:val="00A6609D"/>
    <w:rsid w:val="00A87DB6"/>
    <w:rsid w:val="00A90805"/>
    <w:rsid w:val="00A91830"/>
    <w:rsid w:val="00A92F15"/>
    <w:rsid w:val="00A95D0F"/>
    <w:rsid w:val="00A97AB6"/>
    <w:rsid w:val="00AA2217"/>
    <w:rsid w:val="00AA2644"/>
    <w:rsid w:val="00AA4F0E"/>
    <w:rsid w:val="00AA66D5"/>
    <w:rsid w:val="00AB37EA"/>
    <w:rsid w:val="00AB6E54"/>
    <w:rsid w:val="00AC0A8F"/>
    <w:rsid w:val="00AC155E"/>
    <w:rsid w:val="00AC798E"/>
    <w:rsid w:val="00AD1395"/>
    <w:rsid w:val="00AD3556"/>
    <w:rsid w:val="00AE0939"/>
    <w:rsid w:val="00AE6DB4"/>
    <w:rsid w:val="00AF1726"/>
    <w:rsid w:val="00AF1FC0"/>
    <w:rsid w:val="00B016D8"/>
    <w:rsid w:val="00B13E02"/>
    <w:rsid w:val="00B1572B"/>
    <w:rsid w:val="00B2310E"/>
    <w:rsid w:val="00B24000"/>
    <w:rsid w:val="00B30B5E"/>
    <w:rsid w:val="00B31A08"/>
    <w:rsid w:val="00B35379"/>
    <w:rsid w:val="00B51021"/>
    <w:rsid w:val="00B627EF"/>
    <w:rsid w:val="00B62FE2"/>
    <w:rsid w:val="00B7431D"/>
    <w:rsid w:val="00B8016B"/>
    <w:rsid w:val="00B81718"/>
    <w:rsid w:val="00B83608"/>
    <w:rsid w:val="00B847B6"/>
    <w:rsid w:val="00B84AD5"/>
    <w:rsid w:val="00B877F7"/>
    <w:rsid w:val="00B9567C"/>
    <w:rsid w:val="00B97393"/>
    <w:rsid w:val="00BA2220"/>
    <w:rsid w:val="00BA32D4"/>
    <w:rsid w:val="00BA3CE4"/>
    <w:rsid w:val="00BA4D36"/>
    <w:rsid w:val="00BB2546"/>
    <w:rsid w:val="00BB2A07"/>
    <w:rsid w:val="00BB3236"/>
    <w:rsid w:val="00BB3B5E"/>
    <w:rsid w:val="00BB3ED0"/>
    <w:rsid w:val="00BB7DB9"/>
    <w:rsid w:val="00BC0086"/>
    <w:rsid w:val="00BC31D4"/>
    <w:rsid w:val="00BD2BCD"/>
    <w:rsid w:val="00BD4D7D"/>
    <w:rsid w:val="00BE0B24"/>
    <w:rsid w:val="00BE32D3"/>
    <w:rsid w:val="00BE4380"/>
    <w:rsid w:val="00BE7345"/>
    <w:rsid w:val="00BF3E43"/>
    <w:rsid w:val="00BF46B9"/>
    <w:rsid w:val="00BF5EC7"/>
    <w:rsid w:val="00C017A8"/>
    <w:rsid w:val="00C1697F"/>
    <w:rsid w:val="00C17925"/>
    <w:rsid w:val="00C20A34"/>
    <w:rsid w:val="00C23C1A"/>
    <w:rsid w:val="00C24837"/>
    <w:rsid w:val="00C24B91"/>
    <w:rsid w:val="00C2610C"/>
    <w:rsid w:val="00C406D9"/>
    <w:rsid w:val="00C54AA6"/>
    <w:rsid w:val="00C55E38"/>
    <w:rsid w:val="00C613A0"/>
    <w:rsid w:val="00C6610B"/>
    <w:rsid w:val="00C71350"/>
    <w:rsid w:val="00C71A7E"/>
    <w:rsid w:val="00C82E91"/>
    <w:rsid w:val="00C91960"/>
    <w:rsid w:val="00C94167"/>
    <w:rsid w:val="00CA153A"/>
    <w:rsid w:val="00CA78BA"/>
    <w:rsid w:val="00CB73E1"/>
    <w:rsid w:val="00CC09A9"/>
    <w:rsid w:val="00CD0F85"/>
    <w:rsid w:val="00CE078F"/>
    <w:rsid w:val="00CE384D"/>
    <w:rsid w:val="00CF44ED"/>
    <w:rsid w:val="00CF4515"/>
    <w:rsid w:val="00D134AD"/>
    <w:rsid w:val="00D14D06"/>
    <w:rsid w:val="00D16935"/>
    <w:rsid w:val="00D220E4"/>
    <w:rsid w:val="00D304F5"/>
    <w:rsid w:val="00D320E4"/>
    <w:rsid w:val="00D34E77"/>
    <w:rsid w:val="00D44186"/>
    <w:rsid w:val="00D4737E"/>
    <w:rsid w:val="00D565A7"/>
    <w:rsid w:val="00D6282D"/>
    <w:rsid w:val="00D63126"/>
    <w:rsid w:val="00D64404"/>
    <w:rsid w:val="00D672BE"/>
    <w:rsid w:val="00D7062D"/>
    <w:rsid w:val="00D740C3"/>
    <w:rsid w:val="00D749F8"/>
    <w:rsid w:val="00D87768"/>
    <w:rsid w:val="00D9109D"/>
    <w:rsid w:val="00DA3E79"/>
    <w:rsid w:val="00DA7AF9"/>
    <w:rsid w:val="00DB1FF6"/>
    <w:rsid w:val="00DB298A"/>
    <w:rsid w:val="00DB69B8"/>
    <w:rsid w:val="00DB73EB"/>
    <w:rsid w:val="00DB7F72"/>
    <w:rsid w:val="00DD20BC"/>
    <w:rsid w:val="00DD5D8A"/>
    <w:rsid w:val="00DE743D"/>
    <w:rsid w:val="00DF1CBD"/>
    <w:rsid w:val="00DF35A1"/>
    <w:rsid w:val="00DF689A"/>
    <w:rsid w:val="00E032E3"/>
    <w:rsid w:val="00E2027A"/>
    <w:rsid w:val="00E21183"/>
    <w:rsid w:val="00E26D45"/>
    <w:rsid w:val="00E32B57"/>
    <w:rsid w:val="00E66D9A"/>
    <w:rsid w:val="00E72A77"/>
    <w:rsid w:val="00E82A09"/>
    <w:rsid w:val="00E84CCF"/>
    <w:rsid w:val="00E86A03"/>
    <w:rsid w:val="00E9282C"/>
    <w:rsid w:val="00E93580"/>
    <w:rsid w:val="00E936D5"/>
    <w:rsid w:val="00E93E05"/>
    <w:rsid w:val="00E97968"/>
    <w:rsid w:val="00EA4DC7"/>
    <w:rsid w:val="00EB0D4D"/>
    <w:rsid w:val="00EB6C81"/>
    <w:rsid w:val="00ED5012"/>
    <w:rsid w:val="00ED7ED6"/>
    <w:rsid w:val="00EE0170"/>
    <w:rsid w:val="00EE491F"/>
    <w:rsid w:val="00EE582B"/>
    <w:rsid w:val="00EE67EC"/>
    <w:rsid w:val="00EF1274"/>
    <w:rsid w:val="00EF2FFA"/>
    <w:rsid w:val="00F01A2A"/>
    <w:rsid w:val="00F203A7"/>
    <w:rsid w:val="00F214B3"/>
    <w:rsid w:val="00F24B3A"/>
    <w:rsid w:val="00F419FD"/>
    <w:rsid w:val="00F523CF"/>
    <w:rsid w:val="00F657D1"/>
    <w:rsid w:val="00F729C4"/>
    <w:rsid w:val="00F72C52"/>
    <w:rsid w:val="00F756A9"/>
    <w:rsid w:val="00F82563"/>
    <w:rsid w:val="00F87CC1"/>
    <w:rsid w:val="00F917D9"/>
    <w:rsid w:val="00F928DC"/>
    <w:rsid w:val="00F9353A"/>
    <w:rsid w:val="00F96C4D"/>
    <w:rsid w:val="00FA11D5"/>
    <w:rsid w:val="00FA2AF2"/>
    <w:rsid w:val="00FA41F2"/>
    <w:rsid w:val="00FB1E93"/>
    <w:rsid w:val="00FB2637"/>
    <w:rsid w:val="00FC5368"/>
    <w:rsid w:val="00FD0317"/>
    <w:rsid w:val="00FD032C"/>
    <w:rsid w:val="00FD1D0A"/>
    <w:rsid w:val="00FE0EBD"/>
    <w:rsid w:val="00FE2A66"/>
    <w:rsid w:val="00FF4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rsid w:val="00232EA7"/>
    <w:pPr>
      <w:spacing w:after="0" w:line="240" w:lineRule="auto"/>
    </w:pPr>
    <w:rPr>
      <w:rFonts w:ascii="Arial" w:eastAsia="Times New Roman" w:hAnsi="Arial" w:cs="Times New Roman"/>
      <w:color w:val="000000" w:themeColor="text1"/>
      <w:szCs w:val="24"/>
      <w:lang w:eastAsia="en-GB"/>
    </w:rPr>
  </w:style>
  <w:style w:type="paragraph" w:styleId="Heading1">
    <w:name w:val="heading 1"/>
    <w:basedOn w:val="Normal"/>
    <w:next w:val="Heading2"/>
    <w:link w:val="Heading1Char"/>
    <w:qFormat/>
    <w:rsid w:val="00994338"/>
    <w:pPr>
      <w:keepNext/>
      <w:numPr>
        <w:ilvl w:val="1"/>
        <w:numId w:val="1"/>
      </w:numPr>
      <w:spacing w:after="60"/>
      <w:outlineLvl w:val="0"/>
    </w:pPr>
    <w:rPr>
      <w:rFonts w:cs="Arial"/>
      <w:kern w:val="32"/>
      <w:sz w:val="36"/>
      <w:szCs w:val="36"/>
      <w:lang w:eastAsia="en-US"/>
    </w:rPr>
  </w:style>
  <w:style w:type="paragraph" w:styleId="Heading2">
    <w:name w:val="heading 2"/>
    <w:basedOn w:val="Normal"/>
    <w:next w:val="BodyText"/>
    <w:link w:val="Heading2Char"/>
    <w:qFormat/>
    <w:rsid w:val="00994338"/>
    <w:pPr>
      <w:keepNext/>
      <w:numPr>
        <w:ilvl w:val="2"/>
        <w:numId w:val="1"/>
      </w:numPr>
      <w:spacing w:before="240" w:after="60"/>
      <w:outlineLvl w:val="1"/>
    </w:pPr>
    <w:rPr>
      <w:rFonts w:eastAsia="Arial Unicode MS"/>
      <w:sz w:val="28"/>
      <w:szCs w:val="28"/>
      <w:lang w:eastAsia="en-US"/>
    </w:rPr>
  </w:style>
  <w:style w:type="paragraph" w:styleId="Heading3">
    <w:name w:val="heading 3"/>
    <w:basedOn w:val="Normal"/>
    <w:next w:val="Normal"/>
    <w:link w:val="Heading3Char"/>
    <w:unhideWhenUsed/>
    <w:qFormat/>
    <w:rsid w:val="00D7062D"/>
    <w:pPr>
      <w:keepNext/>
      <w:numPr>
        <w:numId w:val="2"/>
      </w:numPr>
      <w:spacing w:before="240" w:after="120"/>
      <w:ind w:left="0" w:firstLine="0"/>
      <w:outlineLvl w:val="2"/>
    </w:pPr>
    <w:rPr>
      <w:rFonts w:ascii="Arial Narrow" w:hAnsi="Arial Narrow" w:cs="Arial"/>
      <w:b/>
      <w:bCs/>
      <w:color w:val="FFFFFF"/>
      <w:szCs w:val="26"/>
      <w:lang w:eastAsia="en-US"/>
    </w:rPr>
  </w:style>
  <w:style w:type="paragraph" w:styleId="Heading4">
    <w:name w:val="heading 4"/>
    <w:basedOn w:val="Normal"/>
    <w:next w:val="Normal"/>
    <w:link w:val="Heading4Char"/>
    <w:uiPriority w:val="9"/>
    <w:semiHidden/>
    <w:unhideWhenUsed/>
    <w:rsid w:val="009433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338"/>
    <w:rPr>
      <w:rFonts w:ascii="Arial" w:eastAsia="Times New Roman" w:hAnsi="Arial" w:cs="Arial"/>
      <w:color w:val="000000" w:themeColor="text1"/>
      <w:kern w:val="32"/>
      <w:sz w:val="36"/>
      <w:szCs w:val="36"/>
    </w:rPr>
  </w:style>
  <w:style w:type="character" w:customStyle="1" w:styleId="Heading2Char">
    <w:name w:val="Heading 2 Char"/>
    <w:basedOn w:val="DefaultParagraphFont"/>
    <w:link w:val="Heading2"/>
    <w:rsid w:val="00994338"/>
    <w:rPr>
      <w:rFonts w:ascii="Arial" w:eastAsia="Arial Unicode MS" w:hAnsi="Arial" w:cs="Times New Roman"/>
      <w:color w:val="000000" w:themeColor="text1"/>
      <w:sz w:val="28"/>
      <w:szCs w:val="28"/>
    </w:rPr>
  </w:style>
  <w:style w:type="paragraph" w:styleId="Footer">
    <w:name w:val="footer"/>
    <w:basedOn w:val="Normal"/>
    <w:link w:val="FooterChar"/>
    <w:uiPriority w:val="99"/>
    <w:rsid w:val="00D64404"/>
    <w:pPr>
      <w:tabs>
        <w:tab w:val="center" w:pos="4153"/>
        <w:tab w:val="right" w:pos="8306"/>
      </w:tabs>
    </w:pPr>
  </w:style>
  <w:style w:type="character" w:customStyle="1" w:styleId="FooterChar">
    <w:name w:val="Footer Char"/>
    <w:basedOn w:val="DefaultParagraphFont"/>
    <w:link w:val="Footer"/>
    <w:uiPriority w:val="99"/>
    <w:rsid w:val="00D64404"/>
    <w:rPr>
      <w:rFonts w:ascii="Times New Roman" w:eastAsia="Times New Roman" w:hAnsi="Times New Roman" w:cs="Times New Roman"/>
      <w:sz w:val="24"/>
      <w:szCs w:val="24"/>
      <w:lang w:eastAsia="en-GB"/>
    </w:rPr>
  </w:style>
  <w:style w:type="table" w:styleId="TableGrid">
    <w:name w:val="Table Grid"/>
    <w:basedOn w:val="TableNormal"/>
    <w:rsid w:val="00D644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64404"/>
    <w:rPr>
      <w:color w:val="0000FF"/>
      <w:u w:val="single"/>
    </w:rPr>
  </w:style>
  <w:style w:type="paragraph" w:styleId="BodyText">
    <w:name w:val="Body Text"/>
    <w:basedOn w:val="Normal"/>
    <w:next w:val="BodyText2"/>
    <w:link w:val="BodyTextChar"/>
    <w:rsid w:val="00120DDB"/>
    <w:pPr>
      <w:numPr>
        <w:ilvl w:val="3"/>
        <w:numId w:val="1"/>
      </w:numPr>
      <w:overflowPunct w:val="0"/>
      <w:autoSpaceDE w:val="0"/>
      <w:autoSpaceDN w:val="0"/>
      <w:adjustRightInd w:val="0"/>
      <w:spacing w:before="240" w:after="120"/>
      <w:jc w:val="both"/>
      <w:textAlignment w:val="baseline"/>
    </w:pPr>
    <w:rPr>
      <w:bCs/>
      <w:kern w:val="28"/>
      <w:szCs w:val="20"/>
      <w:lang w:eastAsia="en-US"/>
    </w:rPr>
  </w:style>
  <w:style w:type="character" w:customStyle="1" w:styleId="BodyTextChar">
    <w:name w:val="Body Text Char"/>
    <w:basedOn w:val="DefaultParagraphFont"/>
    <w:link w:val="BodyText"/>
    <w:rsid w:val="00120DDB"/>
    <w:rPr>
      <w:rFonts w:ascii="Arial" w:eastAsia="Times New Roman" w:hAnsi="Arial" w:cs="Times New Roman"/>
      <w:bCs/>
      <w:color w:val="000000" w:themeColor="text1"/>
      <w:kern w:val="28"/>
      <w:szCs w:val="20"/>
    </w:rPr>
  </w:style>
  <w:style w:type="paragraph" w:styleId="BodyText2">
    <w:name w:val="Body Text 2"/>
    <w:basedOn w:val="Normal"/>
    <w:link w:val="BodyText2Char"/>
    <w:rsid w:val="00120DDB"/>
    <w:pPr>
      <w:overflowPunct w:val="0"/>
      <w:autoSpaceDE w:val="0"/>
      <w:autoSpaceDN w:val="0"/>
      <w:adjustRightInd w:val="0"/>
      <w:spacing w:before="240" w:after="120"/>
      <w:ind w:left="720"/>
      <w:jc w:val="both"/>
      <w:textAlignment w:val="baseline"/>
    </w:pPr>
    <w:rPr>
      <w:szCs w:val="20"/>
      <w:lang w:eastAsia="en-US"/>
    </w:rPr>
  </w:style>
  <w:style w:type="character" w:customStyle="1" w:styleId="BodyText2Char">
    <w:name w:val="Body Text 2 Char"/>
    <w:basedOn w:val="DefaultParagraphFont"/>
    <w:link w:val="BodyText2"/>
    <w:rsid w:val="00120DDB"/>
    <w:rPr>
      <w:rFonts w:ascii="Arial" w:eastAsia="Times New Roman" w:hAnsi="Arial" w:cs="Times New Roman"/>
      <w:color w:val="000000" w:themeColor="text1"/>
      <w:szCs w:val="20"/>
    </w:rPr>
  </w:style>
  <w:style w:type="paragraph" w:customStyle="1" w:styleId="StyleBullet1Last">
    <w:name w:val="Style Bullet1 Last"/>
    <w:basedOn w:val="Bullet1"/>
    <w:unhideWhenUsed/>
    <w:rsid w:val="00D64404"/>
    <w:pPr>
      <w:spacing w:after="120"/>
    </w:pPr>
  </w:style>
  <w:style w:type="paragraph" w:styleId="TOC2">
    <w:name w:val="toc 2"/>
    <w:basedOn w:val="Normal"/>
    <w:uiPriority w:val="39"/>
    <w:rsid w:val="007D2197"/>
    <w:pPr>
      <w:tabs>
        <w:tab w:val="left" w:pos="1701"/>
        <w:tab w:val="right" w:leader="dot" w:pos="9356"/>
      </w:tabs>
      <w:spacing w:before="120"/>
      <w:ind w:left="720"/>
    </w:pPr>
    <w:rPr>
      <w:noProof/>
      <w:szCs w:val="28"/>
      <w:lang w:eastAsia="en-US"/>
    </w:rPr>
  </w:style>
  <w:style w:type="paragraph" w:styleId="TOC1">
    <w:name w:val="toc 1"/>
    <w:basedOn w:val="Normal"/>
    <w:next w:val="Normal"/>
    <w:autoRedefine/>
    <w:uiPriority w:val="39"/>
    <w:rsid w:val="007D2197"/>
    <w:pPr>
      <w:tabs>
        <w:tab w:val="left" w:pos="720"/>
        <w:tab w:val="right" w:leader="dot" w:pos="9356"/>
      </w:tabs>
      <w:spacing w:before="120" w:after="120"/>
      <w:ind w:left="1264" w:hanging="1264"/>
    </w:pPr>
    <w:rPr>
      <w:rFonts w:cs="Arial"/>
      <w:b/>
      <w:noProof/>
      <w:sz w:val="32"/>
      <w:szCs w:val="40"/>
      <w:lang w:eastAsia="en-US"/>
    </w:rPr>
  </w:style>
  <w:style w:type="paragraph" w:customStyle="1" w:styleId="Bullet1">
    <w:name w:val="Bullet1"/>
    <w:basedOn w:val="Normal"/>
    <w:rsid w:val="00F72C52"/>
    <w:pPr>
      <w:numPr>
        <w:numId w:val="4"/>
      </w:numPr>
      <w:spacing w:after="60"/>
      <w:jc w:val="both"/>
    </w:pPr>
    <w:rPr>
      <w:color w:val="000000"/>
      <w:szCs w:val="20"/>
      <w:lang w:eastAsia="en-US"/>
    </w:rPr>
  </w:style>
  <w:style w:type="character" w:styleId="PageNumber">
    <w:name w:val="page number"/>
    <w:basedOn w:val="DefaultParagraphFont"/>
    <w:rsid w:val="00D64404"/>
  </w:style>
  <w:style w:type="paragraph" w:styleId="BalloonText">
    <w:name w:val="Balloon Text"/>
    <w:basedOn w:val="Normal"/>
    <w:link w:val="BalloonTextChar"/>
    <w:uiPriority w:val="99"/>
    <w:semiHidden/>
    <w:unhideWhenUsed/>
    <w:rsid w:val="00D64404"/>
    <w:rPr>
      <w:rFonts w:ascii="Tahoma" w:hAnsi="Tahoma" w:cs="Tahoma"/>
      <w:sz w:val="16"/>
      <w:szCs w:val="16"/>
    </w:rPr>
  </w:style>
  <w:style w:type="character" w:customStyle="1" w:styleId="BalloonTextChar">
    <w:name w:val="Balloon Text Char"/>
    <w:basedOn w:val="DefaultParagraphFont"/>
    <w:link w:val="BalloonText"/>
    <w:uiPriority w:val="99"/>
    <w:semiHidden/>
    <w:rsid w:val="00D64404"/>
    <w:rPr>
      <w:rFonts w:ascii="Tahoma" w:eastAsia="Times New Roman" w:hAnsi="Tahoma" w:cs="Tahoma"/>
      <w:sz w:val="16"/>
      <w:szCs w:val="16"/>
      <w:lang w:eastAsia="en-GB"/>
    </w:rPr>
  </w:style>
  <w:style w:type="character" w:customStyle="1" w:styleId="Heading3Char">
    <w:name w:val="Heading 3 Char"/>
    <w:basedOn w:val="DefaultParagraphFont"/>
    <w:link w:val="Heading3"/>
    <w:rsid w:val="00232EA7"/>
    <w:rPr>
      <w:rFonts w:ascii="Arial Narrow" w:eastAsia="Times New Roman" w:hAnsi="Arial Narrow" w:cs="Arial"/>
      <w:b/>
      <w:bCs/>
      <w:color w:val="FFFFFF"/>
      <w:szCs w:val="26"/>
    </w:rPr>
  </w:style>
  <w:style w:type="paragraph" w:styleId="TOC3">
    <w:name w:val="toc 3"/>
    <w:basedOn w:val="Normal"/>
    <w:next w:val="Normal"/>
    <w:autoRedefine/>
    <w:uiPriority w:val="39"/>
    <w:unhideWhenUsed/>
    <w:rsid w:val="007D2197"/>
    <w:pPr>
      <w:tabs>
        <w:tab w:val="left" w:pos="2268"/>
        <w:tab w:val="right" w:leader="dot" w:pos="8505"/>
      </w:tabs>
      <w:ind w:left="1701"/>
    </w:pPr>
    <w:rPr>
      <w:noProof/>
      <w:sz w:val="20"/>
    </w:rPr>
  </w:style>
  <w:style w:type="table" w:styleId="LightList-Accent1">
    <w:name w:val="Light List Accent 1"/>
    <w:basedOn w:val="TableNormal"/>
    <w:uiPriority w:val="61"/>
    <w:rsid w:val="0034324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5">
    <w:name w:val="toc 5"/>
    <w:basedOn w:val="Normal"/>
    <w:next w:val="Normal"/>
    <w:autoRedefine/>
    <w:uiPriority w:val="39"/>
    <w:semiHidden/>
    <w:unhideWhenUsed/>
    <w:rsid w:val="00994338"/>
    <w:pPr>
      <w:spacing w:after="100"/>
      <w:ind w:left="960"/>
    </w:pPr>
  </w:style>
  <w:style w:type="character" w:customStyle="1" w:styleId="Heading4Char">
    <w:name w:val="Heading 4 Char"/>
    <w:basedOn w:val="DefaultParagraphFont"/>
    <w:link w:val="Heading4"/>
    <w:uiPriority w:val="9"/>
    <w:semiHidden/>
    <w:rsid w:val="0094335B"/>
    <w:rPr>
      <w:rFonts w:asciiTheme="majorHAnsi" w:eastAsiaTheme="majorEastAsia" w:hAnsiTheme="majorHAnsi" w:cstheme="majorBidi"/>
      <w:b/>
      <w:bCs/>
      <w:i/>
      <w:iCs/>
      <w:color w:val="4F81BD" w:themeColor="accent1"/>
      <w:sz w:val="24"/>
      <w:szCs w:val="24"/>
      <w:lang w:eastAsia="en-GB"/>
    </w:rPr>
  </w:style>
  <w:style w:type="paragraph" w:customStyle="1" w:styleId="RecBodyText">
    <w:name w:val="Rec Body Text"/>
    <w:basedOn w:val="BodyText2"/>
    <w:qFormat/>
    <w:rsid w:val="00527209"/>
    <w:pPr>
      <w:keepNext/>
      <w:spacing w:before="0"/>
      <w:ind w:left="0"/>
    </w:pPr>
    <w:rPr>
      <w:rFonts w:ascii="Arial Narrow" w:hAnsi="Arial Narrow"/>
    </w:rPr>
  </w:style>
  <w:style w:type="paragraph" w:customStyle="1" w:styleId="ControlIssue">
    <w:name w:val="Control Issue"/>
    <w:basedOn w:val="BodyText"/>
    <w:next w:val="BodyText2"/>
    <w:link w:val="ControlIssueChar"/>
    <w:qFormat/>
    <w:rsid w:val="00FD1D0A"/>
    <w:rPr>
      <w:i/>
    </w:rPr>
  </w:style>
  <w:style w:type="character" w:customStyle="1" w:styleId="ControlIssueChar">
    <w:name w:val="Control Issue Char"/>
    <w:basedOn w:val="BodyTextChar"/>
    <w:link w:val="ControlIssue"/>
    <w:rsid w:val="00FD1D0A"/>
    <w:rPr>
      <w:rFonts w:ascii="Arial" w:eastAsia="Times New Roman" w:hAnsi="Arial" w:cs="Times New Roman"/>
      <w:bCs/>
      <w:i/>
      <w:color w:val="000000" w:themeColor="text1"/>
      <w:kern w:val="28"/>
      <w:szCs w:val="20"/>
    </w:rPr>
  </w:style>
  <w:style w:type="paragraph" w:customStyle="1" w:styleId="LimitedReasons">
    <w:name w:val="Limited Reasons"/>
    <w:basedOn w:val="BodyText2"/>
    <w:link w:val="LimitedReasonsChar"/>
    <w:qFormat/>
    <w:rsid w:val="00F72C52"/>
    <w:pPr>
      <w:numPr>
        <w:numId w:val="3"/>
      </w:numPr>
      <w:ind w:left="1077" w:hanging="357"/>
    </w:pPr>
  </w:style>
  <w:style w:type="character" w:customStyle="1" w:styleId="LimitedReasonsChar">
    <w:name w:val="Limited Reasons Char"/>
    <w:basedOn w:val="BodyText2Char"/>
    <w:link w:val="LimitedReasons"/>
    <w:rsid w:val="00F72C52"/>
    <w:rPr>
      <w:rFonts w:ascii="Arial" w:eastAsia="Times New Roman" w:hAnsi="Arial" w:cs="Times New Roman"/>
      <w:color w:val="000000" w:themeColor="text1"/>
      <w:szCs w:val="20"/>
    </w:rPr>
  </w:style>
  <w:style w:type="paragraph" w:customStyle="1" w:styleId="Bullet1Indent">
    <w:name w:val="Bullet1 Indent"/>
    <w:basedOn w:val="Bullet1"/>
    <w:link w:val="Bullet1IndentChar"/>
    <w:qFormat/>
    <w:rsid w:val="00DE743D"/>
    <w:pPr>
      <w:numPr>
        <w:ilvl w:val="2"/>
      </w:numPr>
    </w:pPr>
  </w:style>
  <w:style w:type="character" w:customStyle="1" w:styleId="Bullet1IndentChar">
    <w:name w:val="Bullet1 Indent Char"/>
    <w:basedOn w:val="DefaultParagraphFont"/>
    <w:link w:val="Bullet1Indent"/>
    <w:rsid w:val="00DE743D"/>
    <w:rPr>
      <w:rFonts w:ascii="Arial" w:eastAsia="Times New Roman" w:hAnsi="Arial" w:cs="Times New Roman"/>
      <w:color w:val="000000"/>
      <w:szCs w:val="20"/>
    </w:rPr>
  </w:style>
  <w:style w:type="paragraph" w:customStyle="1" w:styleId="RecBodyTextBullet">
    <w:name w:val="Rec Body Text Bullet"/>
    <w:basedOn w:val="Bullet1Indent"/>
    <w:qFormat/>
    <w:rsid w:val="002427F0"/>
    <w:pPr>
      <w:numPr>
        <w:ilvl w:val="0"/>
        <w:numId w:val="5"/>
      </w:numPr>
      <w:spacing w:after="0"/>
      <w:ind w:left="357" w:hanging="357"/>
    </w:pPr>
    <w:rPr>
      <w:rFonts w:ascii="Arial Narrow" w:hAnsi="Arial Narrow"/>
      <w:sz w:val="20"/>
    </w:rPr>
  </w:style>
  <w:style w:type="paragraph" w:customStyle="1" w:styleId="RecBodyTextLetter">
    <w:name w:val="Rec Body Text Letter"/>
    <w:basedOn w:val="RecBodyTextBullet"/>
    <w:rsid w:val="005D4583"/>
    <w:pPr>
      <w:numPr>
        <w:numId w:val="6"/>
      </w:numPr>
    </w:pPr>
  </w:style>
  <w:style w:type="paragraph" w:styleId="Quote">
    <w:name w:val="Quote"/>
    <w:basedOn w:val="BodyText2"/>
    <w:next w:val="BodyText2"/>
    <w:link w:val="QuoteChar"/>
    <w:uiPriority w:val="29"/>
    <w:qFormat/>
    <w:rsid w:val="00A90805"/>
    <w:pPr>
      <w:spacing w:before="200" w:after="160"/>
      <w:ind w:left="864" w:right="864"/>
      <w:jc w:val="center"/>
    </w:pPr>
    <w:rPr>
      <w:i/>
      <w:iCs/>
    </w:rPr>
  </w:style>
  <w:style w:type="character" w:customStyle="1" w:styleId="QuoteChar">
    <w:name w:val="Quote Char"/>
    <w:basedOn w:val="DefaultParagraphFont"/>
    <w:link w:val="Quote"/>
    <w:uiPriority w:val="29"/>
    <w:rsid w:val="00A90805"/>
    <w:rPr>
      <w:rFonts w:ascii="Arial" w:eastAsia="Times New Roman" w:hAnsi="Arial" w:cs="Times New Roman"/>
      <w:i/>
      <w:iCs/>
      <w:color w:val="000000" w:themeColor="text1"/>
      <w:szCs w:val="20"/>
    </w:rPr>
  </w:style>
  <w:style w:type="paragraph" w:styleId="Header">
    <w:name w:val="header"/>
    <w:basedOn w:val="Normal"/>
    <w:link w:val="HeaderChar"/>
    <w:uiPriority w:val="99"/>
    <w:unhideWhenUsed/>
    <w:rsid w:val="00B13E02"/>
    <w:pPr>
      <w:tabs>
        <w:tab w:val="center" w:pos="4513"/>
        <w:tab w:val="right" w:pos="9026"/>
      </w:tabs>
    </w:pPr>
  </w:style>
  <w:style w:type="character" w:customStyle="1" w:styleId="HeaderChar">
    <w:name w:val="Header Char"/>
    <w:basedOn w:val="DefaultParagraphFont"/>
    <w:link w:val="Header"/>
    <w:uiPriority w:val="99"/>
    <w:rsid w:val="00B13E02"/>
    <w:rPr>
      <w:rFonts w:ascii="Arial" w:eastAsia="Times New Roman" w:hAnsi="Arial" w:cs="Times New Roman"/>
      <w:color w:val="000000" w:themeColor="text1"/>
      <w:szCs w:val="24"/>
      <w:lang w:eastAsia="en-GB"/>
    </w:rPr>
  </w:style>
  <w:style w:type="paragraph" w:styleId="ListParagraph">
    <w:name w:val="List Paragraph"/>
    <w:basedOn w:val="Normal"/>
    <w:link w:val="ListParagraphChar"/>
    <w:uiPriority w:val="34"/>
    <w:qFormat/>
    <w:rsid w:val="00AE6DB4"/>
    <w:pPr>
      <w:ind w:left="720"/>
      <w:contextualSpacing/>
    </w:pPr>
  </w:style>
  <w:style w:type="character" w:customStyle="1" w:styleId="text1">
    <w:name w:val="text1"/>
    <w:rsid w:val="00AE6DB4"/>
    <w:rPr>
      <w:rFonts w:ascii="Arial" w:hAnsi="Arial" w:cs="Arial" w:hint="default"/>
      <w:sz w:val="20"/>
      <w:szCs w:val="20"/>
    </w:rPr>
  </w:style>
  <w:style w:type="character" w:customStyle="1" w:styleId="ListParagraphChar">
    <w:name w:val="List Paragraph Char"/>
    <w:basedOn w:val="DefaultParagraphFont"/>
    <w:link w:val="ListParagraph"/>
    <w:uiPriority w:val="34"/>
    <w:locked/>
    <w:rsid w:val="00AE6DB4"/>
    <w:rPr>
      <w:rFonts w:ascii="Arial" w:eastAsia="Times New Roman" w:hAnsi="Arial" w:cs="Times New Roman"/>
      <w:color w:val="000000" w:themeColor="text1"/>
      <w:szCs w:val="24"/>
      <w:lang w:eastAsia="en-GB"/>
    </w:rPr>
  </w:style>
  <w:style w:type="character" w:styleId="CommentReference">
    <w:name w:val="annotation reference"/>
    <w:basedOn w:val="DefaultParagraphFont"/>
    <w:uiPriority w:val="99"/>
    <w:semiHidden/>
    <w:unhideWhenUsed/>
    <w:rsid w:val="009F505A"/>
    <w:rPr>
      <w:sz w:val="16"/>
      <w:szCs w:val="16"/>
    </w:rPr>
  </w:style>
  <w:style w:type="paragraph" w:styleId="CommentText">
    <w:name w:val="annotation text"/>
    <w:basedOn w:val="Normal"/>
    <w:link w:val="CommentTextChar"/>
    <w:uiPriority w:val="99"/>
    <w:semiHidden/>
    <w:unhideWhenUsed/>
    <w:rsid w:val="009F505A"/>
    <w:rPr>
      <w:sz w:val="20"/>
      <w:szCs w:val="20"/>
    </w:rPr>
  </w:style>
  <w:style w:type="character" w:customStyle="1" w:styleId="CommentTextChar">
    <w:name w:val="Comment Text Char"/>
    <w:basedOn w:val="DefaultParagraphFont"/>
    <w:link w:val="CommentText"/>
    <w:uiPriority w:val="99"/>
    <w:semiHidden/>
    <w:rsid w:val="009F505A"/>
    <w:rPr>
      <w:rFonts w:ascii="Arial" w:eastAsia="Times New Roman" w:hAnsi="Arial" w:cs="Times New Roman"/>
      <w:color w:val="000000" w:themeColor="text1"/>
      <w:sz w:val="20"/>
      <w:szCs w:val="20"/>
      <w:lang w:eastAsia="en-GB"/>
    </w:rPr>
  </w:style>
  <w:style w:type="paragraph" w:styleId="CommentSubject">
    <w:name w:val="annotation subject"/>
    <w:basedOn w:val="CommentText"/>
    <w:next w:val="CommentText"/>
    <w:link w:val="CommentSubjectChar"/>
    <w:uiPriority w:val="99"/>
    <w:semiHidden/>
    <w:unhideWhenUsed/>
    <w:rsid w:val="009F505A"/>
    <w:rPr>
      <w:b/>
      <w:bCs/>
    </w:rPr>
  </w:style>
  <w:style w:type="character" w:customStyle="1" w:styleId="CommentSubjectChar">
    <w:name w:val="Comment Subject Char"/>
    <w:basedOn w:val="CommentTextChar"/>
    <w:link w:val="CommentSubject"/>
    <w:uiPriority w:val="99"/>
    <w:semiHidden/>
    <w:rsid w:val="009F505A"/>
    <w:rPr>
      <w:rFonts w:ascii="Arial" w:eastAsia="Times New Roman" w:hAnsi="Arial" w:cs="Times New Roman"/>
      <w:b/>
      <w:bCs/>
      <w:color w:val="000000" w:themeColor="text1"/>
      <w:sz w:val="20"/>
      <w:szCs w:val="20"/>
      <w:lang w:eastAsia="en-GB"/>
    </w:rPr>
  </w:style>
  <w:style w:type="paragraph" w:styleId="Revision">
    <w:name w:val="Revision"/>
    <w:hidden/>
    <w:uiPriority w:val="99"/>
    <w:semiHidden/>
    <w:rsid w:val="00BC31D4"/>
    <w:pPr>
      <w:spacing w:after="0" w:line="240" w:lineRule="auto"/>
    </w:pPr>
    <w:rPr>
      <w:rFonts w:ascii="Arial" w:eastAsia="Times New Roman" w:hAnsi="Arial" w:cs="Times New Roman"/>
      <w:color w:val="000000" w:themeColor="text1"/>
      <w:szCs w:val="24"/>
      <w:lang w:eastAsia="en-GB"/>
    </w:rPr>
  </w:style>
  <w:style w:type="character" w:customStyle="1" w:styleId="tgc">
    <w:name w:val="_tgc"/>
    <w:basedOn w:val="DefaultParagraphFont"/>
    <w:rsid w:val="003C6566"/>
  </w:style>
  <w:style w:type="paragraph" w:styleId="NoSpacing">
    <w:name w:val="No Spacing"/>
    <w:uiPriority w:val="1"/>
    <w:qFormat/>
    <w:rsid w:val="00AD3556"/>
    <w:pPr>
      <w:spacing w:after="0" w:line="240" w:lineRule="auto"/>
    </w:pPr>
    <w:rPr>
      <w:rFonts w:ascii="Trebuchet MS" w:hAnsi="Trebuchet MS"/>
      <w:sz w:val="20"/>
    </w:rPr>
  </w:style>
  <w:style w:type="paragraph" w:customStyle="1" w:styleId="TableParagraph">
    <w:name w:val="Table Paragraph"/>
    <w:basedOn w:val="Normal"/>
    <w:uiPriority w:val="1"/>
    <w:rsid w:val="00FD032C"/>
    <w:pPr>
      <w:autoSpaceDE w:val="0"/>
      <w:autoSpaceDN w:val="0"/>
      <w:ind w:left="110"/>
    </w:pPr>
    <w:rPr>
      <w:rFonts w:eastAsiaTheme="minorHAnsi" w:cs="Arial"/>
      <w:color w:val="auto"/>
      <w:szCs w:val="22"/>
    </w:rPr>
  </w:style>
  <w:style w:type="character" w:customStyle="1" w:styleId="ilfuvd">
    <w:name w:val="ilfuvd"/>
    <w:basedOn w:val="DefaultParagraphFont"/>
    <w:rsid w:val="00946996"/>
  </w:style>
  <w:style w:type="paragraph" w:customStyle="1" w:styleId="Default">
    <w:name w:val="Default"/>
    <w:rsid w:val="009D70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63112">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682633164">
      <w:bodyDiv w:val="1"/>
      <w:marLeft w:val="0"/>
      <w:marRight w:val="0"/>
      <w:marTop w:val="0"/>
      <w:marBottom w:val="0"/>
      <w:divBdr>
        <w:top w:val="none" w:sz="0" w:space="0" w:color="auto"/>
        <w:left w:val="none" w:sz="0" w:space="0" w:color="auto"/>
        <w:bottom w:val="none" w:sz="0" w:space="0" w:color="auto"/>
        <w:right w:val="none" w:sz="0" w:space="0" w:color="auto"/>
      </w:divBdr>
    </w:div>
    <w:div w:id="749618798">
      <w:bodyDiv w:val="1"/>
      <w:marLeft w:val="0"/>
      <w:marRight w:val="0"/>
      <w:marTop w:val="0"/>
      <w:marBottom w:val="0"/>
      <w:divBdr>
        <w:top w:val="none" w:sz="0" w:space="0" w:color="auto"/>
        <w:left w:val="none" w:sz="0" w:space="0" w:color="auto"/>
        <w:bottom w:val="none" w:sz="0" w:space="0" w:color="auto"/>
        <w:right w:val="none" w:sz="0" w:space="0" w:color="auto"/>
      </w:divBdr>
    </w:div>
    <w:div w:id="862668322">
      <w:bodyDiv w:val="1"/>
      <w:marLeft w:val="0"/>
      <w:marRight w:val="0"/>
      <w:marTop w:val="0"/>
      <w:marBottom w:val="0"/>
      <w:divBdr>
        <w:top w:val="none" w:sz="0" w:space="0" w:color="auto"/>
        <w:left w:val="none" w:sz="0" w:space="0" w:color="auto"/>
        <w:bottom w:val="none" w:sz="0" w:space="0" w:color="auto"/>
        <w:right w:val="none" w:sz="0" w:space="0" w:color="auto"/>
      </w:divBdr>
    </w:div>
    <w:div w:id="935863024">
      <w:bodyDiv w:val="1"/>
      <w:marLeft w:val="0"/>
      <w:marRight w:val="0"/>
      <w:marTop w:val="0"/>
      <w:marBottom w:val="0"/>
      <w:divBdr>
        <w:top w:val="none" w:sz="0" w:space="0" w:color="auto"/>
        <w:left w:val="none" w:sz="0" w:space="0" w:color="auto"/>
        <w:bottom w:val="none" w:sz="0" w:space="0" w:color="auto"/>
        <w:right w:val="none" w:sz="0" w:space="0" w:color="auto"/>
      </w:divBdr>
    </w:div>
    <w:div w:id="1176383274">
      <w:bodyDiv w:val="1"/>
      <w:marLeft w:val="0"/>
      <w:marRight w:val="0"/>
      <w:marTop w:val="0"/>
      <w:marBottom w:val="0"/>
      <w:divBdr>
        <w:top w:val="none" w:sz="0" w:space="0" w:color="auto"/>
        <w:left w:val="none" w:sz="0" w:space="0" w:color="auto"/>
        <w:bottom w:val="none" w:sz="0" w:space="0" w:color="auto"/>
        <w:right w:val="none" w:sz="0" w:space="0" w:color="auto"/>
      </w:divBdr>
    </w:div>
    <w:div w:id="1520584183">
      <w:bodyDiv w:val="1"/>
      <w:marLeft w:val="0"/>
      <w:marRight w:val="0"/>
      <w:marTop w:val="0"/>
      <w:marBottom w:val="0"/>
      <w:divBdr>
        <w:top w:val="none" w:sz="0" w:space="0" w:color="auto"/>
        <w:left w:val="none" w:sz="0" w:space="0" w:color="auto"/>
        <w:bottom w:val="none" w:sz="0" w:space="0" w:color="auto"/>
        <w:right w:val="none" w:sz="0" w:space="0" w:color="auto"/>
      </w:divBdr>
    </w:div>
    <w:div w:id="1574504913">
      <w:bodyDiv w:val="1"/>
      <w:marLeft w:val="0"/>
      <w:marRight w:val="0"/>
      <w:marTop w:val="0"/>
      <w:marBottom w:val="0"/>
      <w:divBdr>
        <w:top w:val="none" w:sz="0" w:space="0" w:color="auto"/>
        <w:left w:val="none" w:sz="0" w:space="0" w:color="auto"/>
        <w:bottom w:val="none" w:sz="0" w:space="0" w:color="auto"/>
        <w:right w:val="none" w:sz="0" w:space="0" w:color="auto"/>
      </w:divBdr>
    </w:div>
    <w:div w:id="171260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0D4E8-72DC-407A-99A9-FD8BBCA8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4254</Words>
  <Characters>24250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2019-07-10T12:31:00Z</dcterms:created>
  <dcterms:modified xsi:type="dcterms:W3CDTF">2019-07-10T12:31:00Z</dcterms:modified>
</cp:coreProperties>
</file>