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4F1" w:rsidRPr="007954F1" w:rsidRDefault="007954F1" w:rsidP="007954F1">
      <w:pPr>
        <w:ind w:right="-330"/>
        <w:jc w:val="right"/>
        <w:rPr>
          <w:rFonts w:asciiTheme="minorHAnsi" w:eastAsiaTheme="minorHAnsi" w:hAnsiTheme="minorHAnsi" w:cstheme="minorHAnsi"/>
          <w:b/>
          <w:i/>
          <w:sz w:val="24"/>
          <w:szCs w:val="24"/>
        </w:rPr>
      </w:pPr>
      <w:r w:rsidRPr="007954F1">
        <w:rPr>
          <w:rFonts w:asciiTheme="minorHAnsi" w:eastAsiaTheme="minorHAnsi" w:hAnsiTheme="minorHAnsi" w:cstheme="minorHAnsi"/>
          <w:b/>
          <w:i/>
          <w:sz w:val="24"/>
          <w:szCs w:val="24"/>
        </w:rPr>
        <w:t>Item 1</w:t>
      </w:r>
      <w:r w:rsidR="00EA5EBD">
        <w:rPr>
          <w:rFonts w:asciiTheme="minorHAnsi" w:eastAsiaTheme="minorHAnsi" w:hAnsiTheme="minorHAnsi" w:cstheme="minorHAnsi"/>
          <w:b/>
          <w:i/>
          <w:sz w:val="24"/>
          <w:szCs w:val="24"/>
        </w:rPr>
        <w:t>1</w:t>
      </w:r>
    </w:p>
    <w:p w:rsidR="007954F1" w:rsidRPr="007954F1" w:rsidRDefault="007954F1" w:rsidP="007954F1">
      <w:pPr>
        <w:ind w:right="-330"/>
        <w:jc w:val="center"/>
        <w:rPr>
          <w:rFonts w:asciiTheme="minorHAnsi" w:eastAsiaTheme="minorHAnsi" w:hAnsiTheme="minorHAnsi" w:cstheme="minorHAnsi"/>
          <w:b/>
          <w:i/>
          <w:sz w:val="28"/>
          <w:szCs w:val="28"/>
        </w:rPr>
      </w:pPr>
      <w:r w:rsidRPr="007954F1">
        <w:rPr>
          <w:rFonts w:asciiTheme="minorHAnsi" w:eastAsiaTheme="minorHAnsi" w:hAnsiTheme="minorHAnsi" w:cstheme="minorHAnsi"/>
          <w:b/>
          <w:i/>
          <w:sz w:val="28"/>
          <w:szCs w:val="28"/>
        </w:rPr>
        <w:t>STOKE-ON-TRENT AND STAFFORDSHIRE</w:t>
      </w:r>
    </w:p>
    <w:p w:rsidR="007954F1" w:rsidRPr="007954F1" w:rsidRDefault="007954F1" w:rsidP="007954F1">
      <w:pPr>
        <w:ind w:right="-330"/>
        <w:jc w:val="center"/>
        <w:rPr>
          <w:rFonts w:asciiTheme="minorHAnsi" w:eastAsiaTheme="minorHAnsi" w:hAnsiTheme="minorHAnsi" w:cstheme="minorHAnsi"/>
          <w:b/>
          <w:i/>
          <w:sz w:val="28"/>
          <w:szCs w:val="28"/>
        </w:rPr>
      </w:pPr>
      <w:r w:rsidRPr="007954F1">
        <w:rPr>
          <w:rFonts w:asciiTheme="minorHAnsi" w:eastAsiaTheme="minorHAnsi" w:hAnsiTheme="minorHAnsi" w:cstheme="minorHAnsi"/>
          <w:b/>
          <w:i/>
          <w:sz w:val="28"/>
          <w:szCs w:val="28"/>
        </w:rPr>
        <w:t xml:space="preserve">LOCAL ENTERPRISE PARTNERSHIP LTD </w:t>
      </w:r>
    </w:p>
    <w:p w:rsidR="007954F1" w:rsidRPr="007954F1" w:rsidRDefault="007954F1" w:rsidP="007954F1">
      <w:pPr>
        <w:ind w:right="-330"/>
        <w:jc w:val="center"/>
        <w:rPr>
          <w:rFonts w:asciiTheme="minorHAnsi" w:eastAsiaTheme="minorHAnsi" w:hAnsiTheme="minorHAnsi" w:cstheme="minorHAnsi"/>
          <w:b/>
          <w:i/>
          <w:sz w:val="28"/>
          <w:szCs w:val="28"/>
        </w:rPr>
      </w:pPr>
      <w:r w:rsidRPr="007954F1">
        <w:rPr>
          <w:rFonts w:asciiTheme="minorHAnsi" w:eastAsiaTheme="minorHAnsi" w:hAnsiTheme="minorHAnsi" w:cstheme="minorHAnsi"/>
          <w:b/>
          <w:i/>
          <w:sz w:val="28"/>
          <w:szCs w:val="28"/>
        </w:rPr>
        <w:t xml:space="preserve">BOARD MEETING </w:t>
      </w:r>
      <w:r w:rsidR="00141A53">
        <w:rPr>
          <w:rFonts w:asciiTheme="minorHAnsi" w:eastAsiaTheme="minorHAnsi" w:hAnsiTheme="minorHAnsi" w:cstheme="minorHAnsi"/>
          <w:b/>
          <w:i/>
          <w:sz w:val="28"/>
          <w:szCs w:val="28"/>
        </w:rPr>
        <w:t>18</w:t>
      </w:r>
      <w:r w:rsidRPr="007954F1">
        <w:rPr>
          <w:rFonts w:asciiTheme="minorHAnsi" w:eastAsiaTheme="minorHAnsi" w:hAnsiTheme="minorHAnsi" w:cstheme="minorHAnsi"/>
          <w:b/>
          <w:i/>
          <w:sz w:val="28"/>
          <w:szCs w:val="28"/>
        </w:rPr>
        <w:t xml:space="preserve"> Ju</w:t>
      </w:r>
      <w:r w:rsidR="00141A53">
        <w:rPr>
          <w:rFonts w:asciiTheme="minorHAnsi" w:eastAsiaTheme="minorHAnsi" w:hAnsiTheme="minorHAnsi" w:cstheme="minorHAnsi"/>
          <w:b/>
          <w:i/>
          <w:sz w:val="28"/>
          <w:szCs w:val="28"/>
        </w:rPr>
        <w:t>ly</w:t>
      </w:r>
      <w:bookmarkStart w:id="0" w:name="_GoBack"/>
      <w:bookmarkEnd w:id="0"/>
      <w:r w:rsidRPr="007954F1">
        <w:rPr>
          <w:rFonts w:asciiTheme="minorHAnsi" w:eastAsiaTheme="minorHAnsi" w:hAnsiTheme="minorHAnsi" w:cstheme="minorHAnsi"/>
          <w:b/>
          <w:i/>
          <w:sz w:val="28"/>
          <w:szCs w:val="28"/>
        </w:rPr>
        <w:t xml:space="preserve"> 2019</w:t>
      </w:r>
    </w:p>
    <w:p w:rsidR="007954F1" w:rsidRDefault="007954F1" w:rsidP="007954F1">
      <w:pPr>
        <w:ind w:right="-330"/>
        <w:jc w:val="center"/>
        <w:rPr>
          <w:rFonts w:asciiTheme="minorHAnsi" w:hAnsiTheme="minorHAnsi" w:cstheme="minorHAnsi"/>
          <w:b/>
          <w:sz w:val="28"/>
          <w:szCs w:val="28"/>
        </w:rPr>
      </w:pPr>
    </w:p>
    <w:p w:rsidR="00E01CF9" w:rsidRPr="007954F1" w:rsidRDefault="00E01CF9" w:rsidP="007954F1">
      <w:pPr>
        <w:ind w:right="-330"/>
        <w:jc w:val="center"/>
        <w:rPr>
          <w:rFonts w:asciiTheme="minorHAnsi" w:hAnsiTheme="minorHAnsi" w:cstheme="minorHAnsi"/>
          <w:b/>
          <w:sz w:val="28"/>
          <w:szCs w:val="28"/>
        </w:rPr>
      </w:pPr>
      <w:r w:rsidRPr="007954F1">
        <w:rPr>
          <w:rFonts w:asciiTheme="minorHAnsi" w:hAnsiTheme="minorHAnsi" w:cstheme="minorHAnsi"/>
          <w:b/>
          <w:sz w:val="28"/>
          <w:szCs w:val="28"/>
        </w:rPr>
        <w:t>Skills Advisory Panel</w:t>
      </w:r>
    </w:p>
    <w:p w:rsidR="00E01CF9" w:rsidRPr="007954F1" w:rsidRDefault="00E01CF9" w:rsidP="007954F1">
      <w:pPr>
        <w:ind w:right="-330"/>
        <w:jc w:val="center"/>
        <w:rPr>
          <w:rFonts w:asciiTheme="minorHAnsi" w:hAnsiTheme="minorHAnsi" w:cstheme="minorHAnsi"/>
          <w:b/>
          <w:sz w:val="24"/>
          <w:szCs w:val="24"/>
        </w:rPr>
      </w:pPr>
    </w:p>
    <w:p w:rsidR="00E01CF9" w:rsidRPr="007954F1" w:rsidRDefault="00E01CF9" w:rsidP="007954F1">
      <w:pPr>
        <w:ind w:right="-330"/>
        <w:rPr>
          <w:rFonts w:asciiTheme="minorHAnsi" w:hAnsiTheme="minorHAnsi" w:cstheme="minorHAnsi"/>
          <w:b/>
          <w:sz w:val="24"/>
          <w:szCs w:val="24"/>
        </w:rPr>
      </w:pPr>
      <w:r w:rsidRPr="007954F1">
        <w:rPr>
          <w:rFonts w:asciiTheme="minorHAnsi" w:hAnsiTheme="minorHAnsi" w:cstheme="minorHAnsi"/>
          <w:b/>
          <w:sz w:val="24"/>
          <w:szCs w:val="24"/>
        </w:rPr>
        <w:t>Purpose</w:t>
      </w:r>
    </w:p>
    <w:p w:rsidR="00E01CF9" w:rsidRPr="007954F1" w:rsidRDefault="00E01CF9" w:rsidP="007954F1">
      <w:pPr>
        <w:ind w:right="-330"/>
        <w:rPr>
          <w:rFonts w:asciiTheme="minorHAnsi" w:hAnsiTheme="minorHAnsi" w:cstheme="minorHAnsi"/>
          <w:b/>
          <w:sz w:val="24"/>
          <w:szCs w:val="24"/>
        </w:rPr>
      </w:pPr>
    </w:p>
    <w:p w:rsidR="00E01CF9"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To inform the </w:t>
      </w:r>
      <w:r w:rsidR="001A5216" w:rsidRPr="007954F1">
        <w:rPr>
          <w:rFonts w:asciiTheme="minorHAnsi" w:hAnsiTheme="minorHAnsi" w:cstheme="minorHAnsi"/>
          <w:sz w:val="24"/>
          <w:szCs w:val="24"/>
        </w:rPr>
        <w:t>LEP Executive Board</w:t>
      </w:r>
      <w:r w:rsidR="00195139" w:rsidRPr="007954F1">
        <w:rPr>
          <w:rFonts w:asciiTheme="minorHAnsi" w:hAnsiTheme="minorHAnsi" w:cstheme="minorHAnsi"/>
          <w:sz w:val="24"/>
          <w:szCs w:val="24"/>
        </w:rPr>
        <w:t xml:space="preserve"> </w:t>
      </w:r>
      <w:r w:rsidRPr="007954F1">
        <w:rPr>
          <w:rFonts w:asciiTheme="minorHAnsi" w:hAnsiTheme="minorHAnsi" w:cstheme="minorHAnsi"/>
          <w:sz w:val="24"/>
          <w:szCs w:val="24"/>
        </w:rPr>
        <w:t xml:space="preserve">of </w:t>
      </w:r>
      <w:r w:rsidR="00C5217E" w:rsidRPr="007954F1">
        <w:rPr>
          <w:rFonts w:asciiTheme="minorHAnsi" w:hAnsiTheme="minorHAnsi" w:cstheme="minorHAnsi"/>
          <w:sz w:val="24"/>
          <w:szCs w:val="24"/>
        </w:rPr>
        <w:t xml:space="preserve">the </w:t>
      </w:r>
      <w:r w:rsidR="00195139" w:rsidRPr="007954F1">
        <w:rPr>
          <w:rFonts w:asciiTheme="minorHAnsi" w:hAnsiTheme="minorHAnsi" w:cstheme="minorHAnsi"/>
          <w:sz w:val="24"/>
          <w:szCs w:val="24"/>
        </w:rPr>
        <w:t xml:space="preserve">Department for Education guidance on </w:t>
      </w:r>
      <w:r w:rsidRPr="007954F1">
        <w:rPr>
          <w:rFonts w:asciiTheme="minorHAnsi" w:hAnsiTheme="minorHAnsi" w:cstheme="minorHAnsi"/>
          <w:sz w:val="24"/>
          <w:szCs w:val="24"/>
        </w:rPr>
        <w:t xml:space="preserve">the Skills Advisory </w:t>
      </w:r>
      <w:r w:rsidR="001C23F7" w:rsidRPr="007954F1">
        <w:rPr>
          <w:rFonts w:asciiTheme="minorHAnsi" w:hAnsiTheme="minorHAnsi" w:cstheme="minorHAnsi"/>
          <w:sz w:val="24"/>
          <w:szCs w:val="24"/>
        </w:rPr>
        <w:t>P</w:t>
      </w:r>
      <w:r w:rsidRPr="007954F1">
        <w:rPr>
          <w:rFonts w:asciiTheme="minorHAnsi" w:hAnsiTheme="minorHAnsi" w:cstheme="minorHAnsi"/>
          <w:sz w:val="24"/>
          <w:szCs w:val="24"/>
        </w:rPr>
        <w:t>anel</w:t>
      </w:r>
      <w:r w:rsidR="00910D4D" w:rsidRPr="007954F1">
        <w:rPr>
          <w:rFonts w:asciiTheme="minorHAnsi" w:hAnsiTheme="minorHAnsi" w:cstheme="minorHAnsi"/>
          <w:sz w:val="24"/>
          <w:szCs w:val="24"/>
        </w:rPr>
        <w:t>.</w:t>
      </w:r>
    </w:p>
    <w:p w:rsidR="00075848" w:rsidRPr="007954F1" w:rsidRDefault="00075848" w:rsidP="007954F1">
      <w:pPr>
        <w:ind w:right="-330"/>
        <w:rPr>
          <w:rFonts w:asciiTheme="minorHAnsi" w:hAnsiTheme="minorHAnsi" w:cstheme="minorHAnsi"/>
          <w:sz w:val="24"/>
          <w:szCs w:val="24"/>
        </w:rPr>
      </w:pPr>
    </w:p>
    <w:p w:rsidR="00075848" w:rsidRPr="007954F1" w:rsidRDefault="00910D4D" w:rsidP="007954F1">
      <w:pPr>
        <w:pStyle w:val="ListParagraph"/>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To inform the LEP Executive Board of the progress in the development of the Skills Advisory Panel. </w:t>
      </w:r>
    </w:p>
    <w:p w:rsidR="00E01CF9" w:rsidRPr="007954F1" w:rsidRDefault="00E01CF9" w:rsidP="007954F1">
      <w:pPr>
        <w:ind w:right="-330"/>
        <w:rPr>
          <w:rFonts w:asciiTheme="minorHAnsi" w:hAnsiTheme="minorHAnsi" w:cstheme="minorHAnsi"/>
          <w:b/>
          <w:sz w:val="24"/>
          <w:szCs w:val="24"/>
        </w:rPr>
      </w:pPr>
    </w:p>
    <w:p w:rsidR="00E01CF9" w:rsidRPr="007954F1" w:rsidRDefault="00E01CF9" w:rsidP="007954F1">
      <w:pPr>
        <w:ind w:right="-330"/>
        <w:rPr>
          <w:rFonts w:asciiTheme="minorHAnsi" w:hAnsiTheme="minorHAnsi" w:cstheme="minorHAnsi"/>
          <w:b/>
          <w:sz w:val="24"/>
          <w:szCs w:val="24"/>
        </w:rPr>
      </w:pPr>
      <w:r w:rsidRPr="007954F1">
        <w:rPr>
          <w:rFonts w:asciiTheme="minorHAnsi" w:hAnsiTheme="minorHAnsi" w:cstheme="minorHAnsi"/>
          <w:b/>
          <w:sz w:val="24"/>
          <w:szCs w:val="24"/>
        </w:rPr>
        <w:t>Recommendation</w:t>
      </w:r>
    </w:p>
    <w:p w:rsidR="009457AD" w:rsidRPr="007954F1" w:rsidRDefault="009457AD" w:rsidP="007954F1">
      <w:pPr>
        <w:ind w:right="-330"/>
        <w:rPr>
          <w:rFonts w:asciiTheme="minorHAnsi" w:hAnsiTheme="minorHAnsi" w:cstheme="minorHAnsi"/>
          <w:b/>
          <w:sz w:val="24"/>
          <w:szCs w:val="24"/>
        </w:rPr>
      </w:pPr>
    </w:p>
    <w:p w:rsidR="009457AD" w:rsidRPr="007954F1" w:rsidRDefault="009457AD"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The LEP Executive Board notes the position against the Skills Advisory Panel project plan.</w:t>
      </w:r>
      <w:r w:rsidR="002D49AD" w:rsidRPr="007954F1">
        <w:rPr>
          <w:rFonts w:asciiTheme="minorHAnsi" w:hAnsiTheme="minorHAnsi" w:cstheme="minorHAnsi"/>
          <w:sz w:val="24"/>
          <w:szCs w:val="24"/>
        </w:rPr>
        <w:t xml:space="preserve"> </w:t>
      </w:r>
      <w:r w:rsidR="002D49AD" w:rsidRPr="007954F1">
        <w:rPr>
          <w:rFonts w:asciiTheme="minorHAnsi" w:hAnsiTheme="minorHAnsi" w:cstheme="minorHAnsi"/>
          <w:b/>
          <w:sz w:val="24"/>
          <w:szCs w:val="24"/>
        </w:rPr>
        <w:t>(Appendix A)</w:t>
      </w:r>
    </w:p>
    <w:p w:rsidR="00E01CF9" w:rsidRPr="007954F1" w:rsidRDefault="00E01CF9" w:rsidP="007954F1">
      <w:pPr>
        <w:ind w:right="-330"/>
        <w:rPr>
          <w:rFonts w:asciiTheme="minorHAnsi" w:hAnsiTheme="minorHAnsi" w:cstheme="minorHAnsi"/>
          <w:sz w:val="24"/>
          <w:szCs w:val="24"/>
        </w:rPr>
      </w:pPr>
    </w:p>
    <w:p w:rsidR="00015654"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The E</w:t>
      </w:r>
      <w:r w:rsidR="005F7CA1" w:rsidRPr="007954F1">
        <w:rPr>
          <w:rFonts w:asciiTheme="minorHAnsi" w:hAnsiTheme="minorHAnsi" w:cstheme="minorHAnsi"/>
          <w:sz w:val="24"/>
          <w:szCs w:val="24"/>
        </w:rPr>
        <w:t xml:space="preserve">ducation </w:t>
      </w:r>
      <w:r w:rsidRPr="007954F1">
        <w:rPr>
          <w:rFonts w:asciiTheme="minorHAnsi" w:hAnsiTheme="minorHAnsi" w:cstheme="minorHAnsi"/>
          <w:sz w:val="24"/>
          <w:szCs w:val="24"/>
        </w:rPr>
        <w:t>S</w:t>
      </w:r>
      <w:r w:rsidR="005F7CA1" w:rsidRPr="007954F1">
        <w:rPr>
          <w:rFonts w:asciiTheme="minorHAnsi" w:hAnsiTheme="minorHAnsi" w:cstheme="minorHAnsi"/>
          <w:sz w:val="24"/>
          <w:szCs w:val="24"/>
        </w:rPr>
        <w:t xml:space="preserve">kills &amp; Employment </w:t>
      </w:r>
      <w:r w:rsidRPr="007954F1">
        <w:rPr>
          <w:rFonts w:asciiTheme="minorHAnsi" w:hAnsiTheme="minorHAnsi" w:cstheme="minorHAnsi"/>
          <w:sz w:val="24"/>
          <w:szCs w:val="24"/>
        </w:rPr>
        <w:t>G</w:t>
      </w:r>
      <w:r w:rsidR="005F7CA1" w:rsidRPr="007954F1">
        <w:rPr>
          <w:rFonts w:asciiTheme="minorHAnsi" w:hAnsiTheme="minorHAnsi" w:cstheme="minorHAnsi"/>
          <w:sz w:val="24"/>
          <w:szCs w:val="24"/>
        </w:rPr>
        <w:t>roup (ESEG)</w:t>
      </w:r>
      <w:r w:rsidRPr="007954F1">
        <w:rPr>
          <w:rFonts w:asciiTheme="minorHAnsi" w:hAnsiTheme="minorHAnsi" w:cstheme="minorHAnsi"/>
          <w:sz w:val="24"/>
          <w:szCs w:val="24"/>
        </w:rPr>
        <w:t xml:space="preserve"> </w:t>
      </w:r>
      <w:r w:rsidR="00015654" w:rsidRPr="007954F1">
        <w:rPr>
          <w:rFonts w:asciiTheme="minorHAnsi" w:hAnsiTheme="minorHAnsi" w:cstheme="minorHAnsi"/>
          <w:sz w:val="24"/>
          <w:szCs w:val="24"/>
        </w:rPr>
        <w:t>is dissolved and is replaced by the SAP</w:t>
      </w:r>
      <w:r w:rsidR="00A9117C" w:rsidRPr="007954F1">
        <w:rPr>
          <w:rFonts w:asciiTheme="minorHAnsi" w:hAnsiTheme="minorHAnsi" w:cstheme="minorHAnsi"/>
          <w:sz w:val="24"/>
          <w:szCs w:val="24"/>
        </w:rPr>
        <w:t xml:space="preserve"> board</w:t>
      </w:r>
    </w:p>
    <w:p w:rsidR="00015654" w:rsidRPr="007954F1" w:rsidRDefault="00015654" w:rsidP="007954F1">
      <w:pPr>
        <w:ind w:right="-330"/>
        <w:rPr>
          <w:rFonts w:asciiTheme="minorHAnsi" w:hAnsiTheme="minorHAnsi" w:cstheme="minorHAnsi"/>
          <w:sz w:val="24"/>
          <w:szCs w:val="24"/>
        </w:rPr>
      </w:pPr>
    </w:p>
    <w:p w:rsidR="00E01CF9" w:rsidRPr="007954F1" w:rsidRDefault="00015654"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The </w:t>
      </w:r>
      <w:r w:rsidR="007571D8">
        <w:rPr>
          <w:rFonts w:asciiTheme="minorHAnsi" w:hAnsiTheme="minorHAnsi" w:cstheme="minorHAnsi"/>
          <w:sz w:val="24"/>
          <w:szCs w:val="24"/>
        </w:rPr>
        <w:t xml:space="preserve">LEP Executive Board agrees the </w:t>
      </w:r>
      <w:r w:rsidR="002D49AD" w:rsidRPr="007954F1">
        <w:rPr>
          <w:rFonts w:asciiTheme="minorHAnsi" w:hAnsiTheme="minorHAnsi" w:cstheme="minorHAnsi"/>
          <w:sz w:val="24"/>
          <w:szCs w:val="24"/>
        </w:rPr>
        <w:t>T</w:t>
      </w:r>
      <w:r w:rsidRPr="007954F1">
        <w:rPr>
          <w:rFonts w:asciiTheme="minorHAnsi" w:hAnsiTheme="minorHAnsi" w:cstheme="minorHAnsi"/>
          <w:sz w:val="24"/>
          <w:szCs w:val="24"/>
        </w:rPr>
        <w:t xml:space="preserve">erms of </w:t>
      </w:r>
      <w:r w:rsidR="002D49AD" w:rsidRPr="007954F1">
        <w:rPr>
          <w:rFonts w:asciiTheme="minorHAnsi" w:hAnsiTheme="minorHAnsi" w:cstheme="minorHAnsi"/>
          <w:sz w:val="24"/>
          <w:szCs w:val="24"/>
        </w:rPr>
        <w:t>R</w:t>
      </w:r>
      <w:r w:rsidRPr="007954F1">
        <w:rPr>
          <w:rFonts w:asciiTheme="minorHAnsi" w:hAnsiTheme="minorHAnsi" w:cstheme="minorHAnsi"/>
          <w:sz w:val="24"/>
          <w:szCs w:val="24"/>
        </w:rPr>
        <w:t>eference</w:t>
      </w:r>
      <w:r w:rsidR="007571D8">
        <w:rPr>
          <w:rFonts w:asciiTheme="minorHAnsi" w:hAnsiTheme="minorHAnsi" w:cstheme="minorHAnsi"/>
          <w:sz w:val="24"/>
          <w:szCs w:val="24"/>
        </w:rPr>
        <w:t xml:space="preserve"> for the newly created SAP</w:t>
      </w:r>
      <w:r w:rsidRPr="007954F1">
        <w:rPr>
          <w:rFonts w:asciiTheme="minorHAnsi" w:hAnsiTheme="minorHAnsi" w:cstheme="minorHAnsi"/>
          <w:sz w:val="24"/>
          <w:szCs w:val="24"/>
        </w:rPr>
        <w:t xml:space="preserve"> </w:t>
      </w:r>
      <w:r w:rsidRPr="007954F1">
        <w:rPr>
          <w:rFonts w:asciiTheme="minorHAnsi" w:hAnsiTheme="minorHAnsi" w:cstheme="minorHAnsi"/>
          <w:b/>
          <w:sz w:val="24"/>
          <w:szCs w:val="24"/>
        </w:rPr>
        <w:t xml:space="preserve">(Appendix </w:t>
      </w:r>
      <w:r w:rsidR="002D49AD" w:rsidRPr="007954F1">
        <w:rPr>
          <w:rFonts w:asciiTheme="minorHAnsi" w:hAnsiTheme="minorHAnsi" w:cstheme="minorHAnsi"/>
          <w:b/>
          <w:sz w:val="24"/>
          <w:szCs w:val="24"/>
        </w:rPr>
        <w:t>B</w:t>
      </w:r>
      <w:r w:rsidR="00A83961" w:rsidRPr="007954F1">
        <w:rPr>
          <w:rFonts w:asciiTheme="minorHAnsi" w:hAnsiTheme="minorHAnsi" w:cstheme="minorHAnsi"/>
          <w:b/>
          <w:sz w:val="24"/>
          <w:szCs w:val="24"/>
        </w:rPr>
        <w:t>)</w:t>
      </w:r>
    </w:p>
    <w:p w:rsidR="001A5216" w:rsidRPr="007954F1" w:rsidRDefault="001A5216" w:rsidP="007954F1">
      <w:pPr>
        <w:ind w:right="-330"/>
        <w:rPr>
          <w:rFonts w:asciiTheme="minorHAnsi" w:hAnsiTheme="minorHAnsi" w:cstheme="minorHAnsi"/>
          <w:sz w:val="24"/>
          <w:szCs w:val="24"/>
        </w:rPr>
      </w:pPr>
    </w:p>
    <w:p w:rsidR="00E01CF9" w:rsidRPr="007954F1" w:rsidRDefault="001A5216" w:rsidP="007954F1">
      <w:pPr>
        <w:pStyle w:val="ListParagraph"/>
        <w:numPr>
          <w:ilvl w:val="0"/>
          <w:numId w:val="4"/>
        </w:numPr>
        <w:ind w:left="0" w:right="-330"/>
        <w:contextualSpacing/>
        <w:rPr>
          <w:rFonts w:asciiTheme="minorHAnsi" w:hAnsiTheme="minorHAnsi" w:cstheme="minorHAnsi"/>
          <w:sz w:val="24"/>
          <w:szCs w:val="24"/>
        </w:rPr>
      </w:pPr>
      <w:r w:rsidRPr="007954F1">
        <w:rPr>
          <w:rFonts w:asciiTheme="minorHAnsi" w:hAnsiTheme="minorHAnsi" w:cstheme="minorHAnsi"/>
          <w:sz w:val="24"/>
          <w:szCs w:val="24"/>
        </w:rPr>
        <w:t>The LEP Exec</w:t>
      </w:r>
      <w:r w:rsidR="00910D4D" w:rsidRPr="007954F1">
        <w:rPr>
          <w:rFonts w:asciiTheme="minorHAnsi" w:hAnsiTheme="minorHAnsi" w:cstheme="minorHAnsi"/>
          <w:sz w:val="24"/>
          <w:szCs w:val="24"/>
        </w:rPr>
        <w:t>utive</w:t>
      </w:r>
      <w:r w:rsidRPr="007954F1">
        <w:rPr>
          <w:rFonts w:asciiTheme="minorHAnsi" w:hAnsiTheme="minorHAnsi" w:cstheme="minorHAnsi"/>
          <w:sz w:val="24"/>
          <w:szCs w:val="24"/>
        </w:rPr>
        <w:t xml:space="preserve"> Board notes the next steps to address identified </w:t>
      </w:r>
      <w:r w:rsidR="0090780D" w:rsidRPr="007954F1">
        <w:rPr>
          <w:rFonts w:asciiTheme="minorHAnsi" w:hAnsiTheme="minorHAnsi" w:cstheme="minorHAnsi"/>
          <w:sz w:val="24"/>
          <w:szCs w:val="24"/>
        </w:rPr>
        <w:t xml:space="preserve">the </w:t>
      </w:r>
      <w:r w:rsidRPr="007954F1">
        <w:rPr>
          <w:rFonts w:asciiTheme="minorHAnsi" w:hAnsiTheme="minorHAnsi" w:cstheme="minorHAnsi"/>
          <w:sz w:val="24"/>
          <w:szCs w:val="24"/>
        </w:rPr>
        <w:t>SAP evidence gaps and further analysis requirements</w:t>
      </w:r>
      <w:r w:rsidR="0090780D" w:rsidRPr="007954F1">
        <w:rPr>
          <w:rFonts w:asciiTheme="minorHAnsi" w:hAnsiTheme="minorHAnsi" w:cstheme="minorHAnsi"/>
          <w:sz w:val="24"/>
          <w:szCs w:val="24"/>
        </w:rPr>
        <w:t>.</w:t>
      </w:r>
      <w:r w:rsidRPr="007954F1">
        <w:rPr>
          <w:rFonts w:asciiTheme="minorHAnsi" w:hAnsiTheme="minorHAnsi" w:cstheme="minorHAnsi"/>
          <w:sz w:val="24"/>
          <w:szCs w:val="24"/>
        </w:rPr>
        <w:t xml:space="preserve"> </w:t>
      </w:r>
    </w:p>
    <w:p w:rsidR="00E01CF9" w:rsidRPr="007954F1" w:rsidRDefault="00E01CF9" w:rsidP="007954F1">
      <w:pPr>
        <w:ind w:right="-330"/>
        <w:rPr>
          <w:rFonts w:asciiTheme="minorHAnsi" w:hAnsiTheme="minorHAnsi" w:cstheme="minorHAnsi"/>
          <w:b/>
          <w:sz w:val="24"/>
          <w:szCs w:val="24"/>
        </w:rPr>
      </w:pPr>
      <w:r w:rsidRPr="007954F1">
        <w:rPr>
          <w:rFonts w:asciiTheme="minorHAnsi" w:hAnsiTheme="minorHAnsi" w:cstheme="minorHAnsi"/>
          <w:b/>
          <w:sz w:val="24"/>
          <w:szCs w:val="24"/>
        </w:rPr>
        <w:t>Background</w:t>
      </w:r>
    </w:p>
    <w:p w:rsidR="00E01CF9" w:rsidRPr="007954F1" w:rsidRDefault="00E01CF9" w:rsidP="007954F1">
      <w:pPr>
        <w:ind w:right="-330"/>
        <w:rPr>
          <w:rFonts w:asciiTheme="minorHAnsi" w:hAnsiTheme="minorHAnsi" w:cstheme="minorHAnsi"/>
          <w:sz w:val="24"/>
          <w:szCs w:val="24"/>
        </w:rPr>
      </w:pPr>
    </w:p>
    <w:p w:rsidR="00E01CF9"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Skills Advisory Panels (SAPs) are a 2017 Conservative manifesto commitment to “deal with local skills shortages and ensure that colleges deliver the skills required by employers through Skills Advisory Panels and Local Enterprise Partnerships working at a regional and local level”.</w:t>
      </w:r>
    </w:p>
    <w:p w:rsidR="00E01CF9" w:rsidRPr="007954F1" w:rsidRDefault="00E01CF9" w:rsidP="007954F1">
      <w:pPr>
        <w:ind w:right="-330"/>
        <w:rPr>
          <w:rFonts w:asciiTheme="minorHAnsi" w:hAnsiTheme="minorHAnsi" w:cstheme="minorHAnsi"/>
          <w:sz w:val="24"/>
          <w:szCs w:val="24"/>
        </w:rPr>
      </w:pPr>
    </w:p>
    <w:p w:rsidR="00E01CF9"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SAPs aim to strengthen the relationship between employers and education or training providers in local areas. The panels will use robust labour market analysis to understand skills needs and supply and address priorities effectively, improving productivity and their local economy.</w:t>
      </w:r>
    </w:p>
    <w:p w:rsidR="00E01CF9" w:rsidRPr="007954F1" w:rsidRDefault="00E01CF9" w:rsidP="007954F1">
      <w:pPr>
        <w:ind w:right="-330"/>
        <w:rPr>
          <w:rFonts w:asciiTheme="minorHAnsi" w:hAnsiTheme="minorHAnsi" w:cstheme="minorHAnsi"/>
          <w:sz w:val="24"/>
          <w:szCs w:val="24"/>
        </w:rPr>
      </w:pPr>
    </w:p>
    <w:p w:rsidR="00E01CF9"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SAPs analysis will underpin the ‘People’ pillar of the Local Industrial Strategies (LISs) to be produced Local Enterprise Partnerships (LEPs) and a guidance document has been developed by DfE to support this.</w:t>
      </w:r>
    </w:p>
    <w:p w:rsidR="00E01CF9" w:rsidRPr="007954F1" w:rsidRDefault="00E01CF9" w:rsidP="007954F1">
      <w:pPr>
        <w:ind w:right="-330"/>
        <w:rPr>
          <w:rFonts w:asciiTheme="minorHAnsi" w:hAnsiTheme="minorHAnsi" w:cstheme="minorHAnsi"/>
          <w:sz w:val="24"/>
          <w:szCs w:val="24"/>
        </w:rPr>
      </w:pPr>
    </w:p>
    <w:p w:rsidR="00E01CF9" w:rsidRPr="007954F1" w:rsidRDefault="00E01CF9" w:rsidP="007954F1">
      <w:pPr>
        <w:numPr>
          <w:ilvl w:val="0"/>
          <w:numId w:val="4"/>
        </w:numPr>
        <w:ind w:left="0" w:right="-330"/>
        <w:rPr>
          <w:rFonts w:asciiTheme="minorHAnsi" w:hAnsiTheme="minorHAnsi" w:cstheme="minorHAnsi"/>
          <w:sz w:val="24"/>
          <w:szCs w:val="24"/>
        </w:rPr>
      </w:pPr>
      <w:r w:rsidRPr="007954F1">
        <w:rPr>
          <w:rFonts w:asciiTheme="minorHAnsi" w:hAnsiTheme="minorHAnsi" w:cstheme="minorHAnsi"/>
          <w:sz w:val="24"/>
          <w:szCs w:val="24"/>
        </w:rPr>
        <w:t>SAPs will be aligned to the broader work to implement the recommendations of the LEP Review and development of Local Industrial Strategies.</w:t>
      </w:r>
    </w:p>
    <w:p w:rsidR="009457AD" w:rsidRPr="007954F1" w:rsidRDefault="009457AD" w:rsidP="007954F1">
      <w:pPr>
        <w:ind w:right="-330"/>
        <w:rPr>
          <w:rFonts w:asciiTheme="minorHAnsi" w:hAnsiTheme="minorHAnsi" w:cstheme="minorHAnsi"/>
          <w:sz w:val="24"/>
          <w:szCs w:val="24"/>
        </w:rPr>
      </w:pPr>
    </w:p>
    <w:p w:rsidR="009457AD" w:rsidRPr="007954F1" w:rsidRDefault="009457AD" w:rsidP="007954F1">
      <w:pPr>
        <w:ind w:right="-330"/>
        <w:rPr>
          <w:rFonts w:asciiTheme="minorHAnsi" w:hAnsiTheme="minorHAnsi" w:cstheme="minorHAnsi"/>
          <w:b/>
          <w:sz w:val="24"/>
          <w:szCs w:val="24"/>
        </w:rPr>
      </w:pPr>
      <w:r w:rsidRPr="007954F1">
        <w:rPr>
          <w:rFonts w:asciiTheme="minorHAnsi" w:hAnsiTheme="minorHAnsi" w:cstheme="minorHAnsi"/>
          <w:b/>
          <w:sz w:val="24"/>
          <w:szCs w:val="24"/>
        </w:rPr>
        <w:t>The SAP project plan</w:t>
      </w:r>
    </w:p>
    <w:p w:rsidR="009457AD" w:rsidRPr="007954F1" w:rsidRDefault="009457AD" w:rsidP="007954F1">
      <w:pPr>
        <w:ind w:right="-330"/>
        <w:rPr>
          <w:rFonts w:asciiTheme="minorHAnsi" w:hAnsiTheme="minorHAnsi" w:cstheme="minorHAnsi"/>
          <w:sz w:val="24"/>
          <w:szCs w:val="24"/>
        </w:rPr>
      </w:pPr>
    </w:p>
    <w:p w:rsidR="009457AD" w:rsidRPr="007954F1" w:rsidRDefault="009457AD" w:rsidP="007954F1">
      <w:pPr>
        <w:pStyle w:val="ListParagraph"/>
        <w:numPr>
          <w:ilvl w:val="0"/>
          <w:numId w:val="4"/>
        </w:numPr>
        <w:ind w:left="0" w:right="-330"/>
        <w:rPr>
          <w:rFonts w:asciiTheme="minorHAnsi" w:hAnsiTheme="minorHAnsi" w:cstheme="minorHAnsi"/>
          <w:sz w:val="24"/>
          <w:szCs w:val="24"/>
        </w:rPr>
      </w:pPr>
      <w:proofErr w:type="gramStart"/>
      <w:r w:rsidRPr="007954F1">
        <w:rPr>
          <w:rFonts w:asciiTheme="minorHAnsi" w:hAnsiTheme="minorHAnsi" w:cstheme="minorHAnsi"/>
          <w:sz w:val="24"/>
          <w:szCs w:val="24"/>
        </w:rPr>
        <w:lastRenderedPageBreak/>
        <w:t>A</w:t>
      </w:r>
      <w:proofErr w:type="gramEnd"/>
      <w:r w:rsidRPr="007954F1">
        <w:rPr>
          <w:rFonts w:asciiTheme="minorHAnsi" w:hAnsiTheme="minorHAnsi" w:cstheme="minorHAnsi"/>
          <w:sz w:val="24"/>
          <w:szCs w:val="24"/>
        </w:rPr>
        <w:t xml:space="preserve"> SAP project group has been established as an operational group responsible for the development of the SAP in accordance with the Department for Education guidance. Its role is to lead on tasks and activities against a project plan and to make recommendations to the SAP Board as appropriate. The SAP project group will align all activities to the ongoing development of the SSLEP Local Industrial Strategy.</w:t>
      </w:r>
    </w:p>
    <w:p w:rsidR="009457AD" w:rsidRPr="007954F1" w:rsidRDefault="009457AD" w:rsidP="007954F1">
      <w:pPr>
        <w:ind w:right="-330"/>
        <w:rPr>
          <w:rFonts w:asciiTheme="minorHAnsi" w:hAnsiTheme="minorHAnsi" w:cstheme="minorHAnsi"/>
          <w:sz w:val="24"/>
          <w:szCs w:val="24"/>
        </w:rPr>
      </w:pPr>
    </w:p>
    <w:p w:rsidR="009457AD" w:rsidRPr="007954F1" w:rsidRDefault="009457AD" w:rsidP="007954F1">
      <w:pPr>
        <w:numPr>
          <w:ilvl w:val="0"/>
          <w:numId w:val="13"/>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The SAP project plan is attached </w:t>
      </w:r>
      <w:r w:rsidRPr="007954F1">
        <w:rPr>
          <w:rFonts w:asciiTheme="minorHAnsi" w:hAnsiTheme="minorHAnsi" w:cstheme="minorHAnsi"/>
          <w:b/>
          <w:sz w:val="24"/>
          <w:szCs w:val="24"/>
        </w:rPr>
        <w:t>Appendix A</w:t>
      </w:r>
      <w:r w:rsidRPr="007954F1">
        <w:rPr>
          <w:rFonts w:asciiTheme="minorHAnsi" w:hAnsiTheme="minorHAnsi" w:cstheme="minorHAnsi"/>
          <w:sz w:val="24"/>
          <w:szCs w:val="24"/>
        </w:rPr>
        <w:t xml:space="preserve">. The plan identifies </w:t>
      </w:r>
      <w:proofErr w:type="gramStart"/>
      <w:r w:rsidRPr="007954F1">
        <w:rPr>
          <w:rFonts w:asciiTheme="minorHAnsi" w:hAnsiTheme="minorHAnsi" w:cstheme="minorHAnsi"/>
          <w:sz w:val="24"/>
          <w:szCs w:val="24"/>
        </w:rPr>
        <w:t>a number of</w:t>
      </w:r>
      <w:proofErr w:type="gramEnd"/>
      <w:r w:rsidRPr="007954F1">
        <w:rPr>
          <w:rFonts w:asciiTheme="minorHAnsi" w:hAnsiTheme="minorHAnsi" w:cstheme="minorHAnsi"/>
          <w:sz w:val="24"/>
          <w:szCs w:val="24"/>
        </w:rPr>
        <w:t xml:space="preserve"> key and underpinning tasks including start and end dates and progress. The key tasks are as follows:</w:t>
      </w:r>
    </w:p>
    <w:p w:rsidR="009457AD" w:rsidRPr="007954F1" w:rsidRDefault="009457AD" w:rsidP="007954F1">
      <w:pPr>
        <w:ind w:right="-330"/>
        <w:rPr>
          <w:rFonts w:asciiTheme="minorHAnsi" w:hAnsiTheme="minorHAnsi" w:cstheme="minorHAnsi"/>
          <w:sz w:val="24"/>
          <w:szCs w:val="24"/>
        </w:rPr>
      </w:pP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Initial review of evidence against SAP analytical framework</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Appointment of Economy &amp; Skills Analyst</w:t>
      </w:r>
    </w:p>
    <w:p w:rsidR="009457AD" w:rsidRPr="007954F1" w:rsidRDefault="00AD0964"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The creation of the </w:t>
      </w:r>
      <w:r w:rsidR="009457AD" w:rsidRPr="007954F1">
        <w:rPr>
          <w:rFonts w:asciiTheme="minorHAnsi" w:hAnsiTheme="minorHAnsi" w:cstheme="minorHAnsi"/>
          <w:sz w:val="24"/>
          <w:szCs w:val="24"/>
        </w:rPr>
        <w:t>SAP board</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Establish communications with key stakeholders</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Complete Skills Analysis report</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Complete draft skills delivery plan </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Final skills delivery plan</w:t>
      </w:r>
    </w:p>
    <w:p w:rsidR="009457AD" w:rsidRPr="007954F1" w:rsidRDefault="009457AD" w:rsidP="007954F1">
      <w:pPr>
        <w:numPr>
          <w:ilvl w:val="0"/>
          <w:numId w:val="14"/>
        </w:numPr>
        <w:ind w:left="0" w:right="-330"/>
        <w:rPr>
          <w:rFonts w:asciiTheme="minorHAnsi" w:hAnsiTheme="minorHAnsi" w:cstheme="minorHAnsi"/>
          <w:sz w:val="24"/>
          <w:szCs w:val="24"/>
        </w:rPr>
      </w:pPr>
      <w:r w:rsidRPr="007954F1">
        <w:rPr>
          <w:rFonts w:asciiTheme="minorHAnsi" w:hAnsiTheme="minorHAnsi" w:cstheme="minorHAnsi"/>
          <w:sz w:val="24"/>
          <w:szCs w:val="24"/>
        </w:rPr>
        <w:t>Implement Skills delivery plan</w:t>
      </w:r>
    </w:p>
    <w:p w:rsidR="009457AD" w:rsidRPr="007954F1" w:rsidRDefault="009457AD" w:rsidP="007954F1">
      <w:pPr>
        <w:ind w:right="-330"/>
        <w:rPr>
          <w:rFonts w:asciiTheme="minorHAnsi" w:hAnsiTheme="minorHAnsi" w:cstheme="minorHAnsi"/>
          <w:sz w:val="24"/>
          <w:szCs w:val="24"/>
        </w:rPr>
      </w:pPr>
    </w:p>
    <w:p w:rsidR="009457AD" w:rsidRPr="007954F1" w:rsidRDefault="009457AD" w:rsidP="007954F1">
      <w:pPr>
        <w:ind w:right="-330"/>
        <w:rPr>
          <w:rFonts w:asciiTheme="minorHAnsi" w:hAnsiTheme="minorHAnsi" w:cstheme="minorHAnsi"/>
          <w:b/>
          <w:sz w:val="24"/>
          <w:szCs w:val="24"/>
        </w:rPr>
      </w:pPr>
      <w:r w:rsidRPr="007954F1">
        <w:rPr>
          <w:rFonts w:asciiTheme="minorHAnsi" w:hAnsiTheme="minorHAnsi" w:cstheme="minorHAnsi"/>
          <w:b/>
          <w:sz w:val="24"/>
          <w:szCs w:val="24"/>
        </w:rPr>
        <w:t>Consultation with ESEG 29.5.2019</w:t>
      </w:r>
    </w:p>
    <w:p w:rsidR="009457AD" w:rsidRPr="007954F1" w:rsidRDefault="009457AD" w:rsidP="007954F1">
      <w:pPr>
        <w:ind w:right="-330"/>
        <w:rPr>
          <w:rFonts w:asciiTheme="minorHAnsi" w:hAnsiTheme="minorHAnsi" w:cstheme="minorHAnsi"/>
          <w:b/>
          <w:sz w:val="24"/>
          <w:szCs w:val="24"/>
        </w:rPr>
      </w:pPr>
    </w:p>
    <w:p w:rsidR="009457AD" w:rsidRPr="007954F1" w:rsidRDefault="009457AD" w:rsidP="007954F1">
      <w:pPr>
        <w:pStyle w:val="ListParagraph"/>
        <w:numPr>
          <w:ilvl w:val="0"/>
          <w:numId w:val="13"/>
        </w:numPr>
        <w:ind w:left="0" w:right="-330"/>
        <w:rPr>
          <w:rFonts w:asciiTheme="minorHAnsi" w:hAnsiTheme="minorHAnsi" w:cstheme="minorHAnsi"/>
          <w:sz w:val="24"/>
          <w:szCs w:val="24"/>
        </w:rPr>
      </w:pPr>
      <w:r w:rsidRPr="007954F1">
        <w:rPr>
          <w:rFonts w:asciiTheme="minorHAnsi" w:hAnsiTheme="minorHAnsi" w:cstheme="minorHAnsi"/>
          <w:sz w:val="24"/>
          <w:szCs w:val="24"/>
        </w:rPr>
        <w:t xml:space="preserve">At its meeting on the 29.5.19 ESEG considered 3 papers on the development of the SAP to date. The papers included an update on the SAP project plan, the creation of the SAP board </w:t>
      </w:r>
      <w:r w:rsidR="00A318BB" w:rsidRPr="007954F1">
        <w:rPr>
          <w:rFonts w:asciiTheme="minorHAnsi" w:hAnsiTheme="minorHAnsi" w:cstheme="minorHAnsi"/>
          <w:sz w:val="24"/>
          <w:szCs w:val="24"/>
        </w:rPr>
        <w:t xml:space="preserve">and its Terms of Reference </w:t>
      </w:r>
      <w:r w:rsidRPr="007954F1">
        <w:rPr>
          <w:rFonts w:asciiTheme="minorHAnsi" w:hAnsiTheme="minorHAnsi" w:cstheme="minorHAnsi"/>
          <w:sz w:val="24"/>
          <w:szCs w:val="24"/>
        </w:rPr>
        <w:t xml:space="preserve">and the SAP </w:t>
      </w:r>
      <w:r w:rsidR="00C30FAC" w:rsidRPr="007954F1">
        <w:rPr>
          <w:rFonts w:asciiTheme="minorHAnsi" w:hAnsiTheme="minorHAnsi" w:cstheme="minorHAnsi"/>
          <w:sz w:val="24"/>
          <w:szCs w:val="24"/>
        </w:rPr>
        <w:t>a</w:t>
      </w:r>
      <w:r w:rsidRPr="007954F1">
        <w:rPr>
          <w:rFonts w:asciiTheme="minorHAnsi" w:hAnsiTheme="minorHAnsi" w:cstheme="minorHAnsi"/>
          <w:sz w:val="24"/>
          <w:szCs w:val="24"/>
        </w:rPr>
        <w:t xml:space="preserve">nalytical </w:t>
      </w:r>
      <w:r w:rsidR="00C30FAC" w:rsidRPr="007954F1">
        <w:rPr>
          <w:rFonts w:asciiTheme="minorHAnsi" w:hAnsiTheme="minorHAnsi" w:cstheme="minorHAnsi"/>
          <w:sz w:val="24"/>
          <w:szCs w:val="24"/>
        </w:rPr>
        <w:t>f</w:t>
      </w:r>
      <w:r w:rsidRPr="007954F1">
        <w:rPr>
          <w:rFonts w:asciiTheme="minorHAnsi" w:hAnsiTheme="minorHAnsi" w:cstheme="minorHAnsi"/>
          <w:sz w:val="24"/>
          <w:szCs w:val="24"/>
        </w:rPr>
        <w:t xml:space="preserve">ramework </w:t>
      </w:r>
      <w:r w:rsidR="00C30FAC" w:rsidRPr="007954F1">
        <w:rPr>
          <w:rFonts w:asciiTheme="minorHAnsi" w:hAnsiTheme="minorHAnsi" w:cstheme="minorHAnsi"/>
          <w:sz w:val="24"/>
          <w:szCs w:val="24"/>
        </w:rPr>
        <w:t>e</w:t>
      </w:r>
      <w:r w:rsidRPr="007954F1">
        <w:rPr>
          <w:rFonts w:asciiTheme="minorHAnsi" w:hAnsiTheme="minorHAnsi" w:cstheme="minorHAnsi"/>
          <w:sz w:val="24"/>
          <w:szCs w:val="24"/>
        </w:rPr>
        <w:t xml:space="preserve">vidence </w:t>
      </w:r>
      <w:r w:rsidR="00C30FAC" w:rsidRPr="007954F1">
        <w:rPr>
          <w:rFonts w:asciiTheme="minorHAnsi" w:hAnsiTheme="minorHAnsi" w:cstheme="minorHAnsi"/>
          <w:sz w:val="24"/>
          <w:szCs w:val="24"/>
        </w:rPr>
        <w:t>b</w:t>
      </w:r>
      <w:r w:rsidRPr="007954F1">
        <w:rPr>
          <w:rFonts w:asciiTheme="minorHAnsi" w:hAnsiTheme="minorHAnsi" w:cstheme="minorHAnsi"/>
          <w:sz w:val="24"/>
          <w:szCs w:val="24"/>
        </w:rPr>
        <w:t>ase</w:t>
      </w:r>
      <w:r w:rsidR="00C30FAC" w:rsidRPr="007954F1">
        <w:rPr>
          <w:rFonts w:asciiTheme="minorHAnsi" w:hAnsiTheme="minorHAnsi" w:cstheme="minorHAnsi"/>
          <w:sz w:val="24"/>
          <w:szCs w:val="24"/>
        </w:rPr>
        <w:t xml:space="preserve">, </w:t>
      </w:r>
      <w:r w:rsidRPr="007954F1">
        <w:rPr>
          <w:rFonts w:asciiTheme="minorHAnsi" w:hAnsiTheme="minorHAnsi" w:cstheme="minorHAnsi"/>
          <w:sz w:val="24"/>
          <w:szCs w:val="24"/>
        </w:rPr>
        <w:t xml:space="preserve">main findings </w:t>
      </w:r>
      <w:r w:rsidR="00C30FAC" w:rsidRPr="007954F1">
        <w:rPr>
          <w:rFonts w:asciiTheme="minorHAnsi" w:hAnsiTheme="minorHAnsi" w:cstheme="minorHAnsi"/>
          <w:sz w:val="24"/>
          <w:szCs w:val="24"/>
        </w:rPr>
        <w:t>and</w:t>
      </w:r>
      <w:r w:rsidRPr="007954F1">
        <w:rPr>
          <w:rFonts w:asciiTheme="minorHAnsi" w:hAnsiTheme="minorHAnsi" w:cstheme="minorHAnsi"/>
          <w:sz w:val="24"/>
          <w:szCs w:val="24"/>
        </w:rPr>
        <w:t xml:space="preserve"> recommendations for further analysis.</w:t>
      </w:r>
    </w:p>
    <w:p w:rsidR="009457AD" w:rsidRPr="007954F1" w:rsidRDefault="009457AD" w:rsidP="007954F1">
      <w:pPr>
        <w:ind w:right="-330"/>
        <w:rPr>
          <w:rFonts w:asciiTheme="minorHAnsi" w:hAnsiTheme="minorHAnsi" w:cstheme="minorHAnsi"/>
          <w:sz w:val="24"/>
          <w:szCs w:val="24"/>
        </w:rPr>
      </w:pPr>
    </w:p>
    <w:p w:rsidR="00C5217E" w:rsidRPr="007954F1" w:rsidRDefault="00294220" w:rsidP="007954F1">
      <w:pPr>
        <w:ind w:right="-330"/>
        <w:rPr>
          <w:rFonts w:asciiTheme="minorHAnsi" w:hAnsiTheme="minorHAnsi" w:cstheme="minorHAnsi"/>
          <w:b/>
          <w:sz w:val="24"/>
          <w:szCs w:val="24"/>
        </w:rPr>
      </w:pPr>
      <w:r w:rsidRPr="007954F1">
        <w:rPr>
          <w:rFonts w:asciiTheme="minorHAnsi" w:hAnsiTheme="minorHAnsi" w:cstheme="minorHAnsi"/>
          <w:b/>
          <w:sz w:val="24"/>
          <w:szCs w:val="24"/>
        </w:rPr>
        <w:t>Next Steps in the SAP analysis</w:t>
      </w:r>
    </w:p>
    <w:p w:rsidR="00294220" w:rsidRPr="007954F1" w:rsidRDefault="00294220" w:rsidP="007954F1">
      <w:pPr>
        <w:ind w:right="-330"/>
        <w:rPr>
          <w:rFonts w:asciiTheme="minorHAnsi" w:hAnsiTheme="minorHAnsi" w:cstheme="minorHAnsi"/>
          <w:b/>
          <w:sz w:val="24"/>
          <w:szCs w:val="24"/>
        </w:rPr>
      </w:pPr>
    </w:p>
    <w:p w:rsidR="00294220" w:rsidRPr="007954F1" w:rsidRDefault="00294220" w:rsidP="007954F1">
      <w:pPr>
        <w:pStyle w:val="ListParagraph"/>
        <w:numPr>
          <w:ilvl w:val="0"/>
          <w:numId w:val="13"/>
        </w:numPr>
        <w:ind w:left="0" w:right="-330"/>
        <w:contextualSpacing/>
        <w:rPr>
          <w:rFonts w:asciiTheme="minorHAnsi" w:eastAsiaTheme="minorHAnsi" w:hAnsiTheme="minorHAnsi" w:cstheme="minorHAnsi"/>
          <w:sz w:val="24"/>
          <w:szCs w:val="24"/>
        </w:rPr>
      </w:pPr>
      <w:r w:rsidRPr="007954F1">
        <w:rPr>
          <w:rFonts w:asciiTheme="minorHAnsi" w:eastAsiaTheme="minorHAnsi" w:hAnsiTheme="minorHAnsi" w:cstheme="minorHAnsi"/>
          <w:sz w:val="24"/>
          <w:szCs w:val="24"/>
        </w:rPr>
        <w:t xml:space="preserve">Further strengthening of the SAP evidence base – it is envisaged that the SAP evidence base will be a live document which is regularly refreshed through collaboration between stakeholders and based on new analysis and insights. </w:t>
      </w:r>
    </w:p>
    <w:p w:rsidR="00294220" w:rsidRPr="007954F1" w:rsidRDefault="00294220" w:rsidP="007954F1">
      <w:pPr>
        <w:pStyle w:val="ListParagraph"/>
        <w:ind w:left="0" w:right="-330"/>
        <w:contextualSpacing/>
        <w:rPr>
          <w:rFonts w:asciiTheme="minorHAnsi" w:eastAsiaTheme="minorHAnsi" w:hAnsiTheme="minorHAnsi" w:cstheme="minorHAnsi"/>
          <w:sz w:val="24"/>
          <w:szCs w:val="24"/>
        </w:rPr>
      </w:pPr>
    </w:p>
    <w:p w:rsidR="00294220" w:rsidRPr="007954F1" w:rsidRDefault="00294220" w:rsidP="007954F1">
      <w:pPr>
        <w:pStyle w:val="ListParagraph"/>
        <w:numPr>
          <w:ilvl w:val="0"/>
          <w:numId w:val="13"/>
        </w:numPr>
        <w:ind w:left="0" w:right="-330"/>
        <w:contextualSpacing/>
        <w:rPr>
          <w:rFonts w:asciiTheme="minorHAnsi" w:hAnsiTheme="minorHAnsi" w:cstheme="minorHAnsi"/>
          <w:sz w:val="24"/>
          <w:szCs w:val="24"/>
        </w:rPr>
      </w:pPr>
      <w:r w:rsidRPr="007954F1">
        <w:rPr>
          <w:rFonts w:asciiTheme="minorHAnsi" w:hAnsiTheme="minorHAnsi" w:cstheme="minorHAnsi"/>
          <w:sz w:val="24"/>
          <w:szCs w:val="24"/>
        </w:rPr>
        <w:t xml:space="preserve">Establish SAP Data Working Group - To assist with addressing data gaps and accessing partners’ data </w:t>
      </w:r>
      <w:proofErr w:type="gramStart"/>
      <w:r w:rsidRPr="007954F1">
        <w:rPr>
          <w:rFonts w:asciiTheme="minorHAnsi" w:hAnsiTheme="minorHAnsi" w:cstheme="minorHAnsi"/>
          <w:sz w:val="24"/>
          <w:szCs w:val="24"/>
        </w:rPr>
        <w:t>a</w:t>
      </w:r>
      <w:proofErr w:type="gramEnd"/>
      <w:r w:rsidRPr="007954F1">
        <w:rPr>
          <w:rFonts w:asciiTheme="minorHAnsi" w:hAnsiTheme="minorHAnsi" w:cstheme="minorHAnsi"/>
          <w:sz w:val="24"/>
          <w:szCs w:val="24"/>
        </w:rPr>
        <w:t xml:space="preserve"> SAP data working group will be set up to share and seek data, and challenge on the emerging findings and priorities etc. The data group will consist of representatives from key stakeholders including LAs, HE, FE SPEs, third sector, and business sectors.</w:t>
      </w:r>
    </w:p>
    <w:p w:rsidR="00294220" w:rsidRPr="007954F1" w:rsidRDefault="00294220" w:rsidP="007954F1">
      <w:pPr>
        <w:ind w:right="-330"/>
        <w:contextualSpacing/>
        <w:rPr>
          <w:rFonts w:asciiTheme="minorHAnsi" w:hAnsiTheme="minorHAnsi" w:cstheme="minorHAnsi"/>
          <w:sz w:val="24"/>
          <w:szCs w:val="24"/>
        </w:rPr>
      </w:pPr>
    </w:p>
    <w:p w:rsidR="00294220" w:rsidRPr="007954F1" w:rsidRDefault="00294220" w:rsidP="007954F1">
      <w:pPr>
        <w:pStyle w:val="ListParagraph"/>
        <w:numPr>
          <w:ilvl w:val="0"/>
          <w:numId w:val="13"/>
        </w:numPr>
        <w:ind w:left="0" w:right="-330"/>
        <w:contextualSpacing/>
        <w:rPr>
          <w:rFonts w:asciiTheme="minorHAnsi" w:hAnsiTheme="minorHAnsi" w:cstheme="minorHAnsi"/>
          <w:sz w:val="24"/>
          <w:szCs w:val="24"/>
        </w:rPr>
      </w:pPr>
      <w:r w:rsidRPr="007954F1">
        <w:rPr>
          <w:rFonts w:asciiTheme="minorHAnsi" w:hAnsiTheme="minorHAnsi" w:cstheme="minorHAnsi"/>
          <w:bCs/>
          <w:sz w:val="24"/>
          <w:szCs w:val="24"/>
        </w:rPr>
        <w:t>Primary research requirements</w:t>
      </w:r>
      <w:r w:rsidRPr="007954F1">
        <w:rPr>
          <w:rFonts w:asciiTheme="minorHAnsi" w:hAnsiTheme="minorHAnsi" w:cstheme="minorHAnsi"/>
          <w:b/>
          <w:bCs/>
          <w:sz w:val="24"/>
          <w:szCs w:val="24"/>
        </w:rPr>
        <w:t xml:space="preserve"> </w:t>
      </w:r>
      <w:r w:rsidRPr="007954F1">
        <w:rPr>
          <w:rFonts w:asciiTheme="minorHAnsi" w:hAnsiTheme="minorHAnsi" w:cstheme="minorHAnsi"/>
          <w:sz w:val="24"/>
          <w:szCs w:val="24"/>
        </w:rPr>
        <w:t>– In order to address some of the evidence gaps there will need to be primary research conducted,</w:t>
      </w:r>
      <w:r w:rsidR="0090780D" w:rsidRPr="007954F1">
        <w:rPr>
          <w:rFonts w:asciiTheme="minorHAnsi" w:hAnsiTheme="minorHAnsi" w:cstheme="minorHAnsi"/>
          <w:sz w:val="24"/>
          <w:szCs w:val="24"/>
        </w:rPr>
        <w:t xml:space="preserve"> funded by the LEP £75k SAP grant,</w:t>
      </w:r>
      <w:r w:rsidRPr="007954F1">
        <w:rPr>
          <w:rFonts w:asciiTheme="minorHAnsi" w:hAnsiTheme="minorHAnsi" w:cstheme="minorHAnsi"/>
          <w:sz w:val="24"/>
          <w:szCs w:val="24"/>
        </w:rPr>
        <w:t xml:space="preserve"> including addressing the limited understanding of employer needs at a local level e.g. SMEs, sector issues etc.; employee challenges with skills development and training investment; and partner issues with understanding the overall picture of skills supply and demand, now and in the future.</w:t>
      </w:r>
    </w:p>
    <w:p w:rsidR="00E01CF9" w:rsidRPr="007954F1" w:rsidRDefault="00E01CF9" w:rsidP="007954F1">
      <w:pPr>
        <w:ind w:right="-330"/>
        <w:rPr>
          <w:rFonts w:asciiTheme="minorHAnsi" w:eastAsia="Calibri" w:hAnsiTheme="minorHAnsi" w:cstheme="minorHAnsi"/>
          <w:sz w:val="24"/>
          <w:szCs w:val="24"/>
        </w:rPr>
      </w:pPr>
    </w:p>
    <w:p w:rsidR="009C6B02" w:rsidRPr="007571D8" w:rsidRDefault="007954F1" w:rsidP="007954F1">
      <w:pPr>
        <w:ind w:right="-330"/>
        <w:rPr>
          <w:rFonts w:asciiTheme="minorHAnsi" w:eastAsiaTheme="minorHAnsi" w:hAnsiTheme="minorHAnsi" w:cstheme="minorHAnsi"/>
          <w:b/>
          <w:color w:val="000000"/>
          <w:sz w:val="24"/>
          <w:szCs w:val="24"/>
        </w:rPr>
      </w:pPr>
      <w:r w:rsidRPr="007571D8">
        <w:rPr>
          <w:rFonts w:asciiTheme="minorHAnsi" w:eastAsiaTheme="minorHAnsi" w:hAnsiTheme="minorHAnsi" w:cstheme="minorHAnsi"/>
          <w:b/>
          <w:color w:val="000000"/>
          <w:sz w:val="24"/>
          <w:szCs w:val="24"/>
        </w:rPr>
        <w:t xml:space="preserve">SSLEP Skills Lead: Wendy dean; </w:t>
      </w:r>
      <w:r w:rsidR="008F1D8F" w:rsidRPr="007571D8">
        <w:rPr>
          <w:rFonts w:asciiTheme="minorHAnsi" w:eastAsiaTheme="minorHAnsi" w:hAnsiTheme="minorHAnsi" w:cstheme="minorHAnsi"/>
          <w:b/>
          <w:color w:val="000000"/>
          <w:sz w:val="24"/>
          <w:szCs w:val="24"/>
        </w:rPr>
        <w:t>Contact Officers: Anthony Baines – County Commissioner Skills &amp; Employability, Staffordshire County Council and Julie Obada - Strategic Manager – Employment, Learning &amp; Skills, Stoke-on-Trent City Council</w:t>
      </w:r>
    </w:p>
    <w:p w:rsidR="007954F1" w:rsidRPr="007954F1" w:rsidRDefault="007954F1" w:rsidP="007954F1">
      <w:pPr>
        <w:ind w:right="-330"/>
        <w:rPr>
          <w:rFonts w:asciiTheme="minorHAnsi" w:eastAsiaTheme="minorHAnsi" w:hAnsiTheme="minorHAnsi" w:cstheme="minorHAnsi"/>
          <w:color w:val="000000"/>
          <w:sz w:val="24"/>
          <w:szCs w:val="24"/>
        </w:rPr>
      </w:pPr>
    </w:p>
    <w:p w:rsidR="007954F1" w:rsidRPr="007954F1" w:rsidRDefault="007954F1">
      <w:pPr>
        <w:ind w:right="-330"/>
        <w:rPr>
          <w:rFonts w:asciiTheme="minorHAnsi" w:eastAsiaTheme="minorHAnsi" w:hAnsiTheme="minorHAnsi" w:cstheme="minorHAnsi"/>
          <w:color w:val="000000"/>
          <w:sz w:val="24"/>
          <w:szCs w:val="24"/>
        </w:rPr>
      </w:pPr>
    </w:p>
    <w:sectPr w:rsidR="007954F1" w:rsidRPr="00795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1FD"/>
    <w:multiLevelType w:val="hybridMultilevel"/>
    <w:tmpl w:val="E8744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E16F8"/>
    <w:multiLevelType w:val="hybridMultilevel"/>
    <w:tmpl w:val="0A524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222C"/>
    <w:multiLevelType w:val="hybridMultilevel"/>
    <w:tmpl w:val="302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07555"/>
    <w:multiLevelType w:val="hybridMultilevel"/>
    <w:tmpl w:val="CAEEAC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24CF2"/>
    <w:multiLevelType w:val="hybridMultilevel"/>
    <w:tmpl w:val="AA504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A5E5C"/>
    <w:multiLevelType w:val="hybridMultilevel"/>
    <w:tmpl w:val="972A8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FE5B4C"/>
    <w:multiLevelType w:val="multilevel"/>
    <w:tmpl w:val="DC262BE8"/>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3E0B790C"/>
    <w:multiLevelType w:val="hybridMultilevel"/>
    <w:tmpl w:val="44FA7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ED3E5A"/>
    <w:multiLevelType w:val="hybridMultilevel"/>
    <w:tmpl w:val="A8345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8E0043"/>
    <w:multiLevelType w:val="hybridMultilevel"/>
    <w:tmpl w:val="7FAC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56DB4"/>
    <w:multiLevelType w:val="hybridMultilevel"/>
    <w:tmpl w:val="A196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04722"/>
    <w:multiLevelType w:val="hybridMultilevel"/>
    <w:tmpl w:val="DD54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50908"/>
    <w:multiLevelType w:val="hybridMultilevel"/>
    <w:tmpl w:val="6FFA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3"/>
  </w:num>
  <w:num w:numId="5">
    <w:abstractNumId w:val="10"/>
  </w:num>
  <w:num w:numId="6">
    <w:abstractNumId w:val="12"/>
  </w:num>
  <w:num w:numId="7">
    <w:abstractNumId w:val="9"/>
  </w:num>
  <w:num w:numId="8">
    <w:abstractNumId w:val="7"/>
  </w:num>
  <w:num w:numId="9">
    <w:abstractNumId w:val="2"/>
  </w:num>
  <w:num w:numId="10">
    <w:abstractNumId w:val="6"/>
  </w:num>
  <w:num w:numId="11">
    <w:abstractNumId w:val="5"/>
  </w:num>
  <w:num w:numId="12">
    <w:abstractNumId w:val="3"/>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F9"/>
    <w:rsid w:val="00015654"/>
    <w:rsid w:val="0004768C"/>
    <w:rsid w:val="00075848"/>
    <w:rsid w:val="00094DAA"/>
    <w:rsid w:val="00141A53"/>
    <w:rsid w:val="00195139"/>
    <w:rsid w:val="001A5216"/>
    <w:rsid w:val="001C23F7"/>
    <w:rsid w:val="00294220"/>
    <w:rsid w:val="002D49AD"/>
    <w:rsid w:val="00301094"/>
    <w:rsid w:val="00325A7E"/>
    <w:rsid w:val="00353F86"/>
    <w:rsid w:val="004231D4"/>
    <w:rsid w:val="00590AAC"/>
    <w:rsid w:val="005F7CA1"/>
    <w:rsid w:val="007571D8"/>
    <w:rsid w:val="007954F1"/>
    <w:rsid w:val="007B7EF5"/>
    <w:rsid w:val="007C2F4F"/>
    <w:rsid w:val="00834D45"/>
    <w:rsid w:val="008B59F6"/>
    <w:rsid w:val="008F1D8F"/>
    <w:rsid w:val="0090780D"/>
    <w:rsid w:val="00910D4D"/>
    <w:rsid w:val="009457AD"/>
    <w:rsid w:val="00956927"/>
    <w:rsid w:val="009C6B02"/>
    <w:rsid w:val="00A318BB"/>
    <w:rsid w:val="00A32037"/>
    <w:rsid w:val="00A83961"/>
    <w:rsid w:val="00A9117C"/>
    <w:rsid w:val="00AD0964"/>
    <w:rsid w:val="00AD5AAC"/>
    <w:rsid w:val="00AF02A2"/>
    <w:rsid w:val="00BF47B2"/>
    <w:rsid w:val="00C30FAC"/>
    <w:rsid w:val="00C5217E"/>
    <w:rsid w:val="00CB0908"/>
    <w:rsid w:val="00D25E68"/>
    <w:rsid w:val="00E01CF9"/>
    <w:rsid w:val="00EA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C680"/>
  <w15:chartTrackingRefBased/>
  <w15:docId w15:val="{E7B6CCFB-4295-4FC5-9F60-FF4D7E4C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CF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F9"/>
    <w:pPr>
      <w:ind w:left="720"/>
    </w:pPr>
  </w:style>
  <w:style w:type="character" w:styleId="CommentReference">
    <w:name w:val="annotation reference"/>
    <w:basedOn w:val="DefaultParagraphFont"/>
    <w:uiPriority w:val="99"/>
    <w:semiHidden/>
    <w:unhideWhenUsed/>
    <w:rsid w:val="008B59F6"/>
    <w:rPr>
      <w:sz w:val="16"/>
      <w:szCs w:val="16"/>
    </w:rPr>
  </w:style>
  <w:style w:type="paragraph" w:styleId="CommentText">
    <w:name w:val="annotation text"/>
    <w:basedOn w:val="Normal"/>
    <w:link w:val="CommentTextChar"/>
    <w:uiPriority w:val="99"/>
    <w:semiHidden/>
    <w:unhideWhenUsed/>
    <w:rsid w:val="008B59F6"/>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8B59F6"/>
    <w:rPr>
      <w:rFonts w:ascii="Arial" w:hAnsi="Arial"/>
      <w:sz w:val="20"/>
      <w:szCs w:val="20"/>
    </w:rPr>
  </w:style>
  <w:style w:type="paragraph" w:styleId="BalloonText">
    <w:name w:val="Balloon Text"/>
    <w:basedOn w:val="Normal"/>
    <w:link w:val="BalloonTextChar"/>
    <w:uiPriority w:val="99"/>
    <w:semiHidden/>
    <w:unhideWhenUsed/>
    <w:rsid w:val="008B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F6"/>
    <w:rPr>
      <w:rFonts w:ascii="Segoe UI" w:eastAsia="Times New Roman" w:hAnsi="Segoe UI" w:cs="Segoe UI"/>
      <w:sz w:val="18"/>
      <w:szCs w:val="18"/>
    </w:rPr>
  </w:style>
  <w:style w:type="character" w:styleId="Hyperlink">
    <w:name w:val="Hyperlink"/>
    <w:basedOn w:val="DefaultParagraphFont"/>
    <w:uiPriority w:val="99"/>
    <w:unhideWhenUsed/>
    <w:rsid w:val="00C52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David (E,I&amp;S)</dc:creator>
  <cp:keywords/>
  <dc:description/>
  <cp:lastModifiedBy>Casey, Jacqui (E,I&amp;S)</cp:lastModifiedBy>
  <cp:revision>2</cp:revision>
  <dcterms:created xsi:type="dcterms:W3CDTF">2019-07-10T12:37:00Z</dcterms:created>
  <dcterms:modified xsi:type="dcterms:W3CDTF">2019-07-10T12:37:00Z</dcterms:modified>
</cp:coreProperties>
</file>