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0D" w:rsidRDefault="00BE5C0D">
      <w:pPr>
        <w:pStyle w:val="BodyText"/>
        <w:ind w:left="0"/>
        <w:rPr>
          <w:rFonts w:ascii="Times New Roman"/>
          <w:sz w:val="20"/>
        </w:rPr>
      </w:pPr>
    </w:p>
    <w:p w:rsidR="00BE5C0D" w:rsidRDefault="00BE5C0D">
      <w:pPr>
        <w:pStyle w:val="BodyText"/>
        <w:ind w:left="0"/>
        <w:rPr>
          <w:rFonts w:ascii="Times New Roman"/>
          <w:sz w:val="20"/>
        </w:rPr>
      </w:pPr>
    </w:p>
    <w:p w:rsidR="00BE5C0D" w:rsidRDefault="00BE5C0D">
      <w:pPr>
        <w:pStyle w:val="BodyText"/>
        <w:ind w:left="0"/>
        <w:rPr>
          <w:rFonts w:ascii="Times New Roman"/>
          <w:sz w:val="20"/>
        </w:rPr>
      </w:pPr>
    </w:p>
    <w:p w:rsidR="00BE5C0D" w:rsidRDefault="00BE5C0D">
      <w:pPr>
        <w:pStyle w:val="BodyText"/>
        <w:spacing w:before="6"/>
        <w:ind w:left="0"/>
        <w:rPr>
          <w:rFonts w:ascii="Times New Roman"/>
          <w:sz w:val="22"/>
        </w:rPr>
      </w:pPr>
    </w:p>
    <w:p w:rsidR="00037C67" w:rsidRDefault="00037C67">
      <w:pPr>
        <w:spacing w:before="89"/>
        <w:ind w:left="2504" w:right="2505"/>
        <w:jc w:val="center"/>
        <w:rPr>
          <w:b/>
          <w:sz w:val="36"/>
        </w:rPr>
      </w:pPr>
    </w:p>
    <w:p w:rsidR="00037C67" w:rsidRDefault="00E17E96">
      <w:pPr>
        <w:spacing w:before="89"/>
        <w:ind w:left="2504" w:right="2505"/>
        <w:jc w:val="center"/>
        <w:rPr>
          <w:b/>
          <w:sz w:val="36"/>
        </w:rPr>
      </w:pPr>
      <w:r>
        <w:rPr>
          <w:b/>
          <w:noProof/>
          <w:sz w:val="36"/>
          <w:lang w:bidi="ar-SA"/>
        </w:rPr>
        <mc:AlternateContent>
          <mc:Choice Requires="wps">
            <w:drawing>
              <wp:anchor distT="0" distB="0" distL="114300" distR="114300" simplePos="0" relativeHeight="251659264" behindDoc="1" locked="0" layoutInCell="1" allowOverlap="1" wp14:anchorId="08BC10AF" wp14:editId="31D8C97D">
                <wp:simplePos x="0" y="0"/>
                <wp:positionH relativeFrom="column">
                  <wp:posOffset>1219835</wp:posOffset>
                </wp:positionH>
                <wp:positionV relativeFrom="paragraph">
                  <wp:posOffset>304165</wp:posOffset>
                </wp:positionV>
                <wp:extent cx="3526790" cy="1731010"/>
                <wp:effectExtent l="0" t="0" r="16510" b="21590"/>
                <wp:wrapThrough wrapText="bothSides">
                  <wp:wrapPolygon edited="0">
                    <wp:start x="0" y="0"/>
                    <wp:lineTo x="0" y="21632"/>
                    <wp:lineTo x="21584" y="21632"/>
                    <wp:lineTo x="2158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526790" cy="1731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6.05pt;margin-top:23.95pt;width:277.7pt;height:1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g2dAIAADoFAAAOAAAAZHJzL2Uyb0RvYy54bWysVE1PGzEQvVfqf7B8L5sNhI+IDYpAVJUQ&#10;IKDibLx2diXb446dbNJf37F3syBAPVTNwbF3Zt7MPL/x+cXWGrZRGFpwFS8PJpwpJ6Fu3ariP5+u&#10;v51yFqJwtTDgVMV3KvCLxdcv552fqyk0YGqFjEBcmHe+4k2Mfl4UQTbKinAAXjkyakArIh1xVdQo&#10;OkK3pphOJsdFB1h7BKlCoK9XvZEvMr7WSsY7rYOKzFScaot5xby+pLVYnIv5CoVvWjmUIf6hCita&#10;R0lHqCsRBVtj+wHKthIhgI4HEmwBWrdS5R6om3LyrpvHRniVeyFygh9pCv8PVt5u7pG1dcVnnDlh&#10;6YoeiDThVkaxWaKn82FOXo/+HodToG3qdavRpn/qgm0zpbuRUrWNTNLHw9n0+OSMmJdkK08OS+oy&#10;oRav4R5D/K7AsrSpOFL6TKXY3ITYu+5dKC6V0xeQd3FnVKrBuAelqQ9KOc3RWUHq0iDbCLp7IaVy&#10;sexNjahV/3k2od9QzxiRq8uACVm3xozYA0BS50fsvtbBP4WqLMAxePK3wvrgMSJnBhfHYNs6wM8A&#10;DHU1ZO799yT11CSWXqDe0S0j9PIPXl63xPWNCPFeIOmd7odmON7Rog10FYdhx1kD+Puz78mfZEhW&#10;zjqan4qHX2uBijPzw5FAz8qjozRw+XA0O5nSAd9aXt5a3NpeAl1TSa+Fl3mb/KPZbzWCfaZRX6as&#10;ZBJOUu6Ky4j7w2Xs55oeC6mWy+xGQ+ZFvHGPXibwxGrS0tP2WaAfBBdJq7ewnzUxf6e73jdFOliu&#10;I+g2i/KV14FvGtAsnOExSS/A23P2en3yFn8AAAD//wMAUEsDBBQABgAIAAAAIQC2kw1H3wAAAAoB&#10;AAAPAAAAZHJzL2Rvd25yZXYueG1sTI9BTsMwEEX3SNzBGiR21ElISZrGqRASQmKDaDmAGw9Jij2O&#10;bKcJnB6zosuvefr/Tb1bjGZndH6wJCBdJcCQWqsG6gR8HJ7vSmA+SFJSW0IB3+hh11xf1bJSdqZ3&#10;PO9Dx2IJ+UoK6EMYK85926ORfmVHpHj7tM7IEKPruHJyjuVG8yxJHriRA8WFXo741GP7tZ+MAJu+&#10;hdfDnE+Es3sph1Orf4pSiNub5XELLOAS/mH404/q0ESno51IeaZj3mRpRAXkxQZYBIq8WAM7CrjP&#10;kjXwpuaXLzS/AAAA//8DAFBLAQItABQABgAIAAAAIQC2gziS/gAAAOEBAAATAAAAAAAAAAAAAAAA&#10;AAAAAABbQ29udGVudF9UeXBlc10ueG1sUEsBAi0AFAAGAAgAAAAhADj9If/WAAAAlAEAAAsAAAAA&#10;AAAAAAAAAAAALwEAAF9yZWxzLy5yZWxzUEsBAi0AFAAGAAgAAAAhAJ8VyDZ0AgAAOgUAAA4AAAAA&#10;AAAAAAAAAAAALgIAAGRycy9lMm9Eb2MueG1sUEsBAi0AFAAGAAgAAAAhALaTDUffAAAACgEAAA8A&#10;AAAAAAAAAAAAAAAAzgQAAGRycy9kb3ducmV2LnhtbFBLBQYAAAAABAAEAPMAAADaBQAAAAA=&#10;" fillcolor="#4f81bd [3204]" strokecolor="#243f60 [1604]" strokeweight="2pt">
                <w10:wrap type="through"/>
              </v:rect>
            </w:pict>
          </mc:Fallback>
        </mc:AlternateContent>
      </w:r>
    </w:p>
    <w:p w:rsidR="00037C67" w:rsidRDefault="00E17E96">
      <w:pPr>
        <w:spacing w:before="89"/>
        <w:ind w:left="2504" w:right="2505"/>
        <w:jc w:val="center"/>
        <w:rPr>
          <w:b/>
          <w:sz w:val="36"/>
        </w:rPr>
      </w:pPr>
      <w:r w:rsidRPr="00E17E96">
        <w:rPr>
          <w:b/>
          <w:noProof/>
          <w:sz w:val="36"/>
          <w:lang w:bidi="ar-SA"/>
        </w:rPr>
        <mc:AlternateContent>
          <mc:Choice Requires="wps">
            <w:drawing>
              <wp:anchor distT="0" distB="0" distL="114300" distR="114300" simplePos="0" relativeHeight="251661312" behindDoc="0" locked="0" layoutInCell="1" allowOverlap="1" wp14:anchorId="555F5234" wp14:editId="44E16A16">
                <wp:simplePos x="0" y="0"/>
                <wp:positionH relativeFrom="column">
                  <wp:align>center</wp:align>
                </wp:positionH>
                <wp:positionV relativeFrom="paragraph">
                  <wp:posOffset>0</wp:posOffset>
                </wp:positionV>
                <wp:extent cx="3592104" cy="171796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04" cy="1717963"/>
                        </a:xfrm>
                        <a:prstGeom prst="rect">
                          <a:avLst/>
                        </a:prstGeom>
                        <a:noFill/>
                        <a:ln w="9525">
                          <a:noFill/>
                          <a:miter lim="800000"/>
                          <a:headEnd/>
                          <a:tailEnd/>
                        </a:ln>
                      </wps:spPr>
                      <wps:txbx>
                        <w:txbxContent>
                          <w:p w:rsidR="00BA5375" w:rsidRPr="008A1CA2" w:rsidRDefault="00BA5375" w:rsidP="00E17E96">
                            <w:pPr>
                              <w:jc w:val="center"/>
                              <w:rPr>
                                <w:b/>
                                <w:color w:val="FFFFFF" w:themeColor="background1"/>
                                <w:sz w:val="40"/>
                                <w:szCs w:val="40"/>
                                <w:u w:val="single"/>
                              </w:rPr>
                            </w:pPr>
                            <w:r w:rsidRPr="008A1CA2">
                              <w:rPr>
                                <w:b/>
                                <w:color w:val="FFFFFF" w:themeColor="background1"/>
                                <w:sz w:val="40"/>
                                <w:szCs w:val="40"/>
                                <w:u w:val="single"/>
                              </w:rPr>
                              <w:t>The Growing Places Fund</w:t>
                            </w:r>
                          </w:p>
                          <w:p w:rsidR="00BA5375" w:rsidRPr="008A1CA2" w:rsidRDefault="00BA5375" w:rsidP="00E17E96">
                            <w:pPr>
                              <w:jc w:val="center"/>
                              <w:rPr>
                                <w:b/>
                                <w:color w:val="FFFFFF" w:themeColor="background1"/>
                                <w:sz w:val="40"/>
                                <w:szCs w:val="40"/>
                                <w:u w:val="single"/>
                              </w:rPr>
                            </w:pPr>
                            <w:r w:rsidRPr="008A1CA2">
                              <w:rPr>
                                <w:b/>
                                <w:color w:val="FFFFFF" w:themeColor="background1"/>
                                <w:sz w:val="40"/>
                                <w:szCs w:val="40"/>
                                <w:u w:val="single"/>
                              </w:rPr>
                              <w:t>Call for Proposals</w:t>
                            </w:r>
                          </w:p>
                          <w:p w:rsidR="00BA5375" w:rsidRPr="008A1CA2" w:rsidRDefault="00BA5375" w:rsidP="00E17E96">
                            <w:pPr>
                              <w:jc w:val="center"/>
                              <w:rPr>
                                <w:b/>
                                <w:color w:val="FFFFFF" w:themeColor="background1"/>
                                <w:sz w:val="40"/>
                                <w:szCs w:val="40"/>
                                <w:u w:val="single"/>
                              </w:rPr>
                            </w:pPr>
                            <w:r w:rsidRPr="008A1CA2">
                              <w:rPr>
                                <w:b/>
                                <w:color w:val="FFFFFF" w:themeColor="background1"/>
                                <w:sz w:val="40"/>
                                <w:szCs w:val="40"/>
                                <w:u w:val="single"/>
                              </w:rPr>
                              <w:t>Round 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2.85pt;height:1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VADwIAAPcDAAAOAAAAZHJzL2Uyb0RvYy54bWysU9tu2zAMfR+wfxD0vviSpGmMOEXXrsOA&#10;7gK0+wBFlmNhkqhJSuzs60fJaWpsb8P8IJgiechzSG1uBq3IUTgvwdS0mOWUCMOhkWZf0+/PD++u&#10;KfGBmYYpMKKmJ+Hpzfbtm01vK1FCB6oRjiCI8VVva9qFYKss87wTmvkZWGHQ2YLTLKDp9lnjWI/o&#10;WmVlnl9lPbjGOuDCe7y9H510m/DbVvDwtW29CETVFHsL6XTp3MUz225YtXfMdpKf22D/0IVm0mDR&#10;C9Q9C4wcnPwLSkvuwEMbZhx0Bm0ruUgckE2R/8HmqWNWJC4ojrcXmfz/g+Vfjt8ckU1N5/mKEsM0&#10;DulZDIG8h4GUUZ/e+grDniwGhgGvcc6Jq7ePwH94YuCuY2Yvbp2DvhOswf6KmJlNUkccH0F2/Wdo&#10;sAw7BEhAQ+t0FA/lIIiOczpdZhNb4Xg5X67LIl9QwtFXrIrV+mqearDqJd06Hz4K0CT+1NTh8BM8&#10;Oz76ENth1UtIrGbgQSqVFkAZ0td0vSyXKWHi0TLgfiqpa3qdx2/cmMjyg2lScmBSjf9YQJkz7ch0&#10;5ByG3YCBUYsdNCcUwMG4h/hu8KcD94uSHnewpv7ngTlBifpkUMR1sVjEpU3GYrkq0XBTz27qYYYj&#10;VE15cJSMxl1Iqz6yvUW5W5mEeO3l3C1uV9Ln/BLi+k7tFPX6Xre/AQAA//8DAFBLAwQUAAYACAAA&#10;ACEAQHRO59sAAAAFAQAADwAAAGRycy9kb3ducmV2LnhtbEyPQUvEMBCF74L/IYzgRdzEhbZSmy4i&#10;LMiiB3f9AdNmtinbTEqT7dZ/b/Sil4HHe7z3TbVZ3CBmmkLvWcPDSoEgbr3pudPwedjeP4IIEdng&#10;4Jk0fFGATX19VWFp/IU/aN7HTqQSDiVqsDGOpZShteQwrPxInLyjnxzGJKdOmgkvqdwNcq1ULh32&#10;nBYsjvRiqT3tz07DnR3V+9vxtdmavLWnXcDCzTutb2+W5ycQkZb4F4Yf/IQOdWJq/JlNEIOG9Ej8&#10;vcnL8qwA0WhYFyoDWVfyP339DQAA//8DAFBLAQItABQABgAIAAAAIQC2gziS/gAAAOEBAAATAAAA&#10;AAAAAAAAAAAAAAAAAABbQ29udGVudF9UeXBlc10ueG1sUEsBAi0AFAAGAAgAAAAhADj9If/WAAAA&#10;lAEAAAsAAAAAAAAAAAAAAAAALwEAAF9yZWxzLy5yZWxzUEsBAi0AFAAGAAgAAAAhACqSdUAPAgAA&#10;9wMAAA4AAAAAAAAAAAAAAAAALgIAAGRycy9lMm9Eb2MueG1sUEsBAi0AFAAGAAgAAAAhAEB0Tufb&#10;AAAABQEAAA8AAAAAAAAAAAAAAAAAaQQAAGRycy9kb3ducmV2LnhtbFBLBQYAAAAABAAEAPMAAABx&#10;BQAAAAA=&#10;" filled="f" stroked="f">
                <v:textbox>
                  <w:txbxContent>
                    <w:p w:rsidR="00BA5375" w:rsidRPr="008A1CA2" w:rsidRDefault="00BA5375" w:rsidP="00E17E96">
                      <w:pPr>
                        <w:jc w:val="center"/>
                        <w:rPr>
                          <w:b/>
                          <w:color w:val="FFFFFF" w:themeColor="background1"/>
                          <w:sz w:val="40"/>
                          <w:szCs w:val="40"/>
                          <w:u w:val="single"/>
                        </w:rPr>
                      </w:pPr>
                      <w:r w:rsidRPr="008A1CA2">
                        <w:rPr>
                          <w:b/>
                          <w:color w:val="FFFFFF" w:themeColor="background1"/>
                          <w:sz w:val="40"/>
                          <w:szCs w:val="40"/>
                          <w:u w:val="single"/>
                        </w:rPr>
                        <w:t>The Growing Places Fund</w:t>
                      </w:r>
                    </w:p>
                    <w:p w:rsidR="00BA5375" w:rsidRPr="008A1CA2" w:rsidRDefault="00BA5375" w:rsidP="00E17E96">
                      <w:pPr>
                        <w:jc w:val="center"/>
                        <w:rPr>
                          <w:b/>
                          <w:color w:val="FFFFFF" w:themeColor="background1"/>
                          <w:sz w:val="40"/>
                          <w:szCs w:val="40"/>
                          <w:u w:val="single"/>
                        </w:rPr>
                      </w:pPr>
                      <w:r w:rsidRPr="008A1CA2">
                        <w:rPr>
                          <w:b/>
                          <w:color w:val="FFFFFF" w:themeColor="background1"/>
                          <w:sz w:val="40"/>
                          <w:szCs w:val="40"/>
                          <w:u w:val="single"/>
                        </w:rPr>
                        <w:t>Call for Proposals</w:t>
                      </w:r>
                    </w:p>
                    <w:p w:rsidR="00BA5375" w:rsidRPr="008A1CA2" w:rsidRDefault="00BA5375" w:rsidP="00E17E96">
                      <w:pPr>
                        <w:jc w:val="center"/>
                        <w:rPr>
                          <w:b/>
                          <w:color w:val="FFFFFF" w:themeColor="background1"/>
                          <w:sz w:val="40"/>
                          <w:szCs w:val="40"/>
                          <w:u w:val="single"/>
                        </w:rPr>
                      </w:pPr>
                      <w:r w:rsidRPr="008A1CA2">
                        <w:rPr>
                          <w:b/>
                          <w:color w:val="FFFFFF" w:themeColor="background1"/>
                          <w:sz w:val="40"/>
                          <w:szCs w:val="40"/>
                          <w:u w:val="single"/>
                        </w:rPr>
                        <w:t>Round 12</w:t>
                      </w:r>
                    </w:p>
                  </w:txbxContent>
                </v:textbox>
              </v:shape>
            </w:pict>
          </mc:Fallback>
        </mc:AlternateContent>
      </w:r>
    </w:p>
    <w:p w:rsidR="00037C67" w:rsidRDefault="00037C67">
      <w:pPr>
        <w:spacing w:before="89"/>
        <w:ind w:left="2504" w:right="2505"/>
        <w:jc w:val="center"/>
        <w:rPr>
          <w:b/>
          <w:sz w:val="36"/>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ind w:left="0"/>
        <w:rPr>
          <w:b/>
          <w:sz w:val="20"/>
        </w:rPr>
      </w:pPr>
    </w:p>
    <w:p w:rsidR="00BE5C0D" w:rsidRDefault="00BE5C0D">
      <w:pPr>
        <w:pStyle w:val="BodyText"/>
        <w:spacing w:before="9"/>
        <w:ind w:left="0"/>
        <w:rPr>
          <w:b/>
          <w:sz w:val="27"/>
        </w:rPr>
      </w:pPr>
    </w:p>
    <w:p w:rsidR="00E17E96" w:rsidRDefault="00E17E96">
      <w:pPr>
        <w:pStyle w:val="BodyText"/>
        <w:spacing w:before="9"/>
        <w:ind w:left="0"/>
        <w:rPr>
          <w:b/>
          <w:sz w:val="27"/>
        </w:rPr>
      </w:pPr>
    </w:p>
    <w:p w:rsidR="00E17E96" w:rsidRDefault="00E17E96">
      <w:pPr>
        <w:pStyle w:val="BodyText"/>
        <w:spacing w:before="9"/>
        <w:ind w:left="0"/>
        <w:rPr>
          <w:b/>
          <w:sz w:val="27"/>
        </w:rPr>
      </w:pPr>
    </w:p>
    <w:p w:rsidR="00E17E96" w:rsidRDefault="00E17E96">
      <w:pPr>
        <w:pStyle w:val="BodyText"/>
        <w:spacing w:before="9"/>
        <w:ind w:left="0"/>
        <w:rPr>
          <w:b/>
          <w:sz w:val="27"/>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015"/>
      </w:tblGrid>
      <w:tr w:rsidR="00BE5C0D">
        <w:trPr>
          <w:trHeight w:val="897"/>
        </w:trPr>
        <w:tc>
          <w:tcPr>
            <w:tcW w:w="2979" w:type="dxa"/>
          </w:tcPr>
          <w:p w:rsidR="00BE5C0D" w:rsidRDefault="00A17689">
            <w:pPr>
              <w:pStyle w:val="TableParagraph"/>
              <w:spacing w:line="295" w:lineRule="exact"/>
              <w:ind w:left="107"/>
              <w:rPr>
                <w:b/>
                <w:sz w:val="26"/>
              </w:rPr>
            </w:pPr>
            <w:r>
              <w:rPr>
                <w:b/>
                <w:sz w:val="26"/>
              </w:rPr>
              <w:t>Managing Authority:</w:t>
            </w:r>
          </w:p>
        </w:tc>
        <w:tc>
          <w:tcPr>
            <w:tcW w:w="6015" w:type="dxa"/>
          </w:tcPr>
          <w:p w:rsidR="00BE5C0D" w:rsidRDefault="00A17689">
            <w:pPr>
              <w:pStyle w:val="TableParagraph"/>
              <w:ind w:left="52" w:right="386"/>
              <w:rPr>
                <w:b/>
                <w:sz w:val="26"/>
              </w:rPr>
            </w:pPr>
            <w:r>
              <w:rPr>
                <w:b/>
                <w:sz w:val="26"/>
              </w:rPr>
              <w:t xml:space="preserve">Staffordshire County Council of behalf of the Stoke on Trent and Staffordshire </w:t>
            </w:r>
            <w:r w:rsidR="009F10E7">
              <w:rPr>
                <w:b/>
                <w:sz w:val="26"/>
              </w:rPr>
              <w:t>SSLEP</w:t>
            </w:r>
          </w:p>
        </w:tc>
      </w:tr>
      <w:tr w:rsidR="00BE5C0D" w:rsidTr="00E17E96">
        <w:trPr>
          <w:trHeight w:val="522"/>
        </w:trPr>
        <w:tc>
          <w:tcPr>
            <w:tcW w:w="2979" w:type="dxa"/>
          </w:tcPr>
          <w:p w:rsidR="00BE5C0D" w:rsidRDefault="00A17689">
            <w:pPr>
              <w:pStyle w:val="TableParagraph"/>
              <w:spacing w:line="295" w:lineRule="exact"/>
              <w:ind w:left="107"/>
              <w:rPr>
                <w:b/>
                <w:sz w:val="26"/>
              </w:rPr>
            </w:pPr>
            <w:r>
              <w:rPr>
                <w:b/>
                <w:sz w:val="26"/>
              </w:rPr>
              <w:t>Call Reference:</w:t>
            </w:r>
          </w:p>
        </w:tc>
        <w:tc>
          <w:tcPr>
            <w:tcW w:w="6015" w:type="dxa"/>
          </w:tcPr>
          <w:p w:rsidR="00BE5C0D" w:rsidRPr="00037C67" w:rsidRDefault="00037C67">
            <w:pPr>
              <w:pStyle w:val="TableParagraph"/>
              <w:ind w:left="0"/>
              <w:rPr>
                <w:b/>
                <w:sz w:val="26"/>
              </w:rPr>
            </w:pPr>
            <w:r w:rsidRPr="00037C67">
              <w:rPr>
                <w:b/>
                <w:sz w:val="26"/>
              </w:rPr>
              <w:t xml:space="preserve">  Round 12</w:t>
            </w:r>
          </w:p>
        </w:tc>
      </w:tr>
      <w:tr w:rsidR="00BE5C0D">
        <w:trPr>
          <w:trHeight w:val="894"/>
        </w:trPr>
        <w:tc>
          <w:tcPr>
            <w:tcW w:w="2979" w:type="dxa"/>
          </w:tcPr>
          <w:p w:rsidR="00BE5C0D" w:rsidRDefault="009F10E7">
            <w:pPr>
              <w:pStyle w:val="TableParagraph"/>
              <w:spacing w:line="295" w:lineRule="exact"/>
              <w:ind w:left="107"/>
              <w:rPr>
                <w:b/>
                <w:sz w:val="26"/>
              </w:rPr>
            </w:pPr>
            <w:r>
              <w:rPr>
                <w:b/>
                <w:sz w:val="26"/>
              </w:rPr>
              <w:t>SSLEP</w:t>
            </w:r>
            <w:r w:rsidR="00A17689">
              <w:rPr>
                <w:b/>
                <w:sz w:val="26"/>
              </w:rPr>
              <w:t xml:space="preserve"> Area Indicative</w:t>
            </w:r>
          </w:p>
          <w:p w:rsidR="00BE5C0D" w:rsidRDefault="00A17689">
            <w:pPr>
              <w:pStyle w:val="TableParagraph"/>
              <w:spacing w:before="150"/>
              <w:ind w:left="107"/>
              <w:rPr>
                <w:b/>
                <w:sz w:val="26"/>
              </w:rPr>
            </w:pPr>
            <w:r>
              <w:rPr>
                <w:b/>
                <w:sz w:val="26"/>
              </w:rPr>
              <w:t>Fund Allocation:</w:t>
            </w:r>
          </w:p>
        </w:tc>
        <w:tc>
          <w:tcPr>
            <w:tcW w:w="6015" w:type="dxa"/>
          </w:tcPr>
          <w:p w:rsidR="00BE5C0D" w:rsidRDefault="00BE5C0D">
            <w:pPr>
              <w:pStyle w:val="TableParagraph"/>
              <w:spacing w:before="10"/>
              <w:ind w:left="0"/>
              <w:rPr>
                <w:b/>
                <w:sz w:val="27"/>
              </w:rPr>
            </w:pPr>
          </w:p>
          <w:p w:rsidR="00BE5C0D" w:rsidRDefault="00A17689">
            <w:pPr>
              <w:pStyle w:val="TableParagraph"/>
              <w:ind w:left="95"/>
              <w:rPr>
                <w:b/>
                <w:sz w:val="26"/>
              </w:rPr>
            </w:pPr>
            <w:r>
              <w:rPr>
                <w:b/>
                <w:sz w:val="26"/>
              </w:rPr>
              <w:t>£1,000,000</w:t>
            </w:r>
          </w:p>
        </w:tc>
      </w:tr>
      <w:tr w:rsidR="00BE5C0D">
        <w:trPr>
          <w:trHeight w:val="619"/>
        </w:trPr>
        <w:tc>
          <w:tcPr>
            <w:tcW w:w="2979" w:type="dxa"/>
          </w:tcPr>
          <w:p w:rsidR="00BE5C0D" w:rsidRDefault="00A17689">
            <w:pPr>
              <w:pStyle w:val="TableParagraph"/>
              <w:spacing w:line="297" w:lineRule="exact"/>
              <w:ind w:left="107"/>
              <w:rPr>
                <w:b/>
                <w:sz w:val="26"/>
              </w:rPr>
            </w:pPr>
            <w:r>
              <w:rPr>
                <w:b/>
                <w:sz w:val="26"/>
              </w:rPr>
              <w:t>Call Open:</w:t>
            </w:r>
          </w:p>
        </w:tc>
        <w:tc>
          <w:tcPr>
            <w:tcW w:w="6015" w:type="dxa"/>
          </w:tcPr>
          <w:p w:rsidR="00BE5C0D" w:rsidRDefault="00A17689">
            <w:pPr>
              <w:pStyle w:val="TableParagraph"/>
              <w:spacing w:before="7"/>
              <w:ind w:left="107"/>
              <w:rPr>
                <w:b/>
                <w:sz w:val="26"/>
              </w:rPr>
            </w:pPr>
            <w:r>
              <w:rPr>
                <w:b/>
                <w:sz w:val="26"/>
              </w:rPr>
              <w:t>Friday 23 March 2018</w:t>
            </w:r>
          </w:p>
        </w:tc>
      </w:tr>
      <w:tr w:rsidR="00BE5C0D" w:rsidTr="00E17E96">
        <w:trPr>
          <w:trHeight w:val="593"/>
        </w:trPr>
        <w:tc>
          <w:tcPr>
            <w:tcW w:w="2979" w:type="dxa"/>
          </w:tcPr>
          <w:p w:rsidR="00BE5C0D" w:rsidRDefault="00A17689">
            <w:pPr>
              <w:pStyle w:val="TableParagraph"/>
              <w:spacing w:line="295" w:lineRule="exact"/>
              <w:ind w:left="107"/>
              <w:rPr>
                <w:b/>
                <w:sz w:val="26"/>
              </w:rPr>
            </w:pPr>
            <w:r>
              <w:rPr>
                <w:b/>
                <w:sz w:val="26"/>
              </w:rPr>
              <w:t>Call Closes:</w:t>
            </w:r>
          </w:p>
        </w:tc>
        <w:tc>
          <w:tcPr>
            <w:tcW w:w="6015" w:type="dxa"/>
          </w:tcPr>
          <w:p w:rsidR="00BE5C0D" w:rsidRDefault="00A17689">
            <w:pPr>
              <w:pStyle w:val="TableParagraph"/>
              <w:spacing w:line="295" w:lineRule="exact"/>
              <w:ind w:left="107"/>
              <w:rPr>
                <w:b/>
                <w:sz w:val="26"/>
              </w:rPr>
            </w:pPr>
            <w:r>
              <w:rPr>
                <w:b/>
                <w:sz w:val="26"/>
              </w:rPr>
              <w:t>23:59 on Friday 18 May 2018</w:t>
            </w:r>
          </w:p>
        </w:tc>
      </w:tr>
    </w:tbl>
    <w:p w:rsidR="00BE5C0D" w:rsidRDefault="00BE5C0D">
      <w:pPr>
        <w:spacing w:line="295" w:lineRule="exact"/>
        <w:rPr>
          <w:sz w:val="26"/>
        </w:rPr>
        <w:sectPr w:rsidR="00BE5C0D" w:rsidSect="00037C67">
          <w:headerReference w:type="default" r:id="rId9"/>
          <w:footerReference w:type="default" r:id="rId10"/>
          <w:type w:val="continuous"/>
          <w:pgSz w:w="11910" w:h="16840"/>
          <w:pgMar w:top="2519" w:right="1220" w:bottom="280" w:left="1220" w:header="720" w:footer="720" w:gutter="0"/>
          <w:cols w:space="720"/>
        </w:sectPr>
      </w:pPr>
    </w:p>
    <w:p w:rsidR="00037C67" w:rsidRDefault="00037C67">
      <w:pPr>
        <w:pStyle w:val="Heading1"/>
        <w:spacing w:before="77"/>
        <w:ind w:left="220" w:firstLine="0"/>
      </w:pPr>
    </w:p>
    <w:p w:rsidR="001A3147" w:rsidRDefault="001A3147">
      <w:pPr>
        <w:pStyle w:val="Heading1"/>
        <w:spacing w:before="77"/>
        <w:ind w:left="220" w:firstLine="0"/>
      </w:pPr>
    </w:p>
    <w:p w:rsidR="00BE5C0D" w:rsidRPr="00F748A3" w:rsidRDefault="00A17689">
      <w:pPr>
        <w:pStyle w:val="Heading1"/>
        <w:spacing w:before="77"/>
        <w:ind w:left="220" w:firstLine="0"/>
        <w:rPr>
          <w:b/>
        </w:rPr>
      </w:pPr>
      <w:r w:rsidRPr="00F748A3">
        <w:rPr>
          <w:b/>
        </w:rPr>
        <w:t>Contents</w:t>
      </w:r>
    </w:p>
    <w:p w:rsidR="00BE5C0D" w:rsidRDefault="00BE5C0D">
      <w:pPr>
        <w:pStyle w:val="BodyText"/>
        <w:ind w:left="0"/>
        <w:rPr>
          <w:sz w:val="40"/>
        </w:rPr>
      </w:pPr>
    </w:p>
    <w:p w:rsidR="00BE5C0D" w:rsidRDefault="00A17689">
      <w:pPr>
        <w:pStyle w:val="ListParagraph"/>
        <w:numPr>
          <w:ilvl w:val="0"/>
          <w:numId w:val="11"/>
        </w:numPr>
        <w:tabs>
          <w:tab w:val="left" w:pos="622"/>
        </w:tabs>
        <w:spacing w:before="319"/>
        <w:rPr>
          <w:sz w:val="36"/>
        </w:rPr>
      </w:pPr>
      <w:r>
        <w:rPr>
          <w:sz w:val="36"/>
        </w:rPr>
        <w:t>Introduction</w:t>
      </w:r>
    </w:p>
    <w:p w:rsidR="00097559" w:rsidRDefault="005D2385" w:rsidP="00097559">
      <w:pPr>
        <w:pStyle w:val="ListParagraph"/>
        <w:numPr>
          <w:ilvl w:val="0"/>
          <w:numId w:val="11"/>
        </w:numPr>
        <w:tabs>
          <w:tab w:val="left" w:pos="621"/>
        </w:tabs>
        <w:spacing w:before="183"/>
        <w:rPr>
          <w:sz w:val="36"/>
        </w:rPr>
      </w:pPr>
      <w:r>
        <w:rPr>
          <w:sz w:val="36"/>
        </w:rPr>
        <w:t>S</w:t>
      </w:r>
      <w:r w:rsidR="009F10E7">
        <w:rPr>
          <w:sz w:val="36"/>
        </w:rPr>
        <w:t>SLEP</w:t>
      </w:r>
      <w:r w:rsidR="00097559">
        <w:rPr>
          <w:sz w:val="36"/>
        </w:rPr>
        <w:t xml:space="preserve"> Vision &amp; Priorities</w:t>
      </w:r>
    </w:p>
    <w:p w:rsidR="00410F86" w:rsidRDefault="00410F86">
      <w:pPr>
        <w:pStyle w:val="ListParagraph"/>
        <w:numPr>
          <w:ilvl w:val="0"/>
          <w:numId w:val="11"/>
        </w:numPr>
        <w:tabs>
          <w:tab w:val="left" w:pos="622"/>
        </w:tabs>
        <w:spacing w:before="182"/>
        <w:rPr>
          <w:sz w:val="36"/>
        </w:rPr>
      </w:pPr>
      <w:r>
        <w:rPr>
          <w:sz w:val="36"/>
        </w:rPr>
        <w:t>Call Context</w:t>
      </w:r>
    </w:p>
    <w:p w:rsidR="00410F86" w:rsidRDefault="00410F86">
      <w:pPr>
        <w:pStyle w:val="ListParagraph"/>
        <w:numPr>
          <w:ilvl w:val="0"/>
          <w:numId w:val="11"/>
        </w:numPr>
        <w:tabs>
          <w:tab w:val="left" w:pos="622"/>
        </w:tabs>
        <w:spacing w:before="182"/>
        <w:rPr>
          <w:sz w:val="36"/>
        </w:rPr>
      </w:pPr>
      <w:r>
        <w:rPr>
          <w:sz w:val="36"/>
        </w:rPr>
        <w:t>Scope of the Call</w:t>
      </w:r>
    </w:p>
    <w:p w:rsidR="0013058D" w:rsidRDefault="00A17689">
      <w:pPr>
        <w:pStyle w:val="ListParagraph"/>
        <w:numPr>
          <w:ilvl w:val="0"/>
          <w:numId w:val="11"/>
        </w:numPr>
        <w:tabs>
          <w:tab w:val="left" w:pos="622"/>
        </w:tabs>
        <w:spacing w:before="182"/>
        <w:rPr>
          <w:sz w:val="36"/>
        </w:rPr>
      </w:pPr>
      <w:r>
        <w:rPr>
          <w:sz w:val="36"/>
        </w:rPr>
        <w:t xml:space="preserve">Application </w:t>
      </w:r>
      <w:r w:rsidR="0013058D">
        <w:rPr>
          <w:sz w:val="36"/>
        </w:rPr>
        <w:t xml:space="preserve">&amp; Appraisal </w:t>
      </w:r>
      <w:r>
        <w:rPr>
          <w:sz w:val="36"/>
        </w:rPr>
        <w:t xml:space="preserve">Process </w:t>
      </w:r>
    </w:p>
    <w:p w:rsidR="00BE5C0D" w:rsidRDefault="00437CFA">
      <w:pPr>
        <w:pStyle w:val="ListParagraph"/>
        <w:numPr>
          <w:ilvl w:val="0"/>
          <w:numId w:val="11"/>
        </w:numPr>
        <w:tabs>
          <w:tab w:val="left" w:pos="621"/>
        </w:tabs>
        <w:spacing w:before="182"/>
        <w:ind w:left="620" w:hanging="400"/>
        <w:rPr>
          <w:sz w:val="36"/>
        </w:rPr>
      </w:pPr>
      <w:r>
        <w:rPr>
          <w:sz w:val="36"/>
        </w:rPr>
        <w:t>Application</w:t>
      </w:r>
      <w:r w:rsidR="00A17689">
        <w:rPr>
          <w:spacing w:val="-1"/>
          <w:sz w:val="36"/>
        </w:rPr>
        <w:t xml:space="preserve"> </w:t>
      </w:r>
      <w:r w:rsidR="00A17689">
        <w:rPr>
          <w:sz w:val="36"/>
        </w:rPr>
        <w:t>Checklist</w:t>
      </w:r>
    </w:p>
    <w:p w:rsidR="00F748A3" w:rsidRDefault="00437CFA">
      <w:pPr>
        <w:pStyle w:val="ListParagraph"/>
        <w:numPr>
          <w:ilvl w:val="0"/>
          <w:numId w:val="11"/>
        </w:numPr>
        <w:tabs>
          <w:tab w:val="left" w:pos="621"/>
        </w:tabs>
        <w:spacing w:before="182"/>
        <w:ind w:left="620" w:hanging="400"/>
        <w:rPr>
          <w:sz w:val="36"/>
        </w:rPr>
      </w:pPr>
      <w:r>
        <w:rPr>
          <w:sz w:val="36"/>
        </w:rPr>
        <w:t>Application</w:t>
      </w:r>
      <w:r w:rsidR="00F748A3">
        <w:rPr>
          <w:sz w:val="36"/>
        </w:rPr>
        <w:t xml:space="preserve"> Submission</w:t>
      </w:r>
    </w:p>
    <w:p w:rsidR="00BE5C0D" w:rsidRDefault="00BE5C0D" w:rsidP="00F748A3">
      <w:pPr>
        <w:pStyle w:val="ListParagraph"/>
        <w:tabs>
          <w:tab w:val="left" w:pos="821"/>
        </w:tabs>
        <w:spacing w:before="183"/>
        <w:ind w:left="820" w:firstLine="0"/>
        <w:rPr>
          <w:sz w:val="36"/>
        </w:rPr>
      </w:pPr>
    </w:p>
    <w:p w:rsidR="00037C67" w:rsidRDefault="00037C67">
      <w:pPr>
        <w:spacing w:before="182"/>
        <w:ind w:left="220"/>
        <w:rPr>
          <w:sz w:val="36"/>
        </w:rPr>
      </w:pPr>
    </w:p>
    <w:p w:rsidR="00037C67" w:rsidRDefault="00037C67" w:rsidP="00037C67">
      <w:pPr>
        <w:tabs>
          <w:tab w:val="left" w:pos="581"/>
        </w:tabs>
        <w:spacing w:before="77"/>
        <w:ind w:left="220"/>
        <w:rPr>
          <w:sz w:val="36"/>
        </w:rPr>
      </w:pPr>
    </w:p>
    <w:p w:rsidR="00037C67" w:rsidRDefault="00037C67" w:rsidP="00037C67">
      <w:pPr>
        <w:tabs>
          <w:tab w:val="left" w:pos="581"/>
        </w:tabs>
        <w:spacing w:before="77"/>
        <w:ind w:left="220"/>
        <w:rPr>
          <w:sz w:val="36"/>
        </w:rPr>
      </w:pPr>
    </w:p>
    <w:p w:rsidR="00410F86" w:rsidRDefault="00410F86" w:rsidP="00037C67">
      <w:pPr>
        <w:tabs>
          <w:tab w:val="left" w:pos="581"/>
        </w:tabs>
        <w:spacing w:before="77"/>
        <w:ind w:left="220"/>
        <w:rPr>
          <w:sz w:val="36"/>
        </w:rPr>
      </w:pPr>
    </w:p>
    <w:p w:rsidR="00F748A3" w:rsidRDefault="00F748A3">
      <w:pPr>
        <w:rPr>
          <w:sz w:val="36"/>
        </w:rPr>
      </w:pPr>
      <w:r>
        <w:rPr>
          <w:sz w:val="36"/>
        </w:rPr>
        <w:br w:type="page"/>
      </w:r>
    </w:p>
    <w:p w:rsidR="00410F86" w:rsidRDefault="00410F86" w:rsidP="00037C67">
      <w:pPr>
        <w:tabs>
          <w:tab w:val="left" w:pos="581"/>
        </w:tabs>
        <w:spacing w:before="77"/>
        <w:ind w:left="220"/>
        <w:rPr>
          <w:sz w:val="36"/>
        </w:rPr>
      </w:pPr>
    </w:p>
    <w:p w:rsidR="00037C67" w:rsidRPr="00037C67" w:rsidRDefault="00037C67" w:rsidP="00037C67">
      <w:pPr>
        <w:tabs>
          <w:tab w:val="left" w:pos="581"/>
        </w:tabs>
        <w:spacing w:before="77"/>
        <w:ind w:left="220"/>
        <w:rPr>
          <w:sz w:val="36"/>
        </w:rPr>
      </w:pPr>
    </w:p>
    <w:p w:rsidR="00037C67" w:rsidRPr="00037C67" w:rsidRDefault="00037C67" w:rsidP="00037C67">
      <w:pPr>
        <w:tabs>
          <w:tab w:val="left" w:pos="581"/>
        </w:tabs>
        <w:spacing w:before="77"/>
        <w:ind w:left="220"/>
        <w:rPr>
          <w:sz w:val="36"/>
        </w:rPr>
      </w:pPr>
    </w:p>
    <w:p w:rsidR="00BE5C0D" w:rsidRDefault="00A17689">
      <w:pPr>
        <w:pStyle w:val="ListParagraph"/>
        <w:numPr>
          <w:ilvl w:val="0"/>
          <w:numId w:val="10"/>
        </w:numPr>
        <w:tabs>
          <w:tab w:val="left" w:pos="581"/>
        </w:tabs>
        <w:spacing w:before="77"/>
        <w:rPr>
          <w:b/>
          <w:sz w:val="36"/>
        </w:rPr>
      </w:pPr>
      <w:r w:rsidRPr="00410F86">
        <w:rPr>
          <w:b/>
          <w:sz w:val="36"/>
        </w:rPr>
        <w:t>Introduction</w:t>
      </w:r>
    </w:p>
    <w:p w:rsidR="00AC3C84" w:rsidRDefault="00AC3C84" w:rsidP="00AC3C84">
      <w:pPr>
        <w:tabs>
          <w:tab w:val="left" w:pos="581"/>
        </w:tabs>
        <w:spacing w:before="77"/>
        <w:rPr>
          <w:b/>
          <w:sz w:val="36"/>
        </w:rPr>
      </w:pPr>
    </w:p>
    <w:p w:rsidR="00AC3C84" w:rsidRDefault="00AC3C84" w:rsidP="00AC3C84">
      <w:pPr>
        <w:ind w:left="360"/>
        <w:jc w:val="both"/>
        <w:rPr>
          <w:color w:val="000000"/>
          <w:szCs w:val="24"/>
        </w:rPr>
      </w:pPr>
      <w:r w:rsidRPr="002C4CF4">
        <w:rPr>
          <w:color w:val="000000"/>
          <w:szCs w:val="24"/>
        </w:rPr>
        <w:t xml:space="preserve">The </w:t>
      </w:r>
      <w:r>
        <w:rPr>
          <w:color w:val="000000"/>
          <w:szCs w:val="24"/>
        </w:rPr>
        <w:t>Growing Places Fund (</w:t>
      </w:r>
      <w:r w:rsidRPr="002C4CF4">
        <w:rPr>
          <w:color w:val="000000"/>
          <w:szCs w:val="24"/>
        </w:rPr>
        <w:t>GPF</w:t>
      </w:r>
      <w:r>
        <w:rPr>
          <w:color w:val="000000"/>
          <w:szCs w:val="24"/>
        </w:rPr>
        <w:t>)</w:t>
      </w:r>
      <w:r w:rsidRPr="002C4CF4">
        <w:rPr>
          <w:color w:val="000000"/>
          <w:szCs w:val="24"/>
        </w:rPr>
        <w:t xml:space="preserve"> has been made available </w:t>
      </w:r>
      <w:r>
        <w:rPr>
          <w:color w:val="000000"/>
          <w:szCs w:val="24"/>
        </w:rPr>
        <w:t xml:space="preserve">from Central Government to </w:t>
      </w:r>
      <w:r w:rsidR="00097559">
        <w:rPr>
          <w:color w:val="000000"/>
          <w:szCs w:val="24"/>
        </w:rPr>
        <w:t>the Stoke on Trent &amp; Staffordshire Local Enterprise Partnership (</w:t>
      </w:r>
      <w:r w:rsidR="009F10E7">
        <w:rPr>
          <w:color w:val="000000"/>
          <w:szCs w:val="24"/>
        </w:rPr>
        <w:t>SSLEP</w:t>
      </w:r>
      <w:r w:rsidR="00097559">
        <w:rPr>
          <w:color w:val="000000"/>
          <w:szCs w:val="24"/>
        </w:rPr>
        <w:t>)</w:t>
      </w:r>
      <w:r>
        <w:rPr>
          <w:color w:val="000000"/>
          <w:szCs w:val="24"/>
        </w:rPr>
        <w:t xml:space="preserve"> in line with the following objectives</w:t>
      </w:r>
      <w:r w:rsidR="00097559">
        <w:rPr>
          <w:color w:val="000000"/>
          <w:szCs w:val="24"/>
        </w:rPr>
        <w:t xml:space="preserve"> (see Section 2 f</w:t>
      </w:r>
      <w:r w:rsidR="005D2385">
        <w:rPr>
          <w:color w:val="000000"/>
          <w:szCs w:val="24"/>
        </w:rPr>
        <w:t xml:space="preserve">or more information about the </w:t>
      </w:r>
      <w:r w:rsidR="009F10E7">
        <w:rPr>
          <w:color w:val="000000"/>
          <w:szCs w:val="24"/>
        </w:rPr>
        <w:t>SSLEP</w:t>
      </w:r>
      <w:r w:rsidR="00097559">
        <w:rPr>
          <w:color w:val="000000"/>
          <w:szCs w:val="24"/>
        </w:rPr>
        <w:t>)</w:t>
      </w:r>
      <w:r>
        <w:rPr>
          <w:color w:val="000000"/>
          <w:szCs w:val="24"/>
        </w:rPr>
        <w:t>:</w:t>
      </w:r>
    </w:p>
    <w:p w:rsidR="00AC3C84" w:rsidRDefault="00AC3C84" w:rsidP="00AC3C84">
      <w:pPr>
        <w:ind w:left="360"/>
        <w:jc w:val="both"/>
        <w:rPr>
          <w:color w:val="000000"/>
          <w:szCs w:val="24"/>
        </w:rPr>
      </w:pPr>
    </w:p>
    <w:p w:rsidR="00AC3C84" w:rsidRDefault="00AC3C84" w:rsidP="00AC3C84">
      <w:pPr>
        <w:widowControl/>
        <w:numPr>
          <w:ilvl w:val="0"/>
          <w:numId w:val="19"/>
        </w:numPr>
        <w:autoSpaceDE/>
        <w:autoSpaceDN/>
        <w:spacing w:after="120"/>
        <w:jc w:val="both"/>
      </w:pPr>
      <w:r>
        <w:t>To generate economic activity in the short term by addressing immediate infrastructure and site constraints and promote the delivery of jobs and housing</w:t>
      </w:r>
    </w:p>
    <w:p w:rsidR="00AC3C84" w:rsidRPr="00B8313A" w:rsidRDefault="00AC3C84" w:rsidP="00AC3C84">
      <w:pPr>
        <w:widowControl/>
        <w:numPr>
          <w:ilvl w:val="0"/>
          <w:numId w:val="19"/>
        </w:numPr>
        <w:autoSpaceDE/>
        <w:autoSpaceDN/>
        <w:spacing w:after="120"/>
        <w:jc w:val="both"/>
      </w:pPr>
      <w:r w:rsidRPr="00B8313A">
        <w:t>To allow local enterprise partnerships to prioritise the infrastructure they need, empowering them to deliver their economic strategies</w:t>
      </w:r>
    </w:p>
    <w:p w:rsidR="00AC3C84" w:rsidRPr="00097559" w:rsidRDefault="00AC3C84" w:rsidP="00AC3C84">
      <w:pPr>
        <w:widowControl/>
        <w:numPr>
          <w:ilvl w:val="0"/>
          <w:numId w:val="19"/>
        </w:numPr>
        <w:autoSpaceDE/>
        <w:autoSpaceDN/>
        <w:jc w:val="both"/>
        <w:rPr>
          <w:color w:val="000000"/>
          <w:szCs w:val="24"/>
        </w:rPr>
      </w:pPr>
      <w:r>
        <w:t>To establish sustainable revolving funds so that funding can be reinvested to unlock further development, and leverage private investment.</w:t>
      </w:r>
    </w:p>
    <w:p w:rsidR="00097559" w:rsidRPr="002C4CF4" w:rsidRDefault="00097559" w:rsidP="00097559">
      <w:pPr>
        <w:widowControl/>
        <w:autoSpaceDE/>
        <w:autoSpaceDN/>
        <w:jc w:val="both"/>
        <w:rPr>
          <w:color w:val="000000"/>
          <w:szCs w:val="24"/>
        </w:rPr>
      </w:pPr>
    </w:p>
    <w:p w:rsidR="00B91237" w:rsidRPr="005A7DE0" w:rsidRDefault="00F748A3" w:rsidP="00F748A3">
      <w:pPr>
        <w:rPr>
          <w:b/>
          <w:sz w:val="24"/>
          <w:szCs w:val="24"/>
        </w:rPr>
      </w:pPr>
      <w:r>
        <w:rPr>
          <w:b/>
          <w:sz w:val="24"/>
          <w:szCs w:val="24"/>
        </w:rPr>
        <w:t>1.1</w:t>
      </w:r>
      <w:r>
        <w:rPr>
          <w:b/>
          <w:sz w:val="24"/>
          <w:szCs w:val="24"/>
        </w:rPr>
        <w:tab/>
      </w:r>
      <w:r w:rsidR="00773495" w:rsidRPr="005A7DE0">
        <w:rPr>
          <w:b/>
          <w:sz w:val="24"/>
          <w:szCs w:val="24"/>
        </w:rPr>
        <w:t xml:space="preserve">Key Facts of the </w:t>
      </w:r>
      <w:r w:rsidR="00B91237" w:rsidRPr="005A7DE0">
        <w:rPr>
          <w:b/>
          <w:sz w:val="24"/>
          <w:szCs w:val="24"/>
        </w:rPr>
        <w:t xml:space="preserve">Growing Places Fund </w:t>
      </w:r>
    </w:p>
    <w:p w:rsidR="00B91237" w:rsidRPr="00211382" w:rsidRDefault="00B91237" w:rsidP="00F748A3">
      <w:pPr>
        <w:pStyle w:val="ListParagraph"/>
        <w:widowControl/>
        <w:numPr>
          <w:ilvl w:val="0"/>
          <w:numId w:val="20"/>
        </w:numPr>
        <w:autoSpaceDE/>
        <w:autoSpaceDN/>
        <w:spacing w:before="120"/>
      </w:pPr>
      <w:r w:rsidRPr="00211382">
        <w:t>It’s a loan</w:t>
      </w:r>
      <w:r>
        <w:t>.</w:t>
      </w:r>
    </w:p>
    <w:p w:rsidR="00B91237" w:rsidRPr="00211382" w:rsidRDefault="00B91237" w:rsidP="00F748A3">
      <w:pPr>
        <w:pStyle w:val="ListParagraph"/>
        <w:widowControl/>
        <w:numPr>
          <w:ilvl w:val="0"/>
          <w:numId w:val="20"/>
        </w:numPr>
        <w:autoSpaceDE/>
        <w:autoSpaceDN/>
        <w:spacing w:before="120"/>
      </w:pPr>
      <w:r w:rsidRPr="00F748A3">
        <w:rPr>
          <w:b/>
        </w:rPr>
        <w:t>Interest rate</w:t>
      </w:r>
      <w:r w:rsidR="00037C67" w:rsidRPr="00F748A3">
        <w:rPr>
          <w:b/>
        </w:rPr>
        <w:t>:</w:t>
      </w:r>
      <w:r w:rsidRPr="00F748A3">
        <w:rPr>
          <w:b/>
        </w:rPr>
        <w:t>.</w:t>
      </w:r>
      <w:r>
        <w:t xml:space="preserve"> Nil as long as the scheme complies with State Aid rules. </w:t>
      </w:r>
      <w:r w:rsidR="00037C67">
        <w:t xml:space="preserve">The benefit of a Growing Places loan over a bank loan is that it is interest free over a period of 2 years (subject to qualifying criteria). </w:t>
      </w:r>
      <w:r>
        <w:t xml:space="preserve">If interest has to be charged, </w:t>
      </w:r>
      <w:r w:rsidR="00037C67">
        <w:t>this</w:t>
      </w:r>
      <w:r>
        <w:t xml:space="preserve"> will be at State Aid compliant commercial rates with compound interest.</w:t>
      </w:r>
    </w:p>
    <w:p w:rsidR="00B91237" w:rsidRDefault="00B91237" w:rsidP="00F748A3">
      <w:pPr>
        <w:pStyle w:val="ListParagraph"/>
        <w:widowControl/>
        <w:numPr>
          <w:ilvl w:val="0"/>
          <w:numId w:val="20"/>
        </w:numPr>
        <w:autoSpaceDE/>
        <w:autoSpaceDN/>
        <w:spacing w:before="120"/>
      </w:pPr>
      <w:r w:rsidRPr="00F748A3">
        <w:rPr>
          <w:b/>
        </w:rPr>
        <w:t>Repayment terms:</w:t>
      </w:r>
      <w:r w:rsidR="00037C67">
        <w:t xml:space="preserve"> T</w:t>
      </w:r>
      <w:r>
        <w:t xml:space="preserve">o qualify for the 2 year interest free period, repayment in full must be made 2 years after practical completion of the element(s) funded </w:t>
      </w:r>
      <w:r w:rsidRPr="00B91237">
        <w:t>or the End Date specified in the Funding Agreement (whichever is the sooner)</w:t>
      </w:r>
      <w:r>
        <w:t>.  Any repayment term beyond this 2 year period will be subject to interest at commercial rates in accordance with the terms specified in the Funding Agreement issued.</w:t>
      </w:r>
    </w:p>
    <w:p w:rsidR="0037006E" w:rsidRPr="00211382" w:rsidRDefault="0037006E" w:rsidP="0037006E">
      <w:pPr>
        <w:pStyle w:val="ListParagraph"/>
        <w:widowControl/>
        <w:numPr>
          <w:ilvl w:val="0"/>
          <w:numId w:val="20"/>
        </w:numPr>
        <w:autoSpaceDE/>
        <w:autoSpaceDN/>
        <w:spacing w:before="120"/>
      </w:pPr>
      <w:r w:rsidRPr="00F748A3">
        <w:rPr>
          <w:b/>
        </w:rPr>
        <w:t>Minimum loan value</w:t>
      </w:r>
      <w:r>
        <w:t>: £50,000.</w:t>
      </w:r>
    </w:p>
    <w:p w:rsidR="00B91237" w:rsidRPr="00211382" w:rsidRDefault="00B91237" w:rsidP="00F748A3">
      <w:pPr>
        <w:pStyle w:val="ListParagraph"/>
        <w:widowControl/>
        <w:numPr>
          <w:ilvl w:val="0"/>
          <w:numId w:val="20"/>
        </w:numPr>
        <w:autoSpaceDE/>
        <w:autoSpaceDN/>
        <w:spacing w:before="120"/>
      </w:pPr>
      <w:r w:rsidRPr="00F748A3">
        <w:rPr>
          <w:b/>
        </w:rPr>
        <w:t>Maximum intervention rate</w:t>
      </w:r>
      <w:r w:rsidR="00773495" w:rsidRPr="00F748A3">
        <w:rPr>
          <w:b/>
        </w:rPr>
        <w:t>:</w:t>
      </w:r>
      <w:r>
        <w:t xml:space="preserve"> 50% of scheme cost excl. land value if the developer already owns it; i.e. the scheme would need to cost at least £100,000. The intervention rate requested will need to be justified </w:t>
      </w:r>
    </w:p>
    <w:p w:rsidR="00B91237" w:rsidRPr="00211382" w:rsidRDefault="00B91237" w:rsidP="00F748A3">
      <w:pPr>
        <w:pStyle w:val="ListParagraph"/>
        <w:widowControl/>
        <w:numPr>
          <w:ilvl w:val="0"/>
          <w:numId w:val="20"/>
        </w:numPr>
        <w:autoSpaceDE/>
        <w:autoSpaceDN/>
        <w:spacing w:before="120"/>
      </w:pPr>
      <w:r w:rsidRPr="00F748A3">
        <w:rPr>
          <w:b/>
        </w:rPr>
        <w:t>Security</w:t>
      </w:r>
      <w:r w:rsidR="00773495">
        <w:t>:</w:t>
      </w:r>
      <w:r>
        <w:t xml:space="preserve"> 100% surety is needed, various forms of security are acceptable and these will be considered at appraisal stage.</w:t>
      </w:r>
    </w:p>
    <w:p w:rsidR="00B91237" w:rsidRPr="00211382" w:rsidRDefault="00B91237" w:rsidP="00F748A3">
      <w:pPr>
        <w:pStyle w:val="ListParagraph"/>
        <w:widowControl/>
        <w:numPr>
          <w:ilvl w:val="0"/>
          <w:numId w:val="20"/>
        </w:numPr>
        <w:autoSpaceDE/>
        <w:autoSpaceDN/>
        <w:spacing w:before="120"/>
      </w:pPr>
      <w:r w:rsidRPr="00F748A3">
        <w:rPr>
          <w:b/>
        </w:rPr>
        <w:t>Retrospective payments</w:t>
      </w:r>
      <w:r w:rsidR="00773495" w:rsidRPr="00F748A3">
        <w:rPr>
          <w:b/>
        </w:rPr>
        <w:t>:</w:t>
      </w:r>
      <w:r>
        <w:t xml:space="preserve"> Eligible expenditure must be defrayed (cleared through the beneficiaries bank) before it can be claimed from the fund.  Claims are processed on a quarterly basis.</w:t>
      </w:r>
    </w:p>
    <w:p w:rsidR="00B91237" w:rsidRPr="00211382" w:rsidRDefault="00B91237" w:rsidP="00F748A3">
      <w:pPr>
        <w:pStyle w:val="ListParagraph"/>
        <w:widowControl/>
        <w:numPr>
          <w:ilvl w:val="0"/>
          <w:numId w:val="20"/>
        </w:numPr>
        <w:autoSpaceDE/>
        <w:autoSpaceDN/>
        <w:spacing w:before="120"/>
      </w:pPr>
      <w:r w:rsidRPr="00F748A3">
        <w:rPr>
          <w:b/>
        </w:rPr>
        <w:t>Monitoring &amp; evaluation</w:t>
      </w:r>
      <w:r w:rsidR="00773495" w:rsidRPr="00F748A3">
        <w:rPr>
          <w:b/>
        </w:rPr>
        <w:t>:</w:t>
      </w:r>
      <w:r>
        <w:t xml:space="preserve"> </w:t>
      </w:r>
      <w:r w:rsidR="00037C67">
        <w:t>Carried out over</w:t>
      </w:r>
      <w:r>
        <w:t xml:space="preserve"> a term </w:t>
      </w:r>
      <w:r w:rsidR="00037C67">
        <w:t>as detailed in the Funding Agreement</w:t>
      </w:r>
      <w:r>
        <w:t>.</w:t>
      </w:r>
    </w:p>
    <w:p w:rsidR="00B91237" w:rsidRDefault="00B91237" w:rsidP="00F748A3">
      <w:pPr>
        <w:pStyle w:val="ListParagraph"/>
        <w:widowControl/>
        <w:numPr>
          <w:ilvl w:val="0"/>
          <w:numId w:val="20"/>
        </w:numPr>
        <w:autoSpaceDE/>
        <w:autoSpaceDN/>
        <w:spacing w:before="120"/>
      </w:pPr>
      <w:r w:rsidRPr="00F748A3">
        <w:rPr>
          <w:b/>
        </w:rPr>
        <w:t>Publicity</w:t>
      </w:r>
      <w:r w:rsidR="00773495" w:rsidRPr="00F748A3">
        <w:rPr>
          <w:b/>
        </w:rPr>
        <w:t>:</w:t>
      </w:r>
      <w:r>
        <w:t xml:space="preserve"> </w:t>
      </w:r>
      <w:r w:rsidRPr="00203DC0">
        <w:t xml:space="preserve">Acknowledgement of </w:t>
      </w:r>
      <w:r w:rsidR="009F10E7">
        <w:t>SSLEP</w:t>
      </w:r>
      <w:r w:rsidRPr="00203DC0">
        <w:t xml:space="preserve"> funding on any scheme publicity.</w:t>
      </w:r>
    </w:p>
    <w:p w:rsidR="00B91237" w:rsidRPr="00203DC0" w:rsidRDefault="00B91237" w:rsidP="00F748A3">
      <w:pPr>
        <w:pStyle w:val="ListParagraph"/>
        <w:widowControl/>
        <w:numPr>
          <w:ilvl w:val="0"/>
          <w:numId w:val="20"/>
        </w:numPr>
        <w:autoSpaceDE/>
        <w:autoSpaceDN/>
        <w:spacing w:before="120"/>
      </w:pPr>
      <w:r w:rsidRPr="00F748A3">
        <w:rPr>
          <w:b/>
        </w:rPr>
        <w:t>Legal costs</w:t>
      </w:r>
      <w:r w:rsidR="00773495" w:rsidRPr="00F748A3">
        <w:rPr>
          <w:b/>
        </w:rPr>
        <w:t>:</w:t>
      </w:r>
      <w:r>
        <w:t xml:space="preserve"> Each party is to cover its own legal costs with a limit on the </w:t>
      </w:r>
      <w:r w:rsidR="009F10E7">
        <w:t>SSLEP</w:t>
      </w:r>
      <w:r>
        <w:t xml:space="preserve"> legal costs of £5,000. Any costs above this are to be borne by the applicant.</w:t>
      </w:r>
    </w:p>
    <w:p w:rsidR="00B91237" w:rsidRPr="00141DEE" w:rsidRDefault="00B91237" w:rsidP="00141DEE">
      <w:pPr>
        <w:ind w:firstLine="556"/>
      </w:pPr>
    </w:p>
    <w:p w:rsidR="00B91237" w:rsidRPr="00203DC0" w:rsidRDefault="00B91237" w:rsidP="00B91237"/>
    <w:p w:rsidR="00782373" w:rsidRDefault="00782373" w:rsidP="00B91237"/>
    <w:p w:rsidR="00AC3C84" w:rsidRDefault="00AC3C84" w:rsidP="00B91237"/>
    <w:p w:rsidR="00AC3C84" w:rsidRDefault="00AC3C84" w:rsidP="00B91237"/>
    <w:p w:rsidR="00AC3C84" w:rsidRDefault="00AC3C84" w:rsidP="00B91237"/>
    <w:p w:rsidR="00AC3C84" w:rsidRPr="009250DD" w:rsidRDefault="00AC3C84" w:rsidP="00B91237"/>
    <w:p w:rsidR="00097559" w:rsidRPr="00410F86" w:rsidRDefault="005D2385" w:rsidP="00097559">
      <w:pPr>
        <w:pStyle w:val="Heading1"/>
        <w:numPr>
          <w:ilvl w:val="0"/>
          <w:numId w:val="10"/>
        </w:numPr>
        <w:tabs>
          <w:tab w:val="left" w:pos="622"/>
        </w:tabs>
        <w:ind w:left="621" w:hanging="401"/>
        <w:rPr>
          <w:b/>
        </w:rPr>
      </w:pPr>
      <w:r>
        <w:rPr>
          <w:b/>
        </w:rPr>
        <w:t>S</w:t>
      </w:r>
      <w:r w:rsidR="009F10E7">
        <w:rPr>
          <w:b/>
        </w:rPr>
        <w:t>SLEP</w:t>
      </w:r>
      <w:r w:rsidR="00097559">
        <w:rPr>
          <w:b/>
        </w:rPr>
        <w:t xml:space="preserve"> Vision &amp; Priorities</w:t>
      </w:r>
    </w:p>
    <w:p w:rsidR="00097559" w:rsidRPr="00410F86" w:rsidRDefault="00097559" w:rsidP="00097559">
      <w:pPr>
        <w:pStyle w:val="Heading1"/>
        <w:tabs>
          <w:tab w:val="left" w:pos="622"/>
        </w:tabs>
        <w:ind w:left="220" w:firstLine="0"/>
        <w:rPr>
          <w:b/>
        </w:rPr>
      </w:pPr>
    </w:p>
    <w:p w:rsidR="00097559" w:rsidRPr="00D30167" w:rsidRDefault="00097559" w:rsidP="00097559">
      <w:pPr>
        <w:pStyle w:val="Default"/>
        <w:spacing w:after="120"/>
        <w:ind w:left="709"/>
        <w:rPr>
          <w:color w:val="4F6228"/>
          <w:sz w:val="28"/>
          <w:szCs w:val="28"/>
        </w:rPr>
      </w:pPr>
      <w:r w:rsidRPr="00D30167">
        <w:rPr>
          <w:b/>
          <w:bCs/>
          <w:color w:val="4F6228"/>
          <w:sz w:val="28"/>
          <w:szCs w:val="28"/>
        </w:rPr>
        <w:t xml:space="preserve"> “An economic powerhouse driven by the transformation of Stoke-on-Trent into a truly competitive and inspiring Core City and by accelerated growth in our County Corridors and urban cent</w:t>
      </w:r>
      <w:r>
        <w:rPr>
          <w:b/>
          <w:bCs/>
          <w:color w:val="4F6228"/>
          <w:sz w:val="28"/>
          <w:szCs w:val="28"/>
        </w:rPr>
        <w:t>res</w:t>
      </w:r>
      <w:r w:rsidRPr="00D30167">
        <w:rPr>
          <w:b/>
          <w:bCs/>
          <w:color w:val="4F6228"/>
          <w:sz w:val="28"/>
          <w:szCs w:val="28"/>
        </w:rPr>
        <w:t>”</w:t>
      </w:r>
      <w:r>
        <w:rPr>
          <w:b/>
          <w:bCs/>
          <w:color w:val="4F6228"/>
          <w:sz w:val="28"/>
          <w:szCs w:val="28"/>
        </w:rPr>
        <w:t>.</w:t>
      </w:r>
    </w:p>
    <w:p w:rsidR="00097559" w:rsidRDefault="00097559" w:rsidP="00097559">
      <w:pPr>
        <w:pStyle w:val="Default"/>
        <w:spacing w:after="120"/>
        <w:ind w:left="709"/>
        <w:rPr>
          <w:rFonts w:ascii="Calibri" w:hAnsi="Calibri" w:cs="Calibri"/>
          <w:sz w:val="22"/>
          <w:szCs w:val="22"/>
        </w:rPr>
      </w:pPr>
      <w:r>
        <w:rPr>
          <w:rFonts w:ascii="Calibri" w:hAnsi="Calibri" w:cs="Calibri"/>
          <w:sz w:val="22"/>
          <w:szCs w:val="22"/>
        </w:rPr>
        <w:t xml:space="preserve">Our aim is to dominate the space between a number of the UK’s largest urban areas, by connecting growth sectors, an offer of super-connectivity and compelling sites, supplying higher skilled labour and exploiting our indigenous energy potential. Our ambition is to sustainably drive: </w:t>
      </w:r>
    </w:p>
    <w:p w:rsidR="00097559" w:rsidRDefault="00097559" w:rsidP="00097559">
      <w:pPr>
        <w:pStyle w:val="Default"/>
        <w:spacing w:after="120"/>
        <w:ind w:left="709"/>
        <w:rPr>
          <w:rFonts w:ascii="Calibri" w:hAnsi="Calibri" w:cs="Calibri"/>
          <w:sz w:val="22"/>
          <w:szCs w:val="22"/>
        </w:rPr>
      </w:pPr>
      <w:r>
        <w:rPr>
          <w:rFonts w:ascii="Wingdings" w:hAnsi="Wingdings" w:cs="Wingdings"/>
          <w:sz w:val="18"/>
          <w:szCs w:val="18"/>
        </w:rPr>
        <w:t></w:t>
      </w:r>
      <w:r>
        <w:rPr>
          <w:rFonts w:ascii="Wingdings" w:hAnsi="Wingdings" w:cs="Wingdings"/>
          <w:sz w:val="18"/>
          <w:szCs w:val="18"/>
        </w:rPr>
        <w:t></w:t>
      </w:r>
      <w:r>
        <w:rPr>
          <w:rFonts w:ascii="Calibri" w:hAnsi="Calibri" w:cs="Calibri"/>
          <w:sz w:val="22"/>
          <w:szCs w:val="22"/>
        </w:rPr>
        <w:t xml:space="preserve">rapid growth in Stoke-on-Trent and its contribution to the county and national economy </w:t>
      </w:r>
    </w:p>
    <w:p w:rsidR="00097559" w:rsidRDefault="00097559" w:rsidP="00097559">
      <w:pPr>
        <w:pStyle w:val="Default"/>
        <w:spacing w:after="120"/>
        <w:ind w:left="993" w:hanging="284"/>
        <w:rPr>
          <w:rFonts w:ascii="Calibri" w:hAnsi="Calibri" w:cs="Calibri"/>
          <w:sz w:val="22"/>
          <w:szCs w:val="22"/>
        </w:rPr>
      </w:pPr>
      <w:r>
        <w:rPr>
          <w:rFonts w:ascii="Wingdings" w:hAnsi="Wingdings" w:cs="Wingdings"/>
          <w:sz w:val="18"/>
          <w:szCs w:val="18"/>
        </w:rPr>
        <w:t></w:t>
      </w:r>
      <w:r>
        <w:rPr>
          <w:rFonts w:ascii="Wingdings" w:hAnsi="Wingdings" w:cs="Wingdings"/>
          <w:sz w:val="18"/>
          <w:szCs w:val="18"/>
        </w:rPr>
        <w:t></w:t>
      </w:r>
      <w:r>
        <w:rPr>
          <w:rFonts w:ascii="Calibri" w:hAnsi="Calibri" w:cs="Calibri"/>
          <w:sz w:val="22"/>
          <w:szCs w:val="22"/>
        </w:rPr>
        <w:t xml:space="preserve">development of the </w:t>
      </w:r>
      <w:proofErr w:type="spellStart"/>
      <w:r>
        <w:rPr>
          <w:rFonts w:ascii="Calibri" w:hAnsi="Calibri" w:cs="Calibri"/>
          <w:sz w:val="22"/>
          <w:szCs w:val="22"/>
        </w:rPr>
        <w:t>peri</w:t>
      </w:r>
      <w:proofErr w:type="spellEnd"/>
      <w:r>
        <w:rPr>
          <w:rFonts w:ascii="Calibri" w:hAnsi="Calibri" w:cs="Calibri"/>
          <w:sz w:val="22"/>
          <w:szCs w:val="22"/>
        </w:rPr>
        <w:t xml:space="preserve">-urban areas along the County’s key transport corridors that provide a strong, agile and competitive offer locally and nationally </w:t>
      </w:r>
    </w:p>
    <w:p w:rsidR="00097559" w:rsidRDefault="00097559" w:rsidP="00097559">
      <w:pPr>
        <w:pStyle w:val="Default"/>
        <w:spacing w:after="120"/>
        <w:ind w:left="709"/>
        <w:rPr>
          <w:rFonts w:ascii="Calibri" w:hAnsi="Calibri" w:cs="Calibri"/>
          <w:sz w:val="22"/>
          <w:szCs w:val="22"/>
        </w:rPr>
      </w:pPr>
      <w:r>
        <w:rPr>
          <w:rFonts w:ascii="Calibri" w:hAnsi="Calibri" w:cs="Calibri"/>
          <w:sz w:val="22"/>
          <w:szCs w:val="22"/>
        </w:rPr>
        <w:t xml:space="preserve">To do this we need a step change in the way we connect to neighbours, investors, customers and collaborators. The </w:t>
      </w:r>
      <w:r w:rsidR="009F10E7">
        <w:rPr>
          <w:rFonts w:ascii="Calibri" w:hAnsi="Calibri" w:cs="Calibri"/>
          <w:sz w:val="22"/>
          <w:szCs w:val="22"/>
        </w:rPr>
        <w:t>SSLEP</w:t>
      </w:r>
      <w:r>
        <w:rPr>
          <w:rFonts w:ascii="Calibri" w:hAnsi="Calibri" w:cs="Calibri"/>
          <w:sz w:val="22"/>
          <w:szCs w:val="22"/>
        </w:rPr>
        <w:t xml:space="preserve"> will need to maximise the opportunities presented by strategic infrastructure investments, including High Speed 2 phase 2. </w:t>
      </w:r>
    </w:p>
    <w:p w:rsidR="00097559" w:rsidRPr="00D30167" w:rsidRDefault="00097559" w:rsidP="00097559">
      <w:pPr>
        <w:pStyle w:val="Default"/>
        <w:spacing w:after="120"/>
        <w:ind w:left="709"/>
        <w:rPr>
          <w:color w:val="4F6228"/>
          <w:sz w:val="28"/>
          <w:szCs w:val="28"/>
        </w:rPr>
      </w:pPr>
      <w:r w:rsidRPr="00D30167">
        <w:rPr>
          <w:b/>
          <w:bCs/>
          <w:i/>
          <w:iCs/>
          <w:color w:val="4F6228"/>
          <w:sz w:val="28"/>
          <w:szCs w:val="28"/>
        </w:rPr>
        <w:t xml:space="preserve">50:50:10 </w:t>
      </w:r>
      <w:r>
        <w:rPr>
          <w:b/>
          <w:bCs/>
          <w:color w:val="4F6228"/>
          <w:sz w:val="28"/>
          <w:szCs w:val="28"/>
        </w:rPr>
        <w:t>–</w:t>
      </w:r>
      <w:r w:rsidRPr="00D30167">
        <w:rPr>
          <w:b/>
          <w:bCs/>
          <w:color w:val="4F6228"/>
          <w:sz w:val="28"/>
          <w:szCs w:val="28"/>
        </w:rPr>
        <w:t xml:space="preserve"> </w:t>
      </w:r>
      <w:r>
        <w:rPr>
          <w:b/>
          <w:bCs/>
          <w:color w:val="4F6228"/>
          <w:sz w:val="28"/>
          <w:szCs w:val="28"/>
        </w:rPr>
        <w:t>In 2011 we set a target</w:t>
      </w:r>
      <w:r w:rsidRPr="00D30167">
        <w:rPr>
          <w:b/>
          <w:bCs/>
          <w:color w:val="4F6228"/>
          <w:sz w:val="28"/>
          <w:szCs w:val="28"/>
        </w:rPr>
        <w:t xml:space="preserve"> to grow the economy by 50% and generate 50,000 new jobs </w:t>
      </w:r>
      <w:r>
        <w:rPr>
          <w:b/>
          <w:bCs/>
          <w:color w:val="4F6228"/>
          <w:sz w:val="28"/>
          <w:szCs w:val="28"/>
        </w:rPr>
        <w:t>by 2021</w:t>
      </w:r>
      <w:r w:rsidRPr="00D30167">
        <w:rPr>
          <w:b/>
          <w:bCs/>
          <w:color w:val="4F6228"/>
          <w:sz w:val="28"/>
          <w:szCs w:val="28"/>
        </w:rPr>
        <w:t>.</w:t>
      </w:r>
      <w:r>
        <w:rPr>
          <w:b/>
          <w:bCs/>
          <w:color w:val="4F6228"/>
          <w:sz w:val="28"/>
          <w:szCs w:val="28"/>
        </w:rPr>
        <w:t xml:space="preserve">  Whilst we are currently on target to deliver in excess of the 50,000 jobs created, we still have some work to do to meet our target for economic growth.</w:t>
      </w:r>
      <w:r w:rsidRPr="00D30167">
        <w:rPr>
          <w:b/>
          <w:bCs/>
          <w:color w:val="4F6228"/>
          <w:sz w:val="28"/>
          <w:szCs w:val="28"/>
        </w:rPr>
        <w:t xml:space="preserve"> </w:t>
      </w:r>
    </w:p>
    <w:p w:rsidR="00097559" w:rsidRPr="00BA5375" w:rsidRDefault="00097559" w:rsidP="00097559">
      <w:pPr>
        <w:pStyle w:val="Default"/>
        <w:spacing w:after="120"/>
        <w:ind w:left="709"/>
        <w:rPr>
          <w:b/>
          <w:sz w:val="23"/>
          <w:szCs w:val="23"/>
        </w:rPr>
      </w:pPr>
      <w:r w:rsidRPr="00BA5375">
        <w:rPr>
          <w:b/>
          <w:sz w:val="23"/>
          <w:szCs w:val="23"/>
        </w:rPr>
        <w:t xml:space="preserve">What Success Looks Like </w:t>
      </w:r>
    </w:p>
    <w:p w:rsidR="00097559" w:rsidRDefault="00097559" w:rsidP="00097559">
      <w:pPr>
        <w:pStyle w:val="Default"/>
        <w:spacing w:after="120"/>
        <w:ind w:left="709"/>
        <w:rPr>
          <w:rFonts w:ascii="Calibri" w:hAnsi="Calibri" w:cs="Calibri"/>
          <w:sz w:val="22"/>
          <w:szCs w:val="22"/>
        </w:rPr>
      </w:pPr>
      <w:r>
        <w:rPr>
          <w:rFonts w:ascii="Calibri" w:hAnsi="Calibri" w:cs="Calibri"/>
          <w:sz w:val="22"/>
          <w:szCs w:val="22"/>
        </w:rPr>
        <w:t xml:space="preserve">The diversity within our economy is one of our strengths. Although partners have agreed a set of clear priorities for investment we have set our sights on our number of landmark developments against which we can measure progress and success up to 2034: </w:t>
      </w:r>
    </w:p>
    <w:p w:rsidR="00097559" w:rsidRDefault="00097559" w:rsidP="00097559">
      <w:pPr>
        <w:pStyle w:val="Default"/>
        <w:spacing w:after="120"/>
        <w:ind w:left="709"/>
        <w:rPr>
          <w:rFonts w:ascii="Calibri" w:hAnsi="Calibri" w:cs="Calibri"/>
          <w:sz w:val="22"/>
          <w:szCs w:val="22"/>
        </w:rPr>
      </w:pPr>
      <w:r>
        <w:rPr>
          <w:rFonts w:ascii="Wingdings" w:hAnsi="Wingdings" w:cs="Wingdings"/>
          <w:sz w:val="18"/>
          <w:szCs w:val="18"/>
        </w:rPr>
        <w:t></w:t>
      </w:r>
      <w:r>
        <w:rPr>
          <w:rFonts w:ascii="Wingdings" w:hAnsi="Wingdings" w:cs="Wingdings"/>
          <w:sz w:val="18"/>
          <w:szCs w:val="18"/>
        </w:rPr>
        <w:t></w:t>
      </w:r>
      <w:r>
        <w:rPr>
          <w:rFonts w:ascii="Calibri" w:hAnsi="Calibri" w:cs="Calibri"/>
          <w:sz w:val="22"/>
          <w:szCs w:val="22"/>
        </w:rPr>
        <w:t xml:space="preserve">The City of Stoke On Trent rapidly grows into a </w:t>
      </w:r>
      <w:r>
        <w:rPr>
          <w:rFonts w:ascii="Calibri" w:hAnsi="Calibri" w:cs="Calibri"/>
          <w:b/>
          <w:bCs/>
          <w:sz w:val="22"/>
          <w:szCs w:val="22"/>
        </w:rPr>
        <w:t>Core UK City</w:t>
      </w:r>
      <w:r>
        <w:rPr>
          <w:rFonts w:ascii="Calibri" w:hAnsi="Calibri" w:cs="Calibri"/>
          <w:sz w:val="22"/>
          <w:szCs w:val="22"/>
        </w:rPr>
        <w:t xml:space="preserve">. </w:t>
      </w:r>
    </w:p>
    <w:p w:rsidR="00097559" w:rsidRDefault="00097559" w:rsidP="00097559">
      <w:pPr>
        <w:pStyle w:val="Default"/>
        <w:spacing w:after="120"/>
        <w:ind w:left="993" w:hanging="284"/>
        <w:rPr>
          <w:rFonts w:ascii="Calibri" w:hAnsi="Calibri" w:cs="Calibri"/>
          <w:sz w:val="22"/>
          <w:szCs w:val="22"/>
        </w:rPr>
      </w:pPr>
      <w:r>
        <w:rPr>
          <w:rFonts w:ascii="Wingdings" w:hAnsi="Wingdings" w:cs="Wingdings"/>
          <w:sz w:val="18"/>
          <w:szCs w:val="18"/>
        </w:rPr>
        <w:t></w:t>
      </w:r>
      <w:r>
        <w:rPr>
          <w:rFonts w:ascii="Wingdings" w:hAnsi="Wingdings" w:cs="Wingdings"/>
          <w:sz w:val="18"/>
          <w:szCs w:val="18"/>
        </w:rPr>
        <w:t></w:t>
      </w:r>
      <w:r>
        <w:rPr>
          <w:rFonts w:ascii="Calibri" w:hAnsi="Calibri" w:cs="Calibri"/>
          <w:sz w:val="22"/>
          <w:szCs w:val="22"/>
        </w:rPr>
        <w:t xml:space="preserve">A </w:t>
      </w:r>
      <w:r>
        <w:rPr>
          <w:rFonts w:ascii="Calibri" w:hAnsi="Calibri" w:cs="Calibri"/>
          <w:b/>
          <w:bCs/>
          <w:sz w:val="22"/>
          <w:szCs w:val="22"/>
        </w:rPr>
        <w:t xml:space="preserve">Connected County </w:t>
      </w:r>
      <w:r>
        <w:rPr>
          <w:rFonts w:ascii="Calibri" w:hAnsi="Calibri" w:cs="Calibri"/>
          <w:sz w:val="22"/>
          <w:szCs w:val="22"/>
        </w:rPr>
        <w:t xml:space="preserve">the aim is “super connectivity”, maximising the benefit of existing road, rail and air connections and future strategic infrastructure investments, including HS2 and other strategic rail investment, to benefit the whole area and maximise opportunities across the County’s key transport corridors . </w:t>
      </w:r>
    </w:p>
    <w:p w:rsidR="00097559" w:rsidRDefault="00097559" w:rsidP="00097559">
      <w:pPr>
        <w:pStyle w:val="Default"/>
        <w:numPr>
          <w:ilvl w:val="0"/>
          <w:numId w:val="21"/>
        </w:numPr>
        <w:spacing w:after="120"/>
        <w:ind w:left="993" w:hanging="284"/>
        <w:rPr>
          <w:rFonts w:ascii="Calibri" w:hAnsi="Calibri" w:cs="Calibri"/>
          <w:sz w:val="22"/>
          <w:szCs w:val="22"/>
        </w:rPr>
      </w:pPr>
      <w:r w:rsidRPr="00BA5375">
        <w:rPr>
          <w:rFonts w:ascii="Calibri" w:hAnsi="Calibri" w:cs="Calibri"/>
          <w:sz w:val="22"/>
          <w:szCs w:val="22"/>
        </w:rPr>
        <w:t>Powerhouse Central</w:t>
      </w:r>
      <w:r>
        <w:rPr>
          <w:rFonts w:ascii="Calibri" w:hAnsi="Calibri" w:cs="Calibri"/>
          <w:sz w:val="22"/>
          <w:szCs w:val="22"/>
        </w:rPr>
        <w:t xml:space="preserve">: Stoke on Trent &amp; Staffordshire internationally recognised as an investment destination and centre of expertise for indigenous energy. </w:t>
      </w:r>
    </w:p>
    <w:p w:rsidR="00097559" w:rsidRDefault="00097559" w:rsidP="00097559">
      <w:pPr>
        <w:pStyle w:val="Default"/>
        <w:spacing w:after="120"/>
        <w:ind w:left="993" w:right="324" w:hanging="284"/>
        <w:rPr>
          <w:rFonts w:ascii="Calibri" w:hAnsi="Calibri" w:cs="Calibri"/>
          <w:sz w:val="22"/>
          <w:szCs w:val="22"/>
        </w:rPr>
      </w:pPr>
      <w:r>
        <w:rPr>
          <w:rFonts w:ascii="Wingdings" w:hAnsi="Wingdings" w:cs="Wingdings"/>
          <w:sz w:val="18"/>
          <w:szCs w:val="18"/>
        </w:rPr>
        <w:t></w:t>
      </w:r>
      <w:r>
        <w:rPr>
          <w:rFonts w:ascii="Wingdings" w:hAnsi="Wingdings" w:cs="Wingdings"/>
          <w:sz w:val="18"/>
          <w:szCs w:val="18"/>
        </w:rPr>
        <w:t></w:t>
      </w:r>
      <w:r>
        <w:rPr>
          <w:rFonts w:ascii="Calibri" w:hAnsi="Calibri" w:cs="Calibri"/>
          <w:sz w:val="22"/>
          <w:szCs w:val="22"/>
        </w:rPr>
        <w:t xml:space="preserve">An internationally renowned </w:t>
      </w:r>
      <w:r>
        <w:rPr>
          <w:rFonts w:ascii="Calibri" w:hAnsi="Calibri" w:cs="Calibri"/>
          <w:b/>
          <w:bCs/>
          <w:sz w:val="22"/>
          <w:szCs w:val="22"/>
        </w:rPr>
        <w:t xml:space="preserve">Applied Materials Technology Centre </w:t>
      </w:r>
      <w:r>
        <w:rPr>
          <w:rFonts w:ascii="Calibri" w:hAnsi="Calibri" w:cs="Calibri"/>
          <w:sz w:val="22"/>
          <w:szCs w:val="22"/>
        </w:rPr>
        <w:t xml:space="preserve">for advanced research and innovation building on the expertise of </w:t>
      </w:r>
      <w:proofErr w:type="spellStart"/>
      <w:r>
        <w:rPr>
          <w:rFonts w:ascii="Calibri" w:hAnsi="Calibri" w:cs="Calibri"/>
          <w:sz w:val="22"/>
          <w:szCs w:val="22"/>
        </w:rPr>
        <w:t>Lucideon</w:t>
      </w:r>
      <w:proofErr w:type="spellEnd"/>
      <w:r>
        <w:rPr>
          <w:rFonts w:ascii="Calibri" w:hAnsi="Calibri" w:cs="Calibri"/>
          <w:sz w:val="22"/>
          <w:szCs w:val="22"/>
        </w:rPr>
        <w:t xml:space="preserve"> (formerly Ceram) and its ties to university and industry. </w:t>
      </w:r>
    </w:p>
    <w:p w:rsidR="00097559" w:rsidRDefault="00097559" w:rsidP="00097559">
      <w:pPr>
        <w:pStyle w:val="Default"/>
        <w:spacing w:after="120"/>
        <w:ind w:left="709"/>
        <w:rPr>
          <w:b/>
          <w:bCs/>
          <w:color w:val="4F6228"/>
          <w:sz w:val="36"/>
          <w:szCs w:val="36"/>
        </w:rPr>
      </w:pPr>
    </w:p>
    <w:p w:rsidR="00097559" w:rsidRDefault="00097559" w:rsidP="00097559">
      <w:pPr>
        <w:pStyle w:val="Default"/>
        <w:spacing w:after="120"/>
        <w:rPr>
          <w:b/>
          <w:bCs/>
          <w:color w:val="4F6228"/>
          <w:sz w:val="36"/>
          <w:szCs w:val="36"/>
        </w:rPr>
      </w:pPr>
    </w:p>
    <w:p w:rsidR="00097559" w:rsidRDefault="00097559" w:rsidP="00097559">
      <w:pPr>
        <w:pStyle w:val="Default"/>
        <w:spacing w:after="120"/>
        <w:rPr>
          <w:b/>
          <w:bCs/>
          <w:color w:val="4F6228"/>
          <w:sz w:val="36"/>
          <w:szCs w:val="36"/>
        </w:rPr>
      </w:pPr>
    </w:p>
    <w:p w:rsidR="00097559" w:rsidRDefault="00097559" w:rsidP="00097559">
      <w:pPr>
        <w:pStyle w:val="Default"/>
        <w:spacing w:after="120"/>
        <w:rPr>
          <w:b/>
          <w:bCs/>
          <w:color w:val="4F6228"/>
          <w:sz w:val="36"/>
          <w:szCs w:val="36"/>
        </w:rPr>
      </w:pPr>
    </w:p>
    <w:p w:rsidR="00097559" w:rsidRDefault="00097559" w:rsidP="00097559">
      <w:pPr>
        <w:pStyle w:val="Default"/>
        <w:spacing w:after="120"/>
        <w:rPr>
          <w:b/>
          <w:bCs/>
          <w:color w:val="4F6228"/>
          <w:sz w:val="36"/>
          <w:szCs w:val="36"/>
        </w:rPr>
      </w:pPr>
    </w:p>
    <w:p w:rsidR="00097559" w:rsidRDefault="00097559" w:rsidP="00097559">
      <w:pPr>
        <w:pStyle w:val="Default"/>
        <w:spacing w:after="120"/>
        <w:rPr>
          <w:b/>
          <w:bCs/>
          <w:color w:val="4F6228"/>
          <w:sz w:val="36"/>
          <w:szCs w:val="36"/>
        </w:rPr>
      </w:pPr>
    </w:p>
    <w:p w:rsidR="00097559" w:rsidRPr="00097559" w:rsidRDefault="00097559" w:rsidP="00097559">
      <w:pPr>
        <w:rPr>
          <w:b/>
          <w:sz w:val="24"/>
          <w:szCs w:val="24"/>
        </w:rPr>
      </w:pPr>
      <w:r>
        <w:rPr>
          <w:b/>
          <w:sz w:val="24"/>
          <w:szCs w:val="24"/>
        </w:rPr>
        <w:t>2.1</w:t>
      </w:r>
      <w:r w:rsidRPr="00097559">
        <w:rPr>
          <w:b/>
          <w:sz w:val="24"/>
          <w:szCs w:val="24"/>
        </w:rPr>
        <w:tab/>
        <w:t xml:space="preserve">Our Focus </w:t>
      </w:r>
    </w:p>
    <w:p w:rsidR="00097559" w:rsidRDefault="00097559" w:rsidP="00097559">
      <w:pPr>
        <w:pStyle w:val="Default"/>
        <w:spacing w:after="120"/>
        <w:ind w:left="709"/>
        <w:rPr>
          <w:rFonts w:ascii="Calibri" w:hAnsi="Calibri" w:cs="Calibri"/>
          <w:sz w:val="22"/>
          <w:szCs w:val="22"/>
        </w:rPr>
      </w:pPr>
      <w:r>
        <w:rPr>
          <w:rFonts w:ascii="Calibri" w:hAnsi="Calibri" w:cs="Calibri"/>
          <w:sz w:val="22"/>
          <w:szCs w:val="22"/>
        </w:rPr>
        <w:t>The future prosperity of the Stoke-on-Trent &amp; Staffordshire economy depends on growth and competitiveness within our business base. We are committed to ensuring our businesses grow, generate global customers, collaborate with suppliers, nurture new enterprise, drive innovation a</w:t>
      </w:r>
      <w:r w:rsidR="005D2385">
        <w:rPr>
          <w:rFonts w:ascii="Calibri" w:hAnsi="Calibri" w:cs="Calibri"/>
          <w:sz w:val="22"/>
          <w:szCs w:val="22"/>
        </w:rPr>
        <w:t>nd draw in investment. The hall</w:t>
      </w:r>
      <w:r>
        <w:rPr>
          <w:rFonts w:ascii="Calibri" w:hAnsi="Calibri" w:cs="Calibri"/>
          <w:sz w:val="22"/>
          <w:szCs w:val="22"/>
        </w:rPr>
        <w:t xml:space="preserve">marks of our Strategic Economic Plan are: </w:t>
      </w: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 xml:space="preserve">A Core City - </w:t>
      </w:r>
      <w:r>
        <w:rPr>
          <w:rFonts w:ascii="Calibri" w:hAnsi="Calibri" w:cs="Calibri"/>
          <w:color w:val="auto"/>
          <w:sz w:val="22"/>
          <w:szCs w:val="22"/>
        </w:rPr>
        <w:t xml:space="preserve">rapid, planned growth of the conurbation centred on the city of Stoke-on-Trent which would be a critical economic driver of the area spanning parts of Cheshire as well as Staffordshire, including through the development of a strong, competitive city centre brand offering the full mix of city centre uses. </w:t>
      </w: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Connected County</w:t>
      </w:r>
      <w:r>
        <w:rPr>
          <w:rFonts w:ascii="Calibri" w:hAnsi="Calibri" w:cs="Calibri"/>
          <w:color w:val="auto"/>
          <w:sz w:val="22"/>
          <w:szCs w:val="22"/>
        </w:rPr>
        <w:t xml:space="preserve">: our vital corridors across the </w:t>
      </w:r>
      <w:r w:rsidR="009F10E7">
        <w:rPr>
          <w:rFonts w:ascii="Calibri" w:hAnsi="Calibri" w:cs="Calibri"/>
          <w:color w:val="auto"/>
          <w:sz w:val="22"/>
          <w:szCs w:val="22"/>
        </w:rPr>
        <w:t>SSLEP</w:t>
      </w:r>
      <w:r>
        <w:rPr>
          <w:rFonts w:ascii="Calibri" w:hAnsi="Calibri" w:cs="Calibri"/>
          <w:color w:val="auto"/>
          <w:sz w:val="22"/>
          <w:szCs w:val="22"/>
        </w:rPr>
        <w:t xml:space="preserve"> area and out to wider national and international markets are vital to our patterns of trade, investment and work. Our plan puts great stake in creating “super connectivity” by securing strategic and local links which allow people, goods and ideas from within Stoke-On-Trent and Staffordshire to engage with new opportunities over our borders and across the globe, both physically and digitally. To do this we need a step change in the way we connect to neighbours, investors, customers and collaborators. The </w:t>
      </w:r>
      <w:r w:rsidR="009F10E7">
        <w:rPr>
          <w:rFonts w:ascii="Calibri" w:hAnsi="Calibri" w:cs="Calibri"/>
          <w:color w:val="auto"/>
          <w:sz w:val="22"/>
          <w:szCs w:val="22"/>
        </w:rPr>
        <w:t>SSLEP</w:t>
      </w:r>
      <w:r>
        <w:rPr>
          <w:rFonts w:ascii="Calibri" w:hAnsi="Calibri" w:cs="Calibri"/>
          <w:color w:val="auto"/>
          <w:sz w:val="22"/>
          <w:szCs w:val="22"/>
        </w:rPr>
        <w:t xml:space="preserve"> will need to maximise the opportunities presented by strategic infrastructure investments, including High Speed 2 phase 2. In addition to securing improved strategic access to the City of Stoke-on-Trent we have a Growth Triangle made up from the M6/West Coast Main Line (WMCL) Spine, the A5/M6 Toll Enterprise Belt and A38/A50 Eastern Links. The routes carve out a set of development corridors which link our strategic employment sites, enable further rapid economic growth in these </w:t>
      </w:r>
      <w:proofErr w:type="spellStart"/>
      <w:r>
        <w:rPr>
          <w:rFonts w:ascii="Calibri" w:hAnsi="Calibri" w:cs="Calibri"/>
          <w:color w:val="auto"/>
          <w:sz w:val="22"/>
          <w:szCs w:val="22"/>
        </w:rPr>
        <w:t>peri</w:t>
      </w:r>
      <w:proofErr w:type="spellEnd"/>
      <w:r>
        <w:rPr>
          <w:rFonts w:ascii="Calibri" w:hAnsi="Calibri" w:cs="Calibri"/>
          <w:color w:val="auto"/>
          <w:sz w:val="22"/>
          <w:szCs w:val="22"/>
        </w:rPr>
        <w:t xml:space="preserve">-urban areas and underpin our economic ties to the markets beyond our borders. </w:t>
      </w: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Urban Growth</w:t>
      </w:r>
      <w:r>
        <w:rPr>
          <w:rFonts w:ascii="Calibri" w:hAnsi="Calibri" w:cs="Calibri"/>
          <w:color w:val="auto"/>
          <w:sz w:val="22"/>
          <w:szCs w:val="22"/>
        </w:rPr>
        <w:t xml:space="preserve">: the future prosperity of the Stoke-on-Trent &amp; Staffordshire economy will also be dependent on growth in Stoke-on-Trent and the chain of strategic centres at Stafford, Burton, Cannock, Lichfield, Tamworth and Newcastle-under-Lyme. Business and housing growth in and around these centres will underpin our economic progress. We also recognise that opportunities lie in the major conurbations across our border towards Manchester, Liverpool and Derby, and significantly to the South into Birmingham and the Black Country. </w:t>
      </w:r>
    </w:p>
    <w:p w:rsidR="00097559" w:rsidRDefault="00097559" w:rsidP="00097559">
      <w:pPr>
        <w:pStyle w:val="Default"/>
        <w:spacing w:after="120"/>
        <w:ind w:left="709"/>
        <w:rPr>
          <w:rFonts w:ascii="Calibri" w:hAnsi="Calibri" w:cs="Calibri"/>
          <w:color w:val="auto"/>
          <w:sz w:val="22"/>
          <w:szCs w:val="22"/>
        </w:rPr>
      </w:pPr>
      <w:r>
        <w:rPr>
          <w:rFonts w:ascii="Calibri" w:hAnsi="Calibri" w:cs="Calibri"/>
          <w:color w:val="auto"/>
          <w:sz w:val="22"/>
          <w:szCs w:val="22"/>
        </w:rPr>
        <w:t xml:space="preserve">These priorities will be given greater traction if the area successfully maximises the benefits from all strategic transport infrastructure investment, including HS2 phase 2. </w:t>
      </w:r>
    </w:p>
    <w:p w:rsidR="00097559" w:rsidRDefault="00097559" w:rsidP="00097559">
      <w:pPr>
        <w:pStyle w:val="Default"/>
        <w:spacing w:after="120"/>
        <w:ind w:left="709"/>
        <w:rPr>
          <w:rFonts w:ascii="Calibri" w:hAnsi="Calibri" w:cs="Calibri"/>
          <w:color w:val="auto"/>
          <w:sz w:val="22"/>
          <w:szCs w:val="22"/>
        </w:rPr>
      </w:pPr>
      <w:r>
        <w:rPr>
          <w:rFonts w:ascii="Calibri" w:hAnsi="Calibri" w:cs="Calibri"/>
          <w:color w:val="auto"/>
          <w:sz w:val="22"/>
          <w:szCs w:val="22"/>
        </w:rPr>
        <w:t xml:space="preserve">The Stoke on Trent and Staffordshire area has a strong set of businesses with growth potential in key sectors which sit centre-stage in our plans for the future. Our business growth agenda is based on recognised strengths in key aspects of advanced manufacturing: </w:t>
      </w: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Energy Generation</w:t>
      </w:r>
      <w:r>
        <w:rPr>
          <w:rFonts w:ascii="Calibri" w:hAnsi="Calibri" w:cs="Calibri"/>
          <w:color w:val="auto"/>
          <w:sz w:val="22"/>
          <w:szCs w:val="22"/>
        </w:rPr>
        <w:t xml:space="preserve">: building on the long standing presence of Alstom in Stafford, ABB, Siemens Wind Power, GE Power Conversion and the sustainable energy programme centred around Stoke-on-Trent and beyond, to meet growing local and international demand by diversifying into geothermal, anaerobic digestion, biomass and energy-from-waste. </w:t>
      </w: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Auto-Aero</w:t>
      </w:r>
      <w:r>
        <w:rPr>
          <w:rFonts w:ascii="Calibri" w:hAnsi="Calibri" w:cs="Calibri"/>
          <w:color w:val="auto"/>
          <w:sz w:val="22"/>
          <w:szCs w:val="22"/>
        </w:rPr>
        <w:t xml:space="preserve">: capitalising on the supply-chain opportunities emerging from global businesses such as JCB, Michelin, Jaguar Land Rover, Moog, and </w:t>
      </w:r>
      <w:proofErr w:type="spellStart"/>
      <w:r>
        <w:rPr>
          <w:rFonts w:ascii="Calibri" w:hAnsi="Calibri" w:cs="Calibri"/>
          <w:color w:val="auto"/>
          <w:sz w:val="22"/>
          <w:szCs w:val="22"/>
        </w:rPr>
        <w:t>Zytek</w:t>
      </w:r>
      <w:proofErr w:type="spellEnd"/>
      <w:r>
        <w:rPr>
          <w:rFonts w:ascii="Calibri" w:hAnsi="Calibri" w:cs="Calibri"/>
          <w:color w:val="auto"/>
          <w:sz w:val="22"/>
          <w:szCs w:val="22"/>
        </w:rPr>
        <w:t xml:space="preserve"> in our area. </w:t>
      </w: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Medical Technologies</w:t>
      </w:r>
      <w:r>
        <w:rPr>
          <w:rFonts w:ascii="Calibri" w:hAnsi="Calibri" w:cs="Calibri"/>
          <w:color w:val="auto"/>
          <w:sz w:val="22"/>
          <w:szCs w:val="22"/>
        </w:rPr>
        <w:t xml:space="preserve">: in which Keele University and its Science Park are internationally recognised leaders. </w:t>
      </w:r>
    </w:p>
    <w:p w:rsidR="00097559" w:rsidRDefault="00097559" w:rsidP="00097559">
      <w:pPr>
        <w:pStyle w:val="Default"/>
        <w:spacing w:after="120"/>
        <w:ind w:left="993" w:hanging="284"/>
        <w:rPr>
          <w:rFonts w:ascii="Calibri" w:hAnsi="Calibri" w:cs="Calibri"/>
          <w:color w:val="auto"/>
          <w:sz w:val="22"/>
          <w:szCs w:val="22"/>
        </w:rPr>
      </w:pPr>
    </w:p>
    <w:p w:rsidR="00097559" w:rsidRDefault="00097559" w:rsidP="00097559">
      <w:pPr>
        <w:pStyle w:val="Default"/>
        <w:spacing w:after="120"/>
        <w:ind w:left="993" w:hanging="284"/>
        <w:rPr>
          <w:rFonts w:ascii="Calibri" w:hAnsi="Calibri" w:cs="Calibri"/>
          <w:color w:val="auto"/>
          <w:sz w:val="22"/>
          <w:szCs w:val="22"/>
        </w:rPr>
      </w:pPr>
    </w:p>
    <w:p w:rsidR="00097559" w:rsidRDefault="00097559" w:rsidP="00097559">
      <w:pPr>
        <w:pStyle w:val="Default"/>
        <w:spacing w:after="120"/>
        <w:ind w:left="993" w:hanging="284"/>
        <w:rPr>
          <w:rFonts w:ascii="Calibri" w:hAnsi="Calibri" w:cs="Calibri"/>
          <w:color w:val="auto"/>
          <w:sz w:val="22"/>
          <w:szCs w:val="22"/>
        </w:rPr>
      </w:pPr>
    </w:p>
    <w:p w:rsidR="00097559" w:rsidRDefault="00097559" w:rsidP="00097559">
      <w:pPr>
        <w:pStyle w:val="Default"/>
        <w:spacing w:after="120"/>
        <w:ind w:left="993" w:hanging="284"/>
        <w:rPr>
          <w:rFonts w:ascii="Calibri" w:hAnsi="Calibri" w:cs="Calibri"/>
          <w:color w:val="auto"/>
          <w:sz w:val="22"/>
          <w:szCs w:val="22"/>
        </w:rPr>
      </w:pP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Agri-Tech</w:t>
      </w:r>
      <w:r>
        <w:rPr>
          <w:rFonts w:ascii="Calibri" w:hAnsi="Calibri" w:cs="Calibri"/>
          <w:color w:val="auto"/>
          <w:sz w:val="22"/>
          <w:szCs w:val="22"/>
        </w:rPr>
        <w:t xml:space="preserve">: drawing on our agricultural back-drop and Harper Adams University on our border to capitalise on an increased global focus on food security and the agri-plant capacity at JCB. </w:t>
      </w:r>
    </w:p>
    <w:p w:rsidR="00097559" w:rsidRDefault="00097559" w:rsidP="00097559">
      <w:pPr>
        <w:pStyle w:val="Default"/>
        <w:spacing w:after="120"/>
        <w:ind w:left="993" w:hanging="284"/>
        <w:rPr>
          <w:rFonts w:ascii="Calibri" w:hAnsi="Calibri" w:cs="Calibri"/>
          <w:b/>
          <w:bCs/>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Applied Materials</w:t>
      </w:r>
      <w:r>
        <w:rPr>
          <w:rFonts w:ascii="Calibri" w:hAnsi="Calibri" w:cs="Calibri"/>
          <w:color w:val="auto"/>
          <w:sz w:val="22"/>
          <w:szCs w:val="22"/>
        </w:rPr>
        <w:t>: building upon our recognised heritage in metals and ceramics in both Stoke-on-Trent and Staffordshire to exploit opportunities in applied uses for polymers, ceramics, glasses and composites.</w:t>
      </w:r>
      <w:r>
        <w:rPr>
          <w:rFonts w:ascii="Calibri" w:hAnsi="Calibri" w:cs="Calibri"/>
          <w:b/>
          <w:bCs/>
          <w:color w:val="auto"/>
          <w:sz w:val="22"/>
          <w:szCs w:val="22"/>
        </w:rPr>
        <w:t xml:space="preserve"> </w:t>
      </w:r>
    </w:p>
    <w:p w:rsidR="00097559" w:rsidRDefault="00097559" w:rsidP="00097559">
      <w:pPr>
        <w:pStyle w:val="Default"/>
        <w:spacing w:after="120"/>
        <w:ind w:left="709"/>
        <w:rPr>
          <w:rFonts w:ascii="Calibri" w:hAnsi="Calibri" w:cs="Calibri"/>
          <w:color w:val="auto"/>
          <w:sz w:val="22"/>
          <w:szCs w:val="22"/>
        </w:rPr>
      </w:pPr>
      <w:r>
        <w:rPr>
          <w:rFonts w:ascii="Calibri" w:hAnsi="Calibri" w:cs="Calibri"/>
          <w:color w:val="auto"/>
          <w:sz w:val="22"/>
          <w:szCs w:val="22"/>
        </w:rPr>
        <w:t xml:space="preserve">These sectors each have recognised growth potential and can draw upon knowledge assets to sustain their competitiveness. Alongside this focus, we are committed to a diverse economy and supporting business growth across all our sectors, including local hot spots. Our focus on advanced manufacturing is complemented with a longer-term interest in strengthening the important [barometer] sectors of: </w:t>
      </w:r>
    </w:p>
    <w:p w:rsidR="00097559" w:rsidRDefault="00097559" w:rsidP="00097559">
      <w:pPr>
        <w:pStyle w:val="Default"/>
        <w:spacing w:after="120"/>
        <w:ind w:left="993" w:hanging="284"/>
        <w:rPr>
          <w:rFonts w:ascii="Calibri" w:hAnsi="Calibri" w:cs="Calibri"/>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Tourism</w:t>
      </w:r>
      <w:r>
        <w:rPr>
          <w:rFonts w:ascii="Calibri" w:hAnsi="Calibri" w:cs="Calibri"/>
          <w:color w:val="auto"/>
          <w:sz w:val="22"/>
          <w:szCs w:val="22"/>
        </w:rPr>
        <w:t xml:space="preserve">: national attractions such as Alton Towers and Drayton Manor book-end a series of offers which can draw in day visitors and help retain families living locally such as Cannock Chase, the National Forest, and the Peak District. </w:t>
      </w:r>
    </w:p>
    <w:p w:rsidR="00097559" w:rsidRDefault="00097559" w:rsidP="00097559">
      <w:pPr>
        <w:pStyle w:val="Default"/>
        <w:spacing w:after="120"/>
        <w:ind w:left="993" w:hanging="284"/>
        <w:rPr>
          <w:rFonts w:ascii="Calibri" w:hAnsi="Calibri" w:cs="Calibri"/>
          <w:sz w:val="22"/>
          <w:szCs w:val="22"/>
        </w:rPr>
      </w:pPr>
      <w:r>
        <w:rPr>
          <w:rFonts w:ascii="Wingdings" w:hAnsi="Wingdings" w:cs="Wingdings"/>
          <w:color w:val="auto"/>
          <w:sz w:val="18"/>
          <w:szCs w:val="18"/>
        </w:rPr>
        <w:t></w:t>
      </w:r>
      <w:r>
        <w:rPr>
          <w:rFonts w:ascii="Wingdings" w:hAnsi="Wingdings" w:cs="Wingdings"/>
          <w:color w:val="auto"/>
          <w:sz w:val="18"/>
          <w:szCs w:val="18"/>
        </w:rPr>
        <w:t></w:t>
      </w:r>
      <w:r>
        <w:rPr>
          <w:rFonts w:ascii="Calibri" w:hAnsi="Calibri" w:cs="Calibri"/>
          <w:b/>
          <w:bCs/>
          <w:color w:val="auto"/>
          <w:sz w:val="22"/>
          <w:szCs w:val="22"/>
        </w:rPr>
        <w:t>Business/Professional Services</w:t>
      </w:r>
      <w:r>
        <w:rPr>
          <w:rFonts w:ascii="Calibri" w:hAnsi="Calibri" w:cs="Calibri"/>
          <w:color w:val="auto"/>
          <w:sz w:val="22"/>
          <w:szCs w:val="22"/>
        </w:rPr>
        <w:t xml:space="preserve">: the growth ambitions for our urban centres, and in Stoke-on-Trent in particular (including by creating a new central business district with a strong professional services offer), will draw in a growing base of professionals looking to support our indigenous businesses and capitalise on our excellent connectivity North to Liverpool &amp; Manchester and South to Birmingham &amp; London. </w:t>
      </w:r>
      <w:r>
        <w:rPr>
          <w:rFonts w:ascii="Calibri" w:hAnsi="Calibri" w:cs="Calibri"/>
          <w:sz w:val="22"/>
          <w:szCs w:val="22"/>
        </w:rPr>
        <w:t>Figure 1.1: Our Strategic Framework</w:t>
      </w:r>
    </w:p>
    <w:p w:rsidR="00097559" w:rsidRDefault="00097559" w:rsidP="00097559">
      <w:pPr>
        <w:pStyle w:val="Default"/>
        <w:spacing w:after="120"/>
        <w:ind w:left="993" w:hanging="284"/>
      </w:pPr>
      <w:r>
        <w:rPr>
          <w:rFonts w:ascii="Calibri" w:hAnsi="Calibri" w:cs="Calibri"/>
          <w:sz w:val="22"/>
          <w:szCs w:val="22"/>
        </w:rPr>
        <w:t>The full documents can be found here</w:t>
      </w:r>
      <w:r w:rsidR="00925A42">
        <w:rPr>
          <w:rFonts w:ascii="Calibri" w:hAnsi="Calibri" w:cs="Calibri"/>
          <w:sz w:val="22"/>
          <w:szCs w:val="22"/>
        </w:rPr>
        <w:t xml:space="preserve">: </w:t>
      </w:r>
      <w:hyperlink r:id="rId11" w:history="1">
        <w:r w:rsidR="00925A42" w:rsidRPr="004F72C1">
          <w:rPr>
            <w:rStyle w:val="Hyperlink"/>
            <w:rFonts w:ascii="Calibri" w:hAnsi="Calibri" w:cs="Calibri"/>
            <w:sz w:val="22"/>
            <w:szCs w:val="22"/>
          </w:rPr>
          <w:t>https://www.stokestaffslep.org.uk/app/uploads/2014/04/140404-Stoke-and-Staffs-Economic-Plan-Part-1-Strategy-Website.pdf</w:t>
        </w:r>
      </w:hyperlink>
      <w:r w:rsidR="00925A42">
        <w:rPr>
          <w:rFonts w:ascii="Calibri" w:hAnsi="Calibri" w:cs="Calibri"/>
          <w:sz w:val="22"/>
          <w:szCs w:val="22"/>
        </w:rPr>
        <w:t xml:space="preserve"> </w:t>
      </w:r>
      <w:r>
        <w:rPr>
          <w:rFonts w:ascii="Calibri" w:hAnsi="Calibri" w:cs="Calibri"/>
          <w:sz w:val="22"/>
          <w:szCs w:val="22"/>
        </w:rPr>
        <w:t xml:space="preserve"> or the </w:t>
      </w:r>
      <w:r w:rsidR="00925A42">
        <w:t xml:space="preserve">Summary: </w:t>
      </w:r>
      <w:hyperlink r:id="rId12" w:history="1">
        <w:r w:rsidR="00925A42" w:rsidRPr="004F72C1">
          <w:rPr>
            <w:rStyle w:val="Hyperlink"/>
          </w:rPr>
          <w:t>https://www.stokestaffslep.org.uk/app/uploads/2014/07/140708-Stoke-and-Staffs-Economic-Plan-Summary.pdf</w:t>
        </w:r>
      </w:hyperlink>
    </w:p>
    <w:p w:rsidR="00925A42" w:rsidRDefault="00925A42" w:rsidP="00097559">
      <w:pPr>
        <w:pStyle w:val="Default"/>
        <w:spacing w:after="120"/>
        <w:ind w:left="993" w:hanging="284"/>
        <w:rPr>
          <w:rStyle w:val="Hyperlink"/>
          <w:rFonts w:ascii="Calibri" w:hAnsi="Calibri" w:cs="Calibri"/>
          <w:sz w:val="22"/>
          <w:szCs w:val="22"/>
        </w:rPr>
      </w:pPr>
    </w:p>
    <w:p w:rsidR="00097559" w:rsidRDefault="00097559" w:rsidP="00097559">
      <w:pPr>
        <w:pStyle w:val="Default"/>
        <w:spacing w:after="120"/>
        <w:ind w:left="993" w:hanging="284"/>
        <w:rPr>
          <w:rFonts w:ascii="Calibri" w:hAnsi="Calibri" w:cs="Calibri"/>
          <w:sz w:val="22"/>
          <w:szCs w:val="22"/>
        </w:rPr>
      </w:pPr>
    </w:p>
    <w:p w:rsidR="00097559" w:rsidRDefault="00097559" w:rsidP="00097559">
      <w:pPr>
        <w:tabs>
          <w:tab w:val="left" w:pos="940"/>
        </w:tabs>
        <w:spacing w:before="120"/>
        <w:ind w:left="220"/>
        <w:rPr>
          <w:b/>
          <w:sz w:val="24"/>
        </w:rPr>
      </w:pPr>
    </w:p>
    <w:p w:rsidR="00BE5C0D" w:rsidRPr="00782373" w:rsidRDefault="00A17689" w:rsidP="00782373">
      <w:pPr>
        <w:pStyle w:val="ListParagraph"/>
        <w:numPr>
          <w:ilvl w:val="0"/>
          <w:numId w:val="10"/>
        </w:numPr>
        <w:tabs>
          <w:tab w:val="left" w:pos="581"/>
        </w:tabs>
        <w:spacing w:before="77"/>
        <w:rPr>
          <w:b/>
          <w:sz w:val="36"/>
        </w:rPr>
      </w:pPr>
      <w:r w:rsidRPr="00782373">
        <w:rPr>
          <w:b/>
          <w:sz w:val="36"/>
        </w:rPr>
        <w:t>Call Context</w:t>
      </w:r>
    </w:p>
    <w:p w:rsidR="00BE5C0D" w:rsidRDefault="00AC3C84" w:rsidP="00BA5375">
      <w:pPr>
        <w:pStyle w:val="BodyText"/>
        <w:spacing w:before="200" w:line="276" w:lineRule="auto"/>
        <w:ind w:right="479"/>
      </w:pPr>
      <w:r>
        <w:t xml:space="preserve">Any application for </w:t>
      </w:r>
      <w:r w:rsidR="00A17689">
        <w:t xml:space="preserve">funding will be required to clearly demonstrate that it provides good value for money and supports </w:t>
      </w:r>
      <w:r w:rsidR="00097559">
        <w:t>MH</w:t>
      </w:r>
      <w:r w:rsidR="00AB0D49">
        <w:t xml:space="preserve">CLG reportable outputs and </w:t>
      </w:r>
      <w:r w:rsidR="00097559">
        <w:t>SS</w:t>
      </w:r>
      <w:r w:rsidR="009F10E7">
        <w:t>LEP</w:t>
      </w:r>
      <w:r w:rsidR="00AB0D49">
        <w:t xml:space="preserve"> priorities</w:t>
      </w:r>
      <w:r w:rsidR="002D0F69">
        <w:t xml:space="preserve"> as detailed in Section </w:t>
      </w:r>
      <w:r w:rsidR="00097559">
        <w:t>4</w:t>
      </w:r>
      <w:r w:rsidR="00A17689">
        <w:t>.</w:t>
      </w:r>
    </w:p>
    <w:p w:rsidR="00BE5C0D" w:rsidRDefault="00A17689" w:rsidP="00BA5375">
      <w:pPr>
        <w:pStyle w:val="BodyText"/>
        <w:spacing w:before="203" w:line="276" w:lineRule="auto"/>
        <w:ind w:right="665"/>
      </w:pPr>
      <w:r>
        <w:t xml:space="preserve">Applicants are advised to familiarise themselves with the detail of the </w:t>
      </w:r>
      <w:r w:rsidR="002D0F69">
        <w:t>Stoke on Trent and Staffordshire Enterprise Partnership Strategic Economic Plan Strategy</w:t>
      </w:r>
      <w:r>
        <w:t xml:space="preserve"> </w:t>
      </w:r>
      <w:r>
        <w:rPr>
          <w:b/>
          <w:i/>
        </w:rPr>
        <w:t xml:space="preserve">prior to </w:t>
      </w:r>
      <w:r>
        <w:t>submitting an outline application.</w:t>
      </w:r>
    </w:p>
    <w:p w:rsidR="00BA5375" w:rsidRDefault="00BA5375" w:rsidP="00BA5375">
      <w:pPr>
        <w:ind w:left="220"/>
      </w:pPr>
      <w:r>
        <w:t xml:space="preserve">Further information can be found on the </w:t>
      </w:r>
      <w:r w:rsidR="009F10E7">
        <w:t>SSLEP</w:t>
      </w:r>
      <w:r>
        <w:t xml:space="preserve"> website:</w:t>
      </w:r>
    </w:p>
    <w:p w:rsidR="00BA5375" w:rsidRDefault="00925A42" w:rsidP="00BA5375">
      <w:pPr>
        <w:ind w:left="220"/>
        <w:rPr>
          <w:rStyle w:val="Hyperlink"/>
        </w:rPr>
      </w:pPr>
      <w:r w:rsidRPr="00925A42">
        <w:rPr>
          <w:rStyle w:val="Hyperlink"/>
        </w:rPr>
        <w:t>https://www.stokestaffslep.org.uk/</w:t>
      </w:r>
    </w:p>
    <w:p w:rsidR="00782373" w:rsidRDefault="00782373">
      <w:pPr>
        <w:pStyle w:val="BodyText"/>
        <w:spacing w:before="203" w:line="276" w:lineRule="auto"/>
        <w:ind w:right="665"/>
      </w:pPr>
    </w:p>
    <w:p w:rsidR="00097559" w:rsidRDefault="00097559">
      <w:pPr>
        <w:pStyle w:val="BodyText"/>
        <w:spacing w:before="203" w:line="276" w:lineRule="auto"/>
        <w:ind w:right="665"/>
      </w:pPr>
    </w:p>
    <w:p w:rsidR="00097559" w:rsidRDefault="00097559">
      <w:pPr>
        <w:pStyle w:val="BodyText"/>
        <w:spacing w:before="203" w:line="276" w:lineRule="auto"/>
        <w:ind w:right="665"/>
      </w:pPr>
    </w:p>
    <w:p w:rsidR="00097559" w:rsidRDefault="00097559">
      <w:pPr>
        <w:pStyle w:val="BodyText"/>
        <w:spacing w:before="203" w:line="276" w:lineRule="auto"/>
        <w:ind w:right="665"/>
      </w:pPr>
    </w:p>
    <w:p w:rsidR="00097559" w:rsidRDefault="00097559">
      <w:pPr>
        <w:pStyle w:val="BodyText"/>
        <w:spacing w:before="203" w:line="276" w:lineRule="auto"/>
        <w:ind w:right="665"/>
      </w:pPr>
    </w:p>
    <w:p w:rsidR="00097559" w:rsidRDefault="00097559">
      <w:pPr>
        <w:pStyle w:val="BodyText"/>
        <w:spacing w:before="203" w:line="276" w:lineRule="auto"/>
        <w:ind w:right="665"/>
      </w:pPr>
    </w:p>
    <w:p w:rsidR="009F10E7" w:rsidRDefault="009F10E7">
      <w:pPr>
        <w:pStyle w:val="BodyText"/>
        <w:spacing w:before="203" w:line="276" w:lineRule="auto"/>
        <w:ind w:right="665"/>
      </w:pPr>
    </w:p>
    <w:p w:rsidR="00BE5C0D" w:rsidRPr="00782373" w:rsidRDefault="00A17689" w:rsidP="00782373">
      <w:pPr>
        <w:pStyle w:val="ListParagraph"/>
        <w:numPr>
          <w:ilvl w:val="0"/>
          <w:numId w:val="10"/>
        </w:numPr>
        <w:tabs>
          <w:tab w:val="left" w:pos="581"/>
        </w:tabs>
        <w:spacing w:before="77"/>
        <w:rPr>
          <w:b/>
          <w:sz w:val="36"/>
        </w:rPr>
      </w:pPr>
      <w:r w:rsidRPr="00782373">
        <w:rPr>
          <w:b/>
          <w:sz w:val="36"/>
        </w:rPr>
        <w:t>Scope of the Call</w:t>
      </w:r>
    </w:p>
    <w:p w:rsidR="00BE5C0D" w:rsidRDefault="00BE5C0D">
      <w:pPr>
        <w:pStyle w:val="BodyText"/>
        <w:spacing w:before="8"/>
        <w:ind w:left="0"/>
        <w:rPr>
          <w:b/>
          <w:sz w:val="20"/>
        </w:rPr>
      </w:pPr>
    </w:p>
    <w:p w:rsidR="009F10E7" w:rsidRDefault="009F10E7">
      <w:pPr>
        <w:pStyle w:val="BodyText"/>
        <w:spacing w:before="8"/>
        <w:ind w:left="0"/>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BE5C0D" w:rsidTr="0013058D">
        <w:trPr>
          <w:trHeight w:val="2259"/>
        </w:trPr>
        <w:tc>
          <w:tcPr>
            <w:tcW w:w="2804" w:type="dxa"/>
            <w:tcBorders>
              <w:left w:val="single" w:sz="6" w:space="0" w:color="000000"/>
            </w:tcBorders>
          </w:tcPr>
          <w:p w:rsidR="00BE5C0D" w:rsidRDefault="00A17689">
            <w:pPr>
              <w:pStyle w:val="TableParagraph"/>
              <w:spacing w:before="79" w:line="237" w:lineRule="auto"/>
              <w:ind w:left="105" w:right="973"/>
              <w:rPr>
                <w:b/>
                <w:sz w:val="24"/>
              </w:rPr>
            </w:pPr>
            <w:r>
              <w:rPr>
                <w:b/>
                <w:sz w:val="24"/>
              </w:rPr>
              <w:t>Indicative fund allocation:</w:t>
            </w:r>
          </w:p>
        </w:tc>
        <w:tc>
          <w:tcPr>
            <w:tcW w:w="6440" w:type="dxa"/>
          </w:tcPr>
          <w:p w:rsidR="00BE5C0D" w:rsidRDefault="0013058D" w:rsidP="004A21D9">
            <w:pPr>
              <w:pStyle w:val="TableParagraph"/>
              <w:spacing w:before="77"/>
              <w:ind w:left="105" w:right="234"/>
              <w:rPr>
                <w:sz w:val="24"/>
              </w:rPr>
            </w:pPr>
            <w:r>
              <w:rPr>
                <w:sz w:val="24"/>
              </w:rPr>
              <w:t>T</w:t>
            </w:r>
            <w:r w:rsidR="00A17689">
              <w:rPr>
                <w:sz w:val="24"/>
              </w:rPr>
              <w:t xml:space="preserve">hrough </w:t>
            </w:r>
            <w:r>
              <w:rPr>
                <w:sz w:val="24"/>
              </w:rPr>
              <w:t xml:space="preserve">this call the </w:t>
            </w:r>
            <w:r w:rsidR="00097559">
              <w:rPr>
                <w:sz w:val="24"/>
              </w:rPr>
              <w:t>Growing Places Fund manager</w:t>
            </w:r>
            <w:r>
              <w:rPr>
                <w:sz w:val="24"/>
              </w:rPr>
              <w:t xml:space="preserve"> (Staffordshire County Council on behalf of the Stoke on Trent and Staffordshire </w:t>
            </w:r>
            <w:r w:rsidR="009F10E7">
              <w:rPr>
                <w:sz w:val="24"/>
              </w:rPr>
              <w:t>SSLEP</w:t>
            </w:r>
            <w:r>
              <w:rPr>
                <w:sz w:val="24"/>
              </w:rPr>
              <w:t>) expect to allocate up to £1</w:t>
            </w:r>
            <w:r w:rsidR="00A17689">
              <w:rPr>
                <w:sz w:val="24"/>
              </w:rPr>
              <w:t xml:space="preserve">,000,000 </w:t>
            </w:r>
            <w:r>
              <w:rPr>
                <w:sz w:val="24"/>
              </w:rPr>
              <w:t>in interest free loans (subject to qualifying criteria).</w:t>
            </w:r>
          </w:p>
          <w:p w:rsidR="00BE5C0D" w:rsidRDefault="0013058D" w:rsidP="004A21D9">
            <w:pPr>
              <w:pStyle w:val="TableParagraph"/>
              <w:spacing w:before="118"/>
              <w:ind w:left="105" w:right="88"/>
              <w:rPr>
                <w:sz w:val="24"/>
              </w:rPr>
            </w:pPr>
            <w:r>
              <w:rPr>
                <w:sz w:val="24"/>
              </w:rPr>
              <w:t>There is no upper limit to the amount of loan that can be allocated, this will be subject to a number of criteria including demand, value for money etc</w:t>
            </w:r>
            <w:r w:rsidR="00A17689">
              <w:rPr>
                <w:sz w:val="24"/>
              </w:rPr>
              <w:t>.</w:t>
            </w:r>
          </w:p>
        </w:tc>
      </w:tr>
      <w:tr w:rsidR="00BE5C0D">
        <w:trPr>
          <w:trHeight w:val="753"/>
        </w:trPr>
        <w:tc>
          <w:tcPr>
            <w:tcW w:w="2804" w:type="dxa"/>
            <w:tcBorders>
              <w:left w:val="single" w:sz="6" w:space="0" w:color="000000"/>
            </w:tcBorders>
          </w:tcPr>
          <w:p w:rsidR="00BE5C0D" w:rsidRDefault="00A17689">
            <w:pPr>
              <w:pStyle w:val="TableParagraph"/>
              <w:spacing w:before="81" w:line="237" w:lineRule="auto"/>
              <w:ind w:left="105" w:right="279"/>
              <w:rPr>
                <w:b/>
                <w:sz w:val="24"/>
              </w:rPr>
            </w:pPr>
            <w:r>
              <w:rPr>
                <w:b/>
                <w:sz w:val="24"/>
              </w:rPr>
              <w:t>Minimum application level</w:t>
            </w:r>
          </w:p>
        </w:tc>
        <w:tc>
          <w:tcPr>
            <w:tcW w:w="6440" w:type="dxa"/>
          </w:tcPr>
          <w:p w:rsidR="00BE5C0D" w:rsidRDefault="00A17689" w:rsidP="004A21D9">
            <w:pPr>
              <w:pStyle w:val="TableParagraph"/>
              <w:spacing w:before="81" w:line="237" w:lineRule="auto"/>
              <w:ind w:left="105" w:right="1116"/>
              <w:rPr>
                <w:sz w:val="24"/>
              </w:rPr>
            </w:pPr>
            <w:r>
              <w:rPr>
                <w:sz w:val="24"/>
              </w:rPr>
              <w:t>The minimum application value for this Call is £50,000.</w:t>
            </w:r>
          </w:p>
        </w:tc>
      </w:tr>
      <w:tr w:rsidR="00BE5C0D">
        <w:trPr>
          <w:trHeight w:val="1303"/>
        </w:trPr>
        <w:tc>
          <w:tcPr>
            <w:tcW w:w="2804" w:type="dxa"/>
            <w:tcBorders>
              <w:left w:val="single" w:sz="6" w:space="0" w:color="000000"/>
            </w:tcBorders>
          </w:tcPr>
          <w:p w:rsidR="00BE5C0D" w:rsidRDefault="00A17689">
            <w:pPr>
              <w:pStyle w:val="TableParagraph"/>
              <w:spacing w:before="77"/>
              <w:ind w:left="105" w:right="519"/>
              <w:rPr>
                <w:b/>
                <w:sz w:val="24"/>
              </w:rPr>
            </w:pPr>
            <w:r>
              <w:rPr>
                <w:b/>
                <w:sz w:val="24"/>
              </w:rPr>
              <w:t>Duration of project activity</w:t>
            </w:r>
          </w:p>
        </w:tc>
        <w:tc>
          <w:tcPr>
            <w:tcW w:w="6440" w:type="dxa"/>
          </w:tcPr>
          <w:p w:rsidR="00BE5C0D" w:rsidRDefault="0013058D" w:rsidP="004A21D9">
            <w:pPr>
              <w:pStyle w:val="TableParagraph"/>
              <w:spacing w:before="77"/>
              <w:ind w:left="105" w:right="168"/>
              <w:rPr>
                <w:sz w:val="24"/>
              </w:rPr>
            </w:pPr>
            <w:r>
              <w:rPr>
                <w:sz w:val="24"/>
              </w:rPr>
              <w:t>Where a delivery period extends beyond the 2 year interest free loan repayment period, interest will be charged at commercial rates and as per the Funding Agreement issued to the beneficiary.</w:t>
            </w:r>
          </w:p>
        </w:tc>
      </w:tr>
      <w:tr w:rsidR="00BE5C0D" w:rsidTr="00BA5375">
        <w:trPr>
          <w:trHeight w:val="1453"/>
        </w:trPr>
        <w:tc>
          <w:tcPr>
            <w:tcW w:w="2804" w:type="dxa"/>
            <w:tcBorders>
              <w:left w:val="single" w:sz="6" w:space="0" w:color="000000"/>
            </w:tcBorders>
          </w:tcPr>
          <w:p w:rsidR="00BE5C0D" w:rsidRPr="0013058D" w:rsidRDefault="00A17689">
            <w:pPr>
              <w:pStyle w:val="TableParagraph"/>
              <w:spacing w:before="77"/>
              <w:ind w:left="105"/>
              <w:rPr>
                <w:sz w:val="24"/>
              </w:rPr>
            </w:pPr>
            <w:r w:rsidRPr="0013058D">
              <w:rPr>
                <w:b/>
                <w:sz w:val="24"/>
              </w:rPr>
              <w:t>Geographical Scope</w:t>
            </w:r>
          </w:p>
        </w:tc>
        <w:tc>
          <w:tcPr>
            <w:tcW w:w="6440" w:type="dxa"/>
          </w:tcPr>
          <w:p w:rsidR="0013058D" w:rsidRPr="0013058D" w:rsidRDefault="0013058D" w:rsidP="004A21D9">
            <w:pPr>
              <w:ind w:left="105"/>
              <w:rPr>
                <w:sz w:val="24"/>
              </w:rPr>
            </w:pPr>
            <w:r>
              <w:rPr>
                <w:sz w:val="24"/>
              </w:rPr>
              <w:t xml:space="preserve">Eligible projects must be located in the Stoke on Trent and Staffordshire </w:t>
            </w:r>
            <w:r w:rsidR="009F10E7">
              <w:rPr>
                <w:sz w:val="24"/>
              </w:rPr>
              <w:t>SSLEP</w:t>
            </w:r>
            <w:r>
              <w:rPr>
                <w:sz w:val="24"/>
              </w:rPr>
              <w:t xml:space="preserve"> area</w:t>
            </w:r>
            <w:r w:rsidR="00A17689">
              <w:rPr>
                <w:sz w:val="24"/>
              </w:rPr>
              <w:t>.</w:t>
            </w:r>
            <w:r w:rsidRPr="0013058D">
              <w:rPr>
                <w:sz w:val="24"/>
              </w:rPr>
              <w:t xml:space="preserve"> Further information can be found on the </w:t>
            </w:r>
            <w:r w:rsidR="009F10E7">
              <w:rPr>
                <w:sz w:val="24"/>
              </w:rPr>
              <w:t>SSLEP</w:t>
            </w:r>
            <w:r w:rsidRPr="0013058D">
              <w:rPr>
                <w:sz w:val="24"/>
              </w:rPr>
              <w:t xml:space="preserve"> website:</w:t>
            </w:r>
          </w:p>
          <w:p w:rsidR="00BE5C0D" w:rsidRDefault="00925A42" w:rsidP="004A21D9">
            <w:pPr>
              <w:ind w:left="105"/>
              <w:rPr>
                <w:sz w:val="24"/>
              </w:rPr>
            </w:pPr>
            <w:hyperlink r:id="rId13" w:history="1">
              <w:r w:rsidRPr="004F72C1">
                <w:rPr>
                  <w:rStyle w:val="Hyperlink"/>
                  <w:sz w:val="24"/>
                </w:rPr>
                <w:t>https://www.stokestaffslep.org.uk/</w:t>
              </w:r>
            </w:hyperlink>
            <w:r>
              <w:rPr>
                <w:sz w:val="24"/>
              </w:rPr>
              <w:t xml:space="preserve"> </w:t>
            </w:r>
            <w:bookmarkStart w:id="0" w:name="_GoBack"/>
            <w:bookmarkEnd w:id="0"/>
          </w:p>
        </w:tc>
      </w:tr>
      <w:tr w:rsidR="00BE5C0D" w:rsidTr="004A21D9">
        <w:trPr>
          <w:trHeight w:val="1760"/>
        </w:trPr>
        <w:tc>
          <w:tcPr>
            <w:tcW w:w="2804" w:type="dxa"/>
            <w:tcBorders>
              <w:left w:val="single" w:sz="6" w:space="0" w:color="000000"/>
            </w:tcBorders>
          </w:tcPr>
          <w:p w:rsidR="00BE5C0D" w:rsidRDefault="00A17689">
            <w:pPr>
              <w:pStyle w:val="TableParagraph"/>
              <w:spacing w:before="79" w:line="237" w:lineRule="auto"/>
              <w:ind w:left="105" w:right="1066"/>
              <w:rPr>
                <w:b/>
                <w:sz w:val="24"/>
              </w:rPr>
            </w:pPr>
            <w:r>
              <w:rPr>
                <w:b/>
                <w:sz w:val="24"/>
              </w:rPr>
              <w:t>Specific Call Requirements</w:t>
            </w:r>
          </w:p>
        </w:tc>
        <w:tc>
          <w:tcPr>
            <w:tcW w:w="6440" w:type="dxa"/>
          </w:tcPr>
          <w:p w:rsidR="00BE5C0D" w:rsidRPr="004A21D9" w:rsidRDefault="004A21D9" w:rsidP="004A21D9">
            <w:pPr>
              <w:widowControl/>
              <w:autoSpaceDE/>
              <w:autoSpaceDN/>
              <w:spacing w:before="120"/>
              <w:ind w:left="67"/>
              <w:rPr>
                <w:sz w:val="24"/>
                <w:szCs w:val="24"/>
              </w:rPr>
            </w:pPr>
            <w:r w:rsidRPr="004A21D9">
              <w:rPr>
                <w:sz w:val="24"/>
                <w:szCs w:val="24"/>
              </w:rPr>
              <w:t xml:space="preserve">This call looks to specifically support the priority areas of focus highlighted in the </w:t>
            </w:r>
            <w:r w:rsidR="005D2385">
              <w:rPr>
                <w:sz w:val="24"/>
                <w:szCs w:val="24"/>
              </w:rPr>
              <w:t>S</w:t>
            </w:r>
            <w:r w:rsidR="009F10E7">
              <w:rPr>
                <w:sz w:val="24"/>
                <w:szCs w:val="24"/>
              </w:rPr>
              <w:t>SLEP</w:t>
            </w:r>
            <w:r w:rsidR="00B2468F">
              <w:rPr>
                <w:sz w:val="24"/>
                <w:szCs w:val="24"/>
              </w:rPr>
              <w:t xml:space="preserve"> </w:t>
            </w:r>
            <w:r w:rsidRPr="004A21D9">
              <w:rPr>
                <w:sz w:val="24"/>
                <w:szCs w:val="24"/>
              </w:rPr>
              <w:t>Strategic Economic Plan including advanced manufacturing, tourism and business / professional services, although calls will be considered from other sectors subject to qualifying criteria.</w:t>
            </w:r>
          </w:p>
        </w:tc>
      </w:tr>
      <w:tr w:rsidR="00097559" w:rsidTr="004A21D9">
        <w:trPr>
          <w:trHeight w:val="1760"/>
        </w:trPr>
        <w:tc>
          <w:tcPr>
            <w:tcW w:w="2804" w:type="dxa"/>
            <w:tcBorders>
              <w:left w:val="single" w:sz="6" w:space="0" w:color="000000"/>
            </w:tcBorders>
          </w:tcPr>
          <w:p w:rsidR="00097559" w:rsidRPr="009F10E7" w:rsidRDefault="00097559">
            <w:pPr>
              <w:pStyle w:val="TableParagraph"/>
              <w:spacing w:before="79" w:line="237" w:lineRule="auto"/>
              <w:ind w:left="105" w:right="1066"/>
              <w:rPr>
                <w:b/>
                <w:sz w:val="24"/>
              </w:rPr>
            </w:pPr>
            <w:r w:rsidRPr="009F10E7">
              <w:rPr>
                <w:b/>
                <w:sz w:val="24"/>
              </w:rPr>
              <w:t>Required Outputs</w:t>
            </w:r>
          </w:p>
        </w:tc>
        <w:tc>
          <w:tcPr>
            <w:tcW w:w="6440" w:type="dxa"/>
          </w:tcPr>
          <w:p w:rsidR="00097559" w:rsidRPr="009F10E7" w:rsidRDefault="00097559" w:rsidP="009F10E7">
            <w:pPr>
              <w:ind w:left="67"/>
            </w:pPr>
            <w:r w:rsidRPr="009F10E7">
              <w:rPr>
                <w:b/>
                <w:bCs/>
              </w:rPr>
              <w:t>Ministry for Housing, Communities and Local Govt (MHCLG) reportable outputs:</w:t>
            </w:r>
          </w:p>
          <w:p w:rsidR="00097559" w:rsidRPr="009F10E7" w:rsidRDefault="00097559" w:rsidP="009F10E7">
            <w:pPr>
              <w:tabs>
                <w:tab w:val="left" w:pos="3753"/>
              </w:tabs>
              <w:spacing w:before="120"/>
              <w:ind w:left="67"/>
            </w:pPr>
            <w:r w:rsidRPr="009F10E7">
              <w:t>Job creation</w:t>
            </w:r>
            <w:r w:rsidRPr="009F10E7">
              <w:tab/>
              <w:t>Site acquisition</w:t>
            </w:r>
            <w:r w:rsidR="009F10E7" w:rsidRPr="009F10E7">
              <w:br/>
            </w:r>
            <w:r w:rsidRPr="009F10E7">
              <w:t>Site preparation</w:t>
            </w:r>
            <w:r w:rsidRPr="009F10E7">
              <w:tab/>
              <w:t>Site access</w:t>
            </w:r>
            <w:r w:rsidR="009F10E7" w:rsidRPr="009F10E7">
              <w:br/>
            </w:r>
            <w:r w:rsidRPr="009F10E7">
              <w:t>Site protection</w:t>
            </w:r>
            <w:r w:rsidRPr="009F10E7">
              <w:tab/>
              <w:t>Transport infrastructure</w:t>
            </w:r>
            <w:r w:rsidR="009F10E7" w:rsidRPr="009F10E7">
              <w:br/>
            </w:r>
            <w:r w:rsidRPr="009F10E7">
              <w:t>Acquisition of buildings</w:t>
            </w:r>
            <w:r w:rsidRPr="009F10E7">
              <w:tab/>
              <w:t>New office buildings</w:t>
            </w:r>
            <w:r w:rsidR="009F10E7" w:rsidRPr="009F10E7">
              <w:br/>
            </w:r>
            <w:r w:rsidRPr="009F10E7">
              <w:t>New industrial buildings</w:t>
            </w:r>
            <w:r w:rsidRPr="009F10E7">
              <w:tab/>
              <w:t>New residential buildings</w:t>
            </w:r>
            <w:r w:rsidR="009F10E7" w:rsidRPr="009F10E7">
              <w:br/>
            </w:r>
            <w:r w:rsidRPr="009F10E7">
              <w:t>Refurbish buildings</w:t>
            </w:r>
            <w:r w:rsidRPr="009F10E7">
              <w:tab/>
              <w:t>Public realm</w:t>
            </w:r>
            <w:r w:rsidR="009F10E7" w:rsidRPr="009F10E7">
              <w:br/>
            </w:r>
            <w:r w:rsidRPr="009F10E7">
              <w:t>Broadband</w:t>
            </w:r>
            <w:r w:rsidRPr="009F10E7">
              <w:tab/>
              <w:t>Utilities</w:t>
            </w:r>
            <w:r w:rsidR="009F10E7" w:rsidRPr="009F10E7">
              <w:br/>
            </w:r>
            <w:r w:rsidRPr="009F10E7">
              <w:t>Environmental improvements</w:t>
            </w:r>
          </w:p>
          <w:p w:rsidR="00097559" w:rsidRPr="009F10E7" w:rsidRDefault="00097559" w:rsidP="009F10E7">
            <w:pPr>
              <w:ind w:left="67"/>
            </w:pPr>
          </w:p>
          <w:p w:rsidR="00097559" w:rsidRPr="009F10E7" w:rsidRDefault="009F10E7" w:rsidP="009F10E7">
            <w:pPr>
              <w:ind w:left="67"/>
            </w:pPr>
            <w:r>
              <w:rPr>
                <w:b/>
                <w:bCs/>
              </w:rPr>
              <w:t>SSLEP</w:t>
            </w:r>
            <w:r w:rsidR="00097559" w:rsidRPr="009F10E7">
              <w:rPr>
                <w:b/>
                <w:bCs/>
              </w:rPr>
              <w:t xml:space="preserve"> priorities:</w:t>
            </w:r>
          </w:p>
          <w:p w:rsidR="009F10E7" w:rsidRPr="009F10E7" w:rsidRDefault="009F10E7" w:rsidP="009F10E7">
            <w:pPr>
              <w:tabs>
                <w:tab w:val="left" w:pos="4080"/>
              </w:tabs>
              <w:spacing w:before="120"/>
              <w:ind w:left="67"/>
              <w:rPr>
                <w:sz w:val="24"/>
                <w:szCs w:val="24"/>
              </w:rPr>
            </w:pPr>
            <w:r w:rsidRPr="009F10E7">
              <w:t>Economic growth and job creation</w:t>
            </w:r>
          </w:p>
        </w:tc>
      </w:tr>
      <w:tr w:rsidR="00097559" w:rsidTr="004A21D9">
        <w:trPr>
          <w:trHeight w:val="1760"/>
        </w:trPr>
        <w:tc>
          <w:tcPr>
            <w:tcW w:w="2804" w:type="dxa"/>
            <w:tcBorders>
              <w:left w:val="single" w:sz="6" w:space="0" w:color="000000"/>
            </w:tcBorders>
          </w:tcPr>
          <w:p w:rsidR="00097559" w:rsidRPr="00782373" w:rsidRDefault="00097559">
            <w:pPr>
              <w:pStyle w:val="TableParagraph"/>
              <w:spacing w:before="79" w:line="237" w:lineRule="auto"/>
              <w:ind w:left="105" w:right="1066"/>
              <w:rPr>
                <w:b/>
                <w:sz w:val="24"/>
              </w:rPr>
            </w:pPr>
            <w:r>
              <w:rPr>
                <w:b/>
                <w:sz w:val="24"/>
              </w:rPr>
              <w:t>Call deadlines</w:t>
            </w:r>
          </w:p>
        </w:tc>
        <w:tc>
          <w:tcPr>
            <w:tcW w:w="6440" w:type="dxa"/>
          </w:tcPr>
          <w:p w:rsidR="00097559" w:rsidRDefault="00097559" w:rsidP="00097559">
            <w:pPr>
              <w:widowControl/>
              <w:autoSpaceDE/>
              <w:autoSpaceDN/>
              <w:spacing w:before="120"/>
            </w:pPr>
            <w:r w:rsidRPr="00773495">
              <w:rPr>
                <w:b/>
              </w:rPr>
              <w:t>Current bidding round</w:t>
            </w:r>
            <w:r>
              <w:rPr>
                <w:b/>
              </w:rPr>
              <w:t>:</w:t>
            </w:r>
            <w:r w:rsidRPr="00203DC0">
              <w:t xml:space="preserve"> </w:t>
            </w:r>
            <w:r>
              <w:t>23</w:t>
            </w:r>
            <w:r w:rsidRPr="00605233">
              <w:rPr>
                <w:vertAlign w:val="superscript"/>
              </w:rPr>
              <w:t>rd</w:t>
            </w:r>
            <w:r>
              <w:t xml:space="preserve"> March</w:t>
            </w:r>
            <w:r w:rsidRPr="00203DC0">
              <w:t xml:space="preserve"> – </w:t>
            </w:r>
            <w:r>
              <w:t>18</w:t>
            </w:r>
            <w:r w:rsidRPr="008C16C3">
              <w:rPr>
                <w:vertAlign w:val="superscript"/>
              </w:rPr>
              <w:t>th</w:t>
            </w:r>
            <w:r>
              <w:t xml:space="preserve"> May </w:t>
            </w:r>
            <w:r w:rsidRPr="00203DC0">
              <w:t>201</w:t>
            </w:r>
            <w:r>
              <w:t>8</w:t>
            </w:r>
            <w:r w:rsidRPr="00203DC0">
              <w:t>. Submission deadlines:</w:t>
            </w:r>
          </w:p>
          <w:p w:rsidR="008D0418" w:rsidRPr="00203DC0" w:rsidRDefault="008D0418" w:rsidP="00097559">
            <w:pPr>
              <w:widowControl/>
              <w:autoSpaceDE/>
              <w:autoSpaceDN/>
              <w:spacing w:before="120"/>
            </w:pPr>
          </w:p>
          <w:p w:rsidR="00097559" w:rsidRDefault="00097559" w:rsidP="008D0418">
            <w:pPr>
              <w:pStyle w:val="ListParagraph"/>
              <w:widowControl/>
              <w:autoSpaceDE/>
              <w:autoSpaceDN/>
              <w:ind w:left="634" w:firstLine="0"/>
            </w:pPr>
            <w:r w:rsidRPr="00141DEE">
              <w:t>Stage 1. 23:59 on Friday 18</w:t>
            </w:r>
            <w:r w:rsidRPr="00141DEE">
              <w:rPr>
                <w:vertAlign w:val="superscript"/>
              </w:rPr>
              <w:t>th</w:t>
            </w:r>
            <w:r w:rsidRPr="00141DEE">
              <w:t xml:space="preserve"> May 2018</w:t>
            </w:r>
          </w:p>
          <w:p w:rsidR="008D0418" w:rsidRPr="00141DEE" w:rsidRDefault="008D0418" w:rsidP="008D0418">
            <w:pPr>
              <w:pStyle w:val="ListParagraph"/>
              <w:widowControl/>
              <w:autoSpaceDE/>
              <w:autoSpaceDN/>
              <w:ind w:left="634" w:firstLine="0"/>
            </w:pPr>
          </w:p>
          <w:p w:rsidR="00097559" w:rsidRDefault="00097559" w:rsidP="008D0418">
            <w:pPr>
              <w:ind w:left="634"/>
              <w:rPr>
                <w:i/>
              </w:rPr>
            </w:pPr>
            <w:r w:rsidRPr="00141DEE">
              <w:t>Stage 2. 17:00 on Friday 20</w:t>
            </w:r>
            <w:r w:rsidRPr="00AC3C84">
              <w:rPr>
                <w:vertAlign w:val="superscript"/>
              </w:rPr>
              <w:t xml:space="preserve">th </w:t>
            </w:r>
            <w:r w:rsidRPr="00141DEE">
              <w:t>July 2018</w:t>
            </w:r>
            <w:r>
              <w:t xml:space="preserve"> </w:t>
            </w:r>
            <w:r w:rsidRPr="00AC3C84">
              <w:rPr>
                <w:i/>
              </w:rPr>
              <w:t>(by invitation subject to successful stage 1 application</w:t>
            </w:r>
            <w:r>
              <w:rPr>
                <w:i/>
              </w:rPr>
              <w:t>)</w:t>
            </w:r>
          </w:p>
          <w:p w:rsidR="008D0418" w:rsidRDefault="008D0418" w:rsidP="008D0418">
            <w:pPr>
              <w:ind w:left="634"/>
              <w:rPr>
                <w:i/>
              </w:rPr>
            </w:pPr>
          </w:p>
          <w:p w:rsidR="008D0418" w:rsidRDefault="008D0418" w:rsidP="008D0418">
            <w:pPr>
              <w:ind w:left="634"/>
              <w:rPr>
                <w:color w:val="1F497D"/>
                <w:sz w:val="24"/>
                <w:szCs w:val="24"/>
              </w:rPr>
            </w:pPr>
          </w:p>
        </w:tc>
      </w:tr>
    </w:tbl>
    <w:p w:rsidR="00BE5C0D" w:rsidRDefault="00C76B95">
      <w:pPr>
        <w:rPr>
          <w:sz w:val="2"/>
          <w:szCs w:val="2"/>
        </w:rPr>
      </w:pPr>
      <w:r>
        <w:rPr>
          <w:noProof/>
          <w:lang w:bidi="ar-SA"/>
        </w:rPr>
        <mc:AlternateContent>
          <mc:Choice Requires="wps">
            <w:drawing>
              <wp:anchor distT="0" distB="0" distL="114300" distR="114300" simplePos="0" relativeHeight="251657728" behindDoc="1" locked="0" layoutInCell="1" allowOverlap="1" wp14:anchorId="2B67CB57" wp14:editId="47F0A0A5">
                <wp:simplePos x="0" y="0"/>
                <wp:positionH relativeFrom="page">
                  <wp:posOffset>4981575</wp:posOffset>
                </wp:positionH>
                <wp:positionV relativeFrom="page">
                  <wp:posOffset>7033895</wp:posOffset>
                </wp:positionV>
                <wp:extent cx="42545" cy="1524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2.25pt;margin-top:553.85pt;width: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HjdQIAAPgEAAAOAAAAZHJzL2Uyb0RvYy54bWysVG1v0zAQ/o7Ef7D8vcsLydZETaetowhp&#10;wMTgB7i201g4trHdphviv3N22tLClwnRD64vdz4/99xznl3veom23DqhVYOzixQjrqhmQq0b/PXL&#10;cjLFyHmiGJFa8QY/cYev569fzQZT81x3WjJuESRRrh5MgzvvTZ0kjna8J+5CG67A2WrbEw+mXSfM&#10;kgGy9zLJ0/QyGbRlxmrKnYOvd6MTz2P+tuXUf2pbxz2SDQZsPq42rquwJvMZqdeWmE7QPQzyDyh6&#10;IhRcekx1RzxBGyv+StULarXTrb+guk902wrKYw1QTZb+Uc1jRwyPtQA5zhxpcv8vLf24fbBIsAa/&#10;wUiRHlr0GUgjai05ygM9g3E1RD2aBxsKdOZe028OKb3oIIrfWKuHjhMGoLIQn5wdCIaDo2g1fNAM&#10;spON15GpXWv7kBA4QLvYkKdjQ/jOIwofi7wsSowoeLIyL2K7ElIfjhrr/DuuexQ2DbYAPKYm23vn&#10;AxRSH0IidC0FWwopo2HXq4W0aEuCMuIvoocKT8OkCsFKh2NjxvELIIQ7gi9gjZ3+UWUA8TavJsvL&#10;6dWkWBblpLpKp5M0q26ry7SoirvlzwAwK+pOMMbVvVD8oLqseFlX9/of9RJ1h4YGV2VextrP0LuX&#10;FdkLD0MoRd/g6ZEJUoeuvlUMyia1J0KO++QcfmQZODj8R1aiBkLbR/msNHsCCVgNTYIhhOcCNp22&#10;zxgNMHoNdt83xHKM5HsFMqqyAlqNfDSK8ioHw556VqceoiikarDHaNwu/DjfG2PFuoObskiM0jcg&#10;vVZEYQRZjqj2goXxihXsn4Iwv6d2jPr9YM1/AQAA//8DAFBLAwQUAAYACAAAACEAv+DyQeEAAAAN&#10;AQAADwAAAGRycy9kb3ducmV2LnhtbEyPwU7DMAyG70i8Q2QkbixptdGuNJ0YEkekbXBgt7QxbbXG&#10;KUm2lT092QmO9v/p9+dyNZmBndD53pKEZCaAITVW99RK+Hh/fciB+aBIq8ESSvhBD6vq9qZUhbZn&#10;2uJpF1oWS8gXSkIXwlhw7psOjfIzOyLF7Ms6o0IcXcu1U+dYbgaeCvHIjeopXujUiC8dNofd0UhY&#10;L/P192ZOb5dtvcf9Z31YpE5IeX83PT8BCziFPxiu+lEdquhU2yNpzwYJWT5fRDQGicgyYBHJlkkK&#10;rL6uEpEAr0r+/4vqFwAA//8DAFBLAQItABQABgAIAAAAIQC2gziS/gAAAOEBAAATAAAAAAAAAAAA&#10;AAAAAAAAAABbQ29udGVudF9UeXBlc10ueG1sUEsBAi0AFAAGAAgAAAAhADj9If/WAAAAlAEAAAsA&#10;AAAAAAAAAAAAAAAALwEAAF9yZWxzLy5yZWxzUEsBAi0AFAAGAAgAAAAhAE4JMeN1AgAA+AQAAA4A&#10;AAAAAAAAAAAAAAAALgIAAGRycy9lMm9Eb2MueG1sUEsBAi0AFAAGAAgAAAAhAL/g8kHhAAAADQEA&#10;AA8AAAAAAAAAAAAAAAAAzwQAAGRycy9kb3ducmV2LnhtbFBLBQYAAAAABAAEAPMAAADdBQAAAAA=&#10;" fillcolor="black" stroked="f">
                <w10:wrap anchorx="page" anchory="page"/>
              </v:rect>
            </w:pict>
          </mc:Fallback>
        </mc:AlternateContent>
      </w:r>
    </w:p>
    <w:p w:rsidR="00BE5C0D" w:rsidRDefault="00BE5C0D">
      <w:pPr>
        <w:pStyle w:val="BodyText"/>
        <w:ind w:left="0"/>
        <w:rPr>
          <w:sz w:val="20"/>
        </w:rPr>
      </w:pPr>
    </w:p>
    <w:p w:rsidR="00437CFA" w:rsidRDefault="00437CFA" w:rsidP="009F10E7">
      <w:pPr>
        <w:rPr>
          <w:sz w:val="20"/>
        </w:rPr>
      </w:pPr>
      <w:r>
        <w:rPr>
          <w:sz w:val="20"/>
        </w:rPr>
        <w:br w:type="page"/>
      </w:r>
    </w:p>
    <w:p w:rsidR="00437CFA" w:rsidRDefault="00437CFA">
      <w:pPr>
        <w:pStyle w:val="BodyText"/>
        <w:ind w:left="0"/>
        <w:rPr>
          <w:sz w:val="20"/>
        </w:rPr>
      </w:pPr>
    </w:p>
    <w:p w:rsidR="00437CFA" w:rsidRDefault="00437CFA">
      <w:pPr>
        <w:pStyle w:val="BodyText"/>
        <w:ind w:left="0"/>
        <w:rPr>
          <w:sz w:val="20"/>
        </w:rPr>
      </w:pPr>
    </w:p>
    <w:p w:rsidR="00437CFA" w:rsidRDefault="00437CFA">
      <w:pPr>
        <w:pStyle w:val="BodyText"/>
        <w:ind w:left="0"/>
        <w:rPr>
          <w:sz w:val="20"/>
        </w:rPr>
      </w:pPr>
    </w:p>
    <w:p w:rsidR="00437CFA" w:rsidRDefault="00437CFA">
      <w:pPr>
        <w:pStyle w:val="BodyText"/>
        <w:ind w:left="0"/>
        <w:rPr>
          <w:sz w:val="20"/>
        </w:rPr>
      </w:pPr>
    </w:p>
    <w:p w:rsidR="00BE5C0D" w:rsidRPr="00782373" w:rsidRDefault="00A17689" w:rsidP="00782373">
      <w:pPr>
        <w:pStyle w:val="ListParagraph"/>
        <w:numPr>
          <w:ilvl w:val="0"/>
          <w:numId w:val="10"/>
        </w:numPr>
        <w:tabs>
          <w:tab w:val="left" w:pos="581"/>
        </w:tabs>
        <w:spacing w:before="77"/>
        <w:rPr>
          <w:b/>
          <w:sz w:val="36"/>
        </w:rPr>
      </w:pPr>
      <w:r w:rsidRPr="00782373">
        <w:rPr>
          <w:b/>
          <w:sz w:val="36"/>
        </w:rPr>
        <w:t xml:space="preserve">Application &amp; </w:t>
      </w:r>
      <w:r w:rsidR="00410F86">
        <w:rPr>
          <w:b/>
          <w:sz w:val="36"/>
        </w:rPr>
        <w:t>Appraisal Process</w:t>
      </w:r>
    </w:p>
    <w:p w:rsidR="00782373" w:rsidRPr="00782373" w:rsidRDefault="00A17689" w:rsidP="00AC3C84">
      <w:pPr>
        <w:pStyle w:val="BodyText"/>
        <w:spacing w:before="304" w:line="276" w:lineRule="auto"/>
        <w:ind w:right="517"/>
      </w:pPr>
      <w:r>
        <w:t xml:space="preserve">There are two stages to the </w:t>
      </w:r>
      <w:r w:rsidR="00782373">
        <w:t>Growing Places fund</w:t>
      </w:r>
      <w:r>
        <w:t xml:space="preserve"> application process;</w:t>
      </w:r>
    </w:p>
    <w:p w:rsidR="00BE5C0D" w:rsidRDefault="00A17689">
      <w:pPr>
        <w:pStyle w:val="ListParagraph"/>
        <w:numPr>
          <w:ilvl w:val="0"/>
          <w:numId w:val="7"/>
        </w:numPr>
        <w:tabs>
          <w:tab w:val="left" w:pos="1300"/>
          <w:tab w:val="left" w:pos="1301"/>
        </w:tabs>
        <w:spacing w:before="200"/>
        <w:rPr>
          <w:sz w:val="24"/>
        </w:rPr>
      </w:pPr>
      <w:r>
        <w:rPr>
          <w:sz w:val="24"/>
        </w:rPr>
        <w:t>Outline Application and, if</w:t>
      </w:r>
      <w:r>
        <w:rPr>
          <w:spacing w:val="-1"/>
          <w:sz w:val="24"/>
        </w:rPr>
        <w:t xml:space="preserve"> </w:t>
      </w:r>
      <w:r>
        <w:rPr>
          <w:sz w:val="24"/>
        </w:rPr>
        <w:t>successful</w:t>
      </w:r>
    </w:p>
    <w:p w:rsidR="00BE5C0D" w:rsidRDefault="00A17689">
      <w:pPr>
        <w:pStyle w:val="ListParagraph"/>
        <w:numPr>
          <w:ilvl w:val="0"/>
          <w:numId w:val="7"/>
        </w:numPr>
        <w:tabs>
          <w:tab w:val="left" w:pos="1300"/>
          <w:tab w:val="left" w:pos="1301"/>
        </w:tabs>
        <w:spacing w:before="41"/>
        <w:rPr>
          <w:sz w:val="24"/>
        </w:rPr>
      </w:pPr>
      <w:r>
        <w:rPr>
          <w:sz w:val="24"/>
        </w:rPr>
        <w:t>Full</w:t>
      </w:r>
      <w:r>
        <w:rPr>
          <w:spacing w:val="-1"/>
          <w:sz w:val="24"/>
        </w:rPr>
        <w:t xml:space="preserve"> </w:t>
      </w:r>
      <w:r>
        <w:rPr>
          <w:sz w:val="24"/>
        </w:rPr>
        <w:t>Application.</w:t>
      </w:r>
    </w:p>
    <w:p w:rsidR="00BE5C0D" w:rsidRDefault="00BE5C0D">
      <w:pPr>
        <w:pStyle w:val="BodyText"/>
        <w:spacing w:before="10"/>
        <w:ind w:left="0"/>
        <w:rPr>
          <w:sz w:val="20"/>
        </w:rPr>
      </w:pPr>
    </w:p>
    <w:p w:rsidR="00BE5C0D" w:rsidRDefault="00A17689" w:rsidP="00437CFA">
      <w:pPr>
        <w:pStyle w:val="BodyText"/>
        <w:spacing w:line="276" w:lineRule="auto"/>
        <w:ind w:left="0" w:right="262"/>
        <w:jc w:val="both"/>
      </w:pPr>
      <w:r>
        <w:t xml:space="preserve">Acceptance of an Outline Application to progress to full application stage does not in any way indicate or constitute an offer of </w:t>
      </w:r>
      <w:r w:rsidR="00782373">
        <w:t>Growing Places Fund loan</w:t>
      </w:r>
      <w:r>
        <w:t>.</w:t>
      </w:r>
    </w:p>
    <w:p w:rsidR="00A716AE" w:rsidRDefault="00A17689" w:rsidP="00437CFA">
      <w:pPr>
        <w:pStyle w:val="BodyText"/>
        <w:spacing w:before="203" w:line="276" w:lineRule="auto"/>
        <w:ind w:left="0" w:right="318"/>
      </w:pPr>
      <w:r>
        <w:t xml:space="preserve">Applicants must fully complete </w:t>
      </w:r>
      <w:r w:rsidR="00925A42">
        <w:t xml:space="preserve">the </w:t>
      </w:r>
      <w:proofErr w:type="spellStart"/>
      <w:r w:rsidR="00925A42">
        <w:t>Outlline</w:t>
      </w:r>
      <w:proofErr w:type="spellEnd"/>
      <w:r w:rsidR="00925A42">
        <w:t xml:space="preserve"> Application </w:t>
      </w:r>
      <w:r>
        <w:t xml:space="preserve">which will be assessed by the </w:t>
      </w:r>
      <w:r w:rsidR="00A716AE">
        <w:t>Growing Places Fund management team</w:t>
      </w:r>
      <w:r>
        <w:t xml:space="preserve"> against the </w:t>
      </w:r>
      <w:r w:rsidR="00A716AE">
        <w:t>qualifying criteria.</w:t>
      </w:r>
    </w:p>
    <w:p w:rsidR="00410F86" w:rsidRDefault="00410F86">
      <w:pPr>
        <w:spacing w:line="276" w:lineRule="auto"/>
      </w:pPr>
    </w:p>
    <w:p w:rsidR="00410F86" w:rsidRPr="005A7DE0" w:rsidRDefault="00410F86" w:rsidP="00410F86">
      <w:pPr>
        <w:rPr>
          <w:b/>
          <w:sz w:val="24"/>
          <w:szCs w:val="24"/>
        </w:rPr>
      </w:pPr>
      <w:r w:rsidRPr="005A7DE0">
        <w:rPr>
          <w:b/>
          <w:sz w:val="24"/>
          <w:szCs w:val="24"/>
        </w:rPr>
        <w:t>Timescales</w:t>
      </w:r>
    </w:p>
    <w:p w:rsidR="00410F86" w:rsidRDefault="00410F86" w:rsidP="00410F86">
      <w:r w:rsidRPr="00203DC0">
        <w:t>After the bidding window</w:t>
      </w:r>
      <w:r>
        <w:t xml:space="preserve"> closes, the application and appraisal process is as follows:</w:t>
      </w:r>
    </w:p>
    <w:p w:rsidR="00410F86" w:rsidRDefault="00410F86" w:rsidP="00410F86">
      <w:pPr>
        <w:widowControl/>
        <w:numPr>
          <w:ilvl w:val="0"/>
          <w:numId w:val="13"/>
        </w:numPr>
        <w:autoSpaceDE/>
        <w:autoSpaceDN/>
        <w:spacing w:before="120"/>
      </w:pPr>
      <w:r>
        <w:t>Approximately 2 weeks following the outline submission d</w:t>
      </w:r>
      <w:r w:rsidR="00A31B60">
        <w:t>eadline, the GPF Steering Group</w:t>
      </w:r>
      <w:r>
        <w:t xml:space="preserve"> will meet to review the submissions. Schemes will either be passed to develop their bid to a stage 2 application or rejected if the qualification criteria is not met.</w:t>
      </w:r>
    </w:p>
    <w:p w:rsidR="00410F86" w:rsidRDefault="00410F86" w:rsidP="00410F86">
      <w:pPr>
        <w:widowControl/>
        <w:numPr>
          <w:ilvl w:val="0"/>
          <w:numId w:val="13"/>
        </w:numPr>
        <w:autoSpaceDE/>
        <w:autoSpaceDN/>
        <w:spacing w:before="120"/>
      </w:pPr>
      <w:r>
        <w:t>Those applicants having successfully passed the Stage 1 appraisal will be invited to submit a Stage 2 application w</w:t>
      </w:r>
      <w:r w:rsidRPr="00037C67">
        <w:t>ithin</w:t>
      </w:r>
      <w:r>
        <w:t xml:space="preserve"> approximately 8 weeks </w:t>
      </w:r>
      <w:r w:rsidRPr="00037C67">
        <w:t>of</w:t>
      </w:r>
      <w:r>
        <w:t xml:space="preserve"> the initial deadline and will be called to an informal interview by the GPF Steering Group to present their proposal.</w:t>
      </w:r>
    </w:p>
    <w:p w:rsidR="00410F86" w:rsidRDefault="00410F86" w:rsidP="00410F86">
      <w:pPr>
        <w:widowControl/>
        <w:numPr>
          <w:ilvl w:val="0"/>
          <w:numId w:val="13"/>
        </w:numPr>
        <w:autoSpaceDE/>
        <w:autoSpaceDN/>
        <w:spacing w:before="120"/>
      </w:pPr>
      <w:r>
        <w:t xml:space="preserve">In the </w:t>
      </w:r>
      <w:r w:rsidR="00A31B60">
        <w:t>4-</w:t>
      </w:r>
      <w:r>
        <w:t>6 week period following the Stage 2 deadline, the project will be subject to an appraisal to test the eligibility of the application. Where the appraisal outcome is positive, a detailed ‘due diligence’ appraisal will then follow;</w:t>
      </w:r>
    </w:p>
    <w:p w:rsidR="00410F86" w:rsidRDefault="00410F86" w:rsidP="00410F86">
      <w:pPr>
        <w:widowControl/>
        <w:numPr>
          <w:ilvl w:val="0"/>
          <w:numId w:val="13"/>
        </w:numPr>
        <w:autoSpaceDE/>
        <w:autoSpaceDN/>
        <w:spacing w:before="120"/>
      </w:pPr>
      <w:r>
        <w:t xml:space="preserve">Schemes that have successfully passed the due diligence process are then presented to the </w:t>
      </w:r>
      <w:r w:rsidR="009F10E7">
        <w:t>SSLEP</w:t>
      </w:r>
      <w:r>
        <w:t xml:space="preserve"> Board for final acceptance for the agreed investment. </w:t>
      </w:r>
    </w:p>
    <w:p w:rsidR="00410F86" w:rsidRDefault="00410F86" w:rsidP="00410F86">
      <w:pPr>
        <w:widowControl/>
        <w:numPr>
          <w:ilvl w:val="0"/>
          <w:numId w:val="13"/>
        </w:numPr>
        <w:autoSpaceDE/>
        <w:autoSpaceDN/>
        <w:spacing w:before="120"/>
      </w:pPr>
      <w:r>
        <w:t>A legal agreement will be forwarded to the applicant, which, once signed by both parties, would authorise eligible expenditure against the project.</w:t>
      </w:r>
    </w:p>
    <w:p w:rsidR="00410F86" w:rsidRDefault="00410F86" w:rsidP="00410F86"/>
    <w:p w:rsidR="00410F86" w:rsidRDefault="00410F86" w:rsidP="00410F86">
      <w:r>
        <w:t xml:space="preserve">In general, the above process can take up to 16 weeks between initial deadline and </w:t>
      </w:r>
      <w:r w:rsidR="009F10E7">
        <w:t>SSLEP</w:t>
      </w:r>
      <w:r>
        <w:t xml:space="preserve"> agreement to invest. The length of time taken to complete the legal agreement lies primarily with the applicant but any expenditure incurred before the legal agreement is signed is not eligible for funding. </w:t>
      </w:r>
    </w:p>
    <w:p w:rsidR="00410F86" w:rsidRDefault="00410F86">
      <w:pPr>
        <w:spacing w:line="276" w:lineRule="auto"/>
        <w:sectPr w:rsidR="00410F86">
          <w:footerReference w:type="default" r:id="rId14"/>
          <w:pgSz w:w="11910" w:h="16840"/>
          <w:pgMar w:top="1160" w:right="1220" w:bottom="1940" w:left="1220" w:header="0" w:footer="1668" w:gutter="0"/>
          <w:cols w:space="720"/>
        </w:sectPr>
      </w:pPr>
    </w:p>
    <w:p w:rsidR="00BE5C0D" w:rsidRDefault="00BE5C0D">
      <w:pPr>
        <w:pStyle w:val="BodyText"/>
        <w:spacing w:before="8"/>
        <w:ind w:left="0"/>
        <w:rPr>
          <w:sz w:val="20"/>
        </w:rPr>
      </w:pPr>
    </w:p>
    <w:p w:rsidR="00410F86" w:rsidRDefault="00410F86">
      <w:pPr>
        <w:pStyle w:val="BodyText"/>
        <w:spacing w:before="8"/>
        <w:ind w:left="0"/>
        <w:rPr>
          <w:sz w:val="20"/>
        </w:rPr>
      </w:pPr>
    </w:p>
    <w:p w:rsidR="00410F86" w:rsidRDefault="00410F86">
      <w:pPr>
        <w:pStyle w:val="BodyText"/>
        <w:spacing w:before="8"/>
        <w:ind w:left="0"/>
        <w:rPr>
          <w:sz w:val="20"/>
        </w:rPr>
      </w:pPr>
    </w:p>
    <w:p w:rsidR="00410F86" w:rsidRDefault="00410F86">
      <w:pPr>
        <w:pStyle w:val="BodyText"/>
        <w:spacing w:before="8"/>
        <w:ind w:left="0"/>
        <w:rPr>
          <w:sz w:val="20"/>
        </w:rPr>
      </w:pPr>
    </w:p>
    <w:p w:rsidR="00410F86" w:rsidRDefault="00410F86">
      <w:pPr>
        <w:pStyle w:val="BodyText"/>
        <w:spacing w:before="8"/>
        <w:ind w:left="0"/>
        <w:rPr>
          <w:sz w:val="20"/>
        </w:rPr>
      </w:pPr>
    </w:p>
    <w:p w:rsidR="009F10E7" w:rsidRDefault="009F10E7">
      <w:pPr>
        <w:pStyle w:val="BodyText"/>
        <w:spacing w:before="8"/>
        <w:ind w:left="0"/>
        <w:rPr>
          <w:sz w:val="20"/>
        </w:rPr>
      </w:pPr>
    </w:p>
    <w:p w:rsidR="00BE5C0D" w:rsidRDefault="00BA5375" w:rsidP="00BA5375">
      <w:pPr>
        <w:pStyle w:val="ListParagraph"/>
        <w:numPr>
          <w:ilvl w:val="0"/>
          <w:numId w:val="10"/>
        </w:numPr>
        <w:tabs>
          <w:tab w:val="left" w:pos="581"/>
        </w:tabs>
        <w:spacing w:before="77"/>
        <w:ind w:left="851" w:hanging="284"/>
        <w:rPr>
          <w:b/>
          <w:sz w:val="36"/>
        </w:rPr>
      </w:pPr>
      <w:r>
        <w:rPr>
          <w:b/>
          <w:sz w:val="36"/>
        </w:rPr>
        <w:t>Application</w:t>
      </w:r>
      <w:r w:rsidR="00F748A3" w:rsidRPr="00BA5375">
        <w:rPr>
          <w:b/>
          <w:sz w:val="36"/>
        </w:rPr>
        <w:t xml:space="preserve"> Checklist</w:t>
      </w:r>
    </w:p>
    <w:p w:rsidR="009F10E7" w:rsidRDefault="009F10E7" w:rsidP="009F10E7">
      <w:pPr>
        <w:tabs>
          <w:tab w:val="left" w:pos="581"/>
        </w:tabs>
        <w:spacing w:before="77"/>
        <w:rPr>
          <w:b/>
          <w:sz w:val="36"/>
        </w:rPr>
      </w:pPr>
    </w:p>
    <w:p w:rsidR="009F10E7" w:rsidRPr="009F10E7" w:rsidRDefault="009F10E7" w:rsidP="009F10E7">
      <w:pPr>
        <w:tabs>
          <w:tab w:val="left" w:pos="581"/>
        </w:tabs>
        <w:spacing w:before="77"/>
        <w:rPr>
          <w:b/>
          <w:sz w:val="36"/>
        </w:rPr>
      </w:pPr>
    </w:p>
    <w:p w:rsidR="00F748A3" w:rsidRDefault="00F748A3" w:rsidP="00BA5375">
      <w:pPr>
        <w:tabs>
          <w:tab w:val="left" w:pos="928"/>
          <w:tab w:val="left" w:pos="929"/>
        </w:tabs>
        <w:spacing w:before="78"/>
        <w:ind w:left="851" w:hanging="284"/>
        <w:rPr>
          <w:b/>
          <w:sz w:val="24"/>
        </w:rPr>
      </w:pPr>
      <w:r w:rsidRPr="00BA5375">
        <w:rPr>
          <w:b/>
          <w:sz w:val="24"/>
        </w:rPr>
        <w:t>Key supporting documentation</w:t>
      </w:r>
    </w:p>
    <w:p w:rsidR="009F10E7" w:rsidRPr="00BA5375" w:rsidRDefault="009F10E7" w:rsidP="00BA5375">
      <w:pPr>
        <w:tabs>
          <w:tab w:val="left" w:pos="928"/>
          <w:tab w:val="left" w:pos="929"/>
        </w:tabs>
        <w:spacing w:before="78"/>
        <w:ind w:left="851" w:hanging="284"/>
        <w:rPr>
          <w:b/>
          <w:sz w:val="24"/>
        </w:rPr>
      </w:pPr>
    </w:p>
    <w:p w:rsidR="00F748A3" w:rsidRPr="009F10E7" w:rsidRDefault="009F10E7" w:rsidP="00BA5375">
      <w:pPr>
        <w:tabs>
          <w:tab w:val="left" w:pos="928"/>
          <w:tab w:val="left" w:pos="929"/>
        </w:tabs>
        <w:spacing w:before="78"/>
        <w:ind w:left="851" w:hanging="284"/>
        <w:rPr>
          <w:b/>
          <w:sz w:val="24"/>
          <w:u w:val="single"/>
        </w:rPr>
      </w:pPr>
      <w:r w:rsidRPr="009F10E7">
        <w:rPr>
          <w:b/>
          <w:sz w:val="24"/>
          <w:u w:val="single"/>
        </w:rPr>
        <w:t>Stage 1</w:t>
      </w:r>
    </w:p>
    <w:p w:rsidR="009F10E7" w:rsidRPr="00BA5375" w:rsidRDefault="009F10E7" w:rsidP="00BA5375">
      <w:pPr>
        <w:tabs>
          <w:tab w:val="left" w:pos="928"/>
          <w:tab w:val="left" w:pos="929"/>
        </w:tabs>
        <w:spacing w:before="78"/>
        <w:ind w:left="851" w:hanging="284"/>
        <w:rPr>
          <w:b/>
          <w:sz w:val="24"/>
        </w:rPr>
      </w:pPr>
    </w:p>
    <w:p w:rsidR="00F748A3" w:rsidRPr="00F748A3" w:rsidRDefault="00F748A3" w:rsidP="00BA5375">
      <w:pPr>
        <w:tabs>
          <w:tab w:val="left" w:pos="928"/>
          <w:tab w:val="left" w:pos="929"/>
        </w:tabs>
        <w:spacing w:before="78"/>
        <w:ind w:left="851" w:hanging="284"/>
        <w:rPr>
          <w:sz w:val="24"/>
        </w:rPr>
      </w:pPr>
      <w:r w:rsidRPr="00F748A3">
        <w:rPr>
          <w:sz w:val="24"/>
        </w:rPr>
        <w:t>The following list shows the suite of supporting documentation:</w:t>
      </w:r>
    </w:p>
    <w:p w:rsidR="00F748A3" w:rsidRPr="00BA5375" w:rsidRDefault="00F748A3" w:rsidP="00BA5375">
      <w:pPr>
        <w:tabs>
          <w:tab w:val="left" w:pos="928"/>
          <w:tab w:val="left" w:pos="929"/>
        </w:tabs>
        <w:spacing w:before="78"/>
        <w:ind w:left="851" w:hanging="284"/>
        <w:rPr>
          <w:b/>
          <w:sz w:val="24"/>
        </w:rPr>
      </w:pPr>
      <w:r w:rsidRPr="00BA5375">
        <w:rPr>
          <w:b/>
          <w:sz w:val="24"/>
        </w:rPr>
        <w:t>Essential:</w:t>
      </w:r>
    </w:p>
    <w:p w:rsidR="00F748A3" w:rsidRPr="00F748A3" w:rsidRDefault="00F748A3" w:rsidP="00BA5375">
      <w:pPr>
        <w:tabs>
          <w:tab w:val="left" w:pos="928"/>
          <w:tab w:val="left" w:pos="929"/>
        </w:tabs>
        <w:spacing w:before="78"/>
        <w:ind w:left="851" w:hanging="284"/>
        <w:rPr>
          <w:sz w:val="24"/>
        </w:rPr>
      </w:pPr>
      <w:r w:rsidRPr="00F748A3">
        <w:rPr>
          <w:sz w:val="24"/>
        </w:rPr>
        <w:t>• Application form</w:t>
      </w:r>
    </w:p>
    <w:p w:rsidR="00F748A3" w:rsidRPr="00F748A3" w:rsidRDefault="00F748A3" w:rsidP="00BA5375">
      <w:pPr>
        <w:tabs>
          <w:tab w:val="left" w:pos="928"/>
          <w:tab w:val="left" w:pos="929"/>
        </w:tabs>
        <w:spacing w:before="78"/>
        <w:ind w:left="851" w:hanging="284"/>
        <w:rPr>
          <w:sz w:val="24"/>
        </w:rPr>
      </w:pPr>
      <w:r w:rsidRPr="00F748A3">
        <w:rPr>
          <w:sz w:val="24"/>
        </w:rPr>
        <w:t>• Company accounts (last 3 years published accounts)</w:t>
      </w:r>
    </w:p>
    <w:p w:rsidR="00F748A3" w:rsidRPr="00F748A3" w:rsidRDefault="00F748A3" w:rsidP="00BA5375">
      <w:pPr>
        <w:tabs>
          <w:tab w:val="left" w:pos="928"/>
          <w:tab w:val="left" w:pos="929"/>
        </w:tabs>
        <w:spacing w:before="78"/>
        <w:ind w:left="851" w:hanging="284"/>
        <w:rPr>
          <w:sz w:val="24"/>
        </w:rPr>
      </w:pPr>
      <w:r w:rsidRPr="00F748A3">
        <w:rPr>
          <w:sz w:val="24"/>
        </w:rPr>
        <w:t>• Business plan including proof of demand and development appraisal</w:t>
      </w:r>
    </w:p>
    <w:p w:rsidR="00F748A3" w:rsidRPr="00F748A3" w:rsidRDefault="00F748A3" w:rsidP="00BA5375">
      <w:pPr>
        <w:tabs>
          <w:tab w:val="left" w:pos="928"/>
          <w:tab w:val="left" w:pos="929"/>
        </w:tabs>
        <w:spacing w:before="78"/>
        <w:ind w:left="851" w:hanging="284"/>
        <w:rPr>
          <w:sz w:val="24"/>
        </w:rPr>
      </w:pPr>
      <w:r w:rsidRPr="00BA5375">
        <w:rPr>
          <w:b/>
          <w:sz w:val="24"/>
        </w:rPr>
        <w:t xml:space="preserve">Desirable </w:t>
      </w:r>
      <w:r w:rsidRPr="00F748A3">
        <w:rPr>
          <w:sz w:val="24"/>
        </w:rPr>
        <w:t>(in the most complete form available):</w:t>
      </w:r>
    </w:p>
    <w:p w:rsidR="00F748A3" w:rsidRPr="00F748A3" w:rsidRDefault="00F748A3" w:rsidP="00BA5375">
      <w:pPr>
        <w:tabs>
          <w:tab w:val="left" w:pos="928"/>
          <w:tab w:val="left" w:pos="929"/>
        </w:tabs>
        <w:spacing w:before="78"/>
        <w:ind w:left="851" w:hanging="284"/>
        <w:rPr>
          <w:sz w:val="24"/>
        </w:rPr>
      </w:pPr>
      <w:r w:rsidRPr="00F748A3">
        <w:rPr>
          <w:sz w:val="24"/>
        </w:rPr>
        <w:t>• Scheme plans</w:t>
      </w:r>
    </w:p>
    <w:p w:rsidR="00F748A3" w:rsidRPr="00F748A3" w:rsidRDefault="00F748A3" w:rsidP="00BA5375">
      <w:pPr>
        <w:tabs>
          <w:tab w:val="left" w:pos="928"/>
          <w:tab w:val="left" w:pos="929"/>
        </w:tabs>
        <w:spacing w:before="78"/>
        <w:ind w:left="851" w:hanging="284"/>
        <w:rPr>
          <w:sz w:val="24"/>
        </w:rPr>
      </w:pPr>
      <w:r w:rsidRPr="00F748A3">
        <w:rPr>
          <w:sz w:val="24"/>
        </w:rPr>
        <w:t>• Cost Plan</w:t>
      </w:r>
    </w:p>
    <w:p w:rsidR="00F748A3" w:rsidRPr="00F748A3" w:rsidRDefault="00F748A3" w:rsidP="00BA5375">
      <w:pPr>
        <w:tabs>
          <w:tab w:val="left" w:pos="928"/>
          <w:tab w:val="left" w:pos="929"/>
        </w:tabs>
        <w:spacing w:before="78"/>
        <w:ind w:left="851" w:hanging="284"/>
        <w:rPr>
          <w:sz w:val="24"/>
        </w:rPr>
      </w:pPr>
      <w:r w:rsidRPr="00F748A3">
        <w:rPr>
          <w:sz w:val="24"/>
        </w:rPr>
        <w:t>• Scheme programme (before &amp; during construction)</w:t>
      </w:r>
    </w:p>
    <w:p w:rsidR="00F748A3" w:rsidRDefault="00F748A3" w:rsidP="00BA5375">
      <w:pPr>
        <w:tabs>
          <w:tab w:val="left" w:pos="928"/>
          <w:tab w:val="left" w:pos="929"/>
        </w:tabs>
        <w:spacing w:before="78"/>
        <w:ind w:left="851" w:hanging="284"/>
        <w:rPr>
          <w:sz w:val="24"/>
        </w:rPr>
      </w:pPr>
      <w:r w:rsidRPr="00F748A3">
        <w:rPr>
          <w:sz w:val="24"/>
        </w:rPr>
        <w:t>• Documentary proof of planning status</w:t>
      </w:r>
    </w:p>
    <w:p w:rsidR="009F10E7" w:rsidRDefault="009F10E7" w:rsidP="00BA5375">
      <w:pPr>
        <w:tabs>
          <w:tab w:val="left" w:pos="928"/>
          <w:tab w:val="left" w:pos="929"/>
        </w:tabs>
        <w:spacing w:before="78"/>
        <w:ind w:left="851" w:hanging="284"/>
        <w:rPr>
          <w:sz w:val="24"/>
        </w:rPr>
      </w:pPr>
    </w:p>
    <w:p w:rsidR="009F10E7" w:rsidRPr="00F748A3" w:rsidRDefault="009F10E7" w:rsidP="00BA5375">
      <w:pPr>
        <w:tabs>
          <w:tab w:val="left" w:pos="928"/>
          <w:tab w:val="left" w:pos="929"/>
        </w:tabs>
        <w:spacing w:before="78"/>
        <w:ind w:left="851" w:hanging="284"/>
        <w:rPr>
          <w:sz w:val="24"/>
        </w:rPr>
      </w:pPr>
    </w:p>
    <w:p w:rsidR="00F748A3" w:rsidRPr="009F10E7" w:rsidRDefault="009F10E7" w:rsidP="00BA5375">
      <w:pPr>
        <w:tabs>
          <w:tab w:val="left" w:pos="928"/>
          <w:tab w:val="left" w:pos="929"/>
        </w:tabs>
        <w:spacing w:before="78"/>
        <w:ind w:left="851" w:hanging="284"/>
        <w:rPr>
          <w:b/>
          <w:sz w:val="24"/>
          <w:u w:val="single"/>
        </w:rPr>
      </w:pPr>
      <w:r w:rsidRPr="009F10E7">
        <w:rPr>
          <w:b/>
          <w:sz w:val="24"/>
          <w:u w:val="single"/>
        </w:rPr>
        <w:t>Stage 2</w:t>
      </w:r>
    </w:p>
    <w:p w:rsidR="009F10E7" w:rsidRDefault="009F10E7" w:rsidP="00BA5375">
      <w:pPr>
        <w:tabs>
          <w:tab w:val="left" w:pos="928"/>
          <w:tab w:val="left" w:pos="929"/>
        </w:tabs>
        <w:spacing w:before="78"/>
        <w:ind w:left="851" w:hanging="284"/>
        <w:rPr>
          <w:sz w:val="24"/>
        </w:rPr>
      </w:pPr>
    </w:p>
    <w:p w:rsidR="00F748A3" w:rsidRPr="00F748A3" w:rsidRDefault="00F748A3" w:rsidP="00BA5375">
      <w:pPr>
        <w:tabs>
          <w:tab w:val="left" w:pos="928"/>
          <w:tab w:val="left" w:pos="929"/>
        </w:tabs>
        <w:spacing w:before="78"/>
        <w:ind w:left="851" w:hanging="284"/>
        <w:rPr>
          <w:sz w:val="24"/>
        </w:rPr>
      </w:pPr>
      <w:r w:rsidRPr="00F748A3">
        <w:rPr>
          <w:sz w:val="24"/>
        </w:rPr>
        <w:t>The following list shows the ideal suite of documentation:</w:t>
      </w:r>
    </w:p>
    <w:p w:rsidR="00F748A3" w:rsidRPr="00BA5375" w:rsidRDefault="00F748A3" w:rsidP="00BA5375">
      <w:pPr>
        <w:tabs>
          <w:tab w:val="left" w:pos="928"/>
          <w:tab w:val="left" w:pos="929"/>
        </w:tabs>
        <w:spacing w:before="78"/>
        <w:ind w:left="851" w:hanging="284"/>
        <w:rPr>
          <w:b/>
          <w:sz w:val="24"/>
        </w:rPr>
      </w:pPr>
      <w:r w:rsidRPr="00BA5375">
        <w:rPr>
          <w:b/>
          <w:sz w:val="24"/>
        </w:rPr>
        <w:t>Essential:</w:t>
      </w:r>
    </w:p>
    <w:p w:rsidR="00F748A3" w:rsidRPr="00F748A3" w:rsidRDefault="00F748A3" w:rsidP="00BA5375">
      <w:pPr>
        <w:tabs>
          <w:tab w:val="left" w:pos="928"/>
          <w:tab w:val="left" w:pos="929"/>
        </w:tabs>
        <w:spacing w:before="78"/>
        <w:ind w:left="851" w:hanging="284"/>
        <w:rPr>
          <w:sz w:val="24"/>
        </w:rPr>
      </w:pPr>
      <w:r w:rsidRPr="00F748A3">
        <w:rPr>
          <w:sz w:val="24"/>
        </w:rPr>
        <w:t>• Application form</w:t>
      </w:r>
    </w:p>
    <w:p w:rsidR="00F748A3" w:rsidRPr="00F748A3" w:rsidRDefault="00F748A3" w:rsidP="00BA5375">
      <w:pPr>
        <w:tabs>
          <w:tab w:val="left" w:pos="928"/>
          <w:tab w:val="left" w:pos="929"/>
        </w:tabs>
        <w:spacing w:before="78"/>
        <w:ind w:left="851" w:hanging="284"/>
        <w:rPr>
          <w:sz w:val="24"/>
        </w:rPr>
      </w:pPr>
      <w:r w:rsidRPr="00F748A3">
        <w:rPr>
          <w:sz w:val="24"/>
        </w:rPr>
        <w:t>• State Aid declaration</w:t>
      </w:r>
    </w:p>
    <w:p w:rsidR="00F748A3" w:rsidRPr="00F748A3" w:rsidRDefault="00F748A3" w:rsidP="00BA5375">
      <w:pPr>
        <w:tabs>
          <w:tab w:val="left" w:pos="928"/>
          <w:tab w:val="left" w:pos="929"/>
        </w:tabs>
        <w:spacing w:before="78"/>
        <w:ind w:left="851" w:hanging="284"/>
        <w:rPr>
          <w:sz w:val="24"/>
        </w:rPr>
      </w:pPr>
      <w:r w:rsidRPr="00F748A3">
        <w:rPr>
          <w:sz w:val="24"/>
        </w:rPr>
        <w:t>• Company Insurances</w:t>
      </w:r>
    </w:p>
    <w:p w:rsidR="00F748A3" w:rsidRDefault="00F748A3" w:rsidP="00BA5375">
      <w:pPr>
        <w:tabs>
          <w:tab w:val="left" w:pos="928"/>
          <w:tab w:val="left" w:pos="929"/>
        </w:tabs>
        <w:spacing w:before="78"/>
        <w:ind w:left="851" w:hanging="284"/>
        <w:rPr>
          <w:sz w:val="24"/>
        </w:rPr>
      </w:pPr>
      <w:r w:rsidRPr="00F748A3">
        <w:rPr>
          <w:sz w:val="24"/>
        </w:rPr>
        <w:t>• Detailed programme (before &amp; during construction)</w:t>
      </w:r>
    </w:p>
    <w:p w:rsidR="00BA5375" w:rsidRDefault="00BA5375" w:rsidP="00F748A3">
      <w:pPr>
        <w:tabs>
          <w:tab w:val="left" w:pos="928"/>
          <w:tab w:val="left" w:pos="929"/>
        </w:tabs>
        <w:spacing w:before="78"/>
        <w:rPr>
          <w:sz w:val="24"/>
        </w:rPr>
      </w:pPr>
    </w:p>
    <w:p w:rsidR="00F748A3" w:rsidRPr="00F748A3" w:rsidRDefault="00F748A3" w:rsidP="00BA5375">
      <w:pPr>
        <w:tabs>
          <w:tab w:val="left" w:pos="928"/>
          <w:tab w:val="left" w:pos="929"/>
        </w:tabs>
        <w:spacing w:before="78"/>
        <w:ind w:left="567"/>
        <w:rPr>
          <w:sz w:val="24"/>
        </w:rPr>
      </w:pPr>
      <w:r w:rsidRPr="00BA5375">
        <w:rPr>
          <w:b/>
          <w:sz w:val="24"/>
        </w:rPr>
        <w:t>Desirable</w:t>
      </w:r>
      <w:r w:rsidRPr="00F748A3">
        <w:rPr>
          <w:sz w:val="24"/>
        </w:rPr>
        <w:t xml:space="preserve"> (in the most complete form available):</w:t>
      </w:r>
    </w:p>
    <w:p w:rsidR="00F748A3" w:rsidRPr="00BA5375" w:rsidRDefault="00F748A3" w:rsidP="00BA5375">
      <w:pPr>
        <w:tabs>
          <w:tab w:val="left" w:pos="928"/>
          <w:tab w:val="left" w:pos="929"/>
        </w:tabs>
        <w:spacing w:before="78"/>
        <w:ind w:left="567"/>
        <w:rPr>
          <w:i/>
          <w:sz w:val="24"/>
        </w:rPr>
      </w:pPr>
      <w:r w:rsidRPr="00BA5375">
        <w:rPr>
          <w:i/>
          <w:sz w:val="24"/>
        </w:rPr>
        <w:t>Financial</w:t>
      </w:r>
    </w:p>
    <w:p w:rsidR="00F748A3" w:rsidRPr="00F748A3" w:rsidRDefault="00F748A3" w:rsidP="00BA5375">
      <w:pPr>
        <w:tabs>
          <w:tab w:val="left" w:pos="928"/>
          <w:tab w:val="left" w:pos="929"/>
        </w:tabs>
        <w:spacing w:before="78"/>
        <w:ind w:left="567"/>
        <w:rPr>
          <w:sz w:val="24"/>
        </w:rPr>
      </w:pPr>
      <w:r w:rsidRPr="00F748A3">
        <w:rPr>
          <w:sz w:val="24"/>
        </w:rPr>
        <w:t>• Parent company accounts (if needed, last 3 years published accounts)</w:t>
      </w:r>
    </w:p>
    <w:p w:rsidR="00F748A3" w:rsidRPr="00F748A3" w:rsidRDefault="00F748A3" w:rsidP="00BA5375">
      <w:pPr>
        <w:tabs>
          <w:tab w:val="left" w:pos="928"/>
          <w:tab w:val="left" w:pos="929"/>
        </w:tabs>
        <w:spacing w:before="78"/>
        <w:ind w:left="567"/>
        <w:rPr>
          <w:sz w:val="24"/>
        </w:rPr>
      </w:pPr>
      <w:r w:rsidRPr="00F748A3">
        <w:rPr>
          <w:sz w:val="24"/>
        </w:rPr>
        <w:t>• Proof of bank interest rates</w:t>
      </w:r>
    </w:p>
    <w:p w:rsidR="00F748A3" w:rsidRPr="00F748A3" w:rsidRDefault="00F748A3" w:rsidP="00BA5375">
      <w:pPr>
        <w:tabs>
          <w:tab w:val="left" w:pos="928"/>
          <w:tab w:val="left" w:pos="929"/>
        </w:tabs>
        <w:spacing w:before="78"/>
        <w:ind w:left="567"/>
        <w:rPr>
          <w:sz w:val="24"/>
        </w:rPr>
      </w:pPr>
      <w:r w:rsidRPr="00F748A3">
        <w:rPr>
          <w:sz w:val="24"/>
        </w:rPr>
        <w:t>• Credit worthiness documentation (if available)</w:t>
      </w:r>
    </w:p>
    <w:p w:rsidR="00F748A3" w:rsidRPr="00F748A3" w:rsidRDefault="00F748A3" w:rsidP="00BA5375">
      <w:pPr>
        <w:tabs>
          <w:tab w:val="left" w:pos="928"/>
          <w:tab w:val="left" w:pos="929"/>
        </w:tabs>
        <w:spacing w:before="78"/>
        <w:ind w:left="567"/>
        <w:rPr>
          <w:sz w:val="24"/>
        </w:rPr>
      </w:pPr>
      <w:r w:rsidRPr="00F748A3">
        <w:rPr>
          <w:sz w:val="24"/>
        </w:rPr>
        <w:t>• 3rd party financial investment information (if relevant)</w:t>
      </w:r>
    </w:p>
    <w:p w:rsidR="00F748A3" w:rsidRDefault="00F748A3" w:rsidP="00BA5375">
      <w:pPr>
        <w:tabs>
          <w:tab w:val="left" w:pos="928"/>
          <w:tab w:val="left" w:pos="929"/>
        </w:tabs>
        <w:spacing w:before="78"/>
        <w:ind w:left="567"/>
        <w:rPr>
          <w:sz w:val="24"/>
        </w:rPr>
      </w:pPr>
      <w:r w:rsidRPr="00F748A3">
        <w:rPr>
          <w:sz w:val="24"/>
        </w:rPr>
        <w:t>• 3rd party land valuations (if relevant)</w:t>
      </w:r>
    </w:p>
    <w:p w:rsidR="009F10E7" w:rsidRDefault="009F10E7" w:rsidP="00BA5375">
      <w:pPr>
        <w:tabs>
          <w:tab w:val="left" w:pos="928"/>
          <w:tab w:val="left" w:pos="929"/>
        </w:tabs>
        <w:spacing w:before="78"/>
        <w:ind w:left="567"/>
        <w:rPr>
          <w:sz w:val="24"/>
        </w:rPr>
      </w:pPr>
    </w:p>
    <w:p w:rsidR="009F10E7" w:rsidRDefault="009F10E7" w:rsidP="00BA5375">
      <w:pPr>
        <w:tabs>
          <w:tab w:val="left" w:pos="928"/>
          <w:tab w:val="left" w:pos="929"/>
        </w:tabs>
        <w:spacing w:before="78"/>
        <w:ind w:left="567"/>
        <w:rPr>
          <w:sz w:val="24"/>
        </w:rPr>
      </w:pPr>
    </w:p>
    <w:p w:rsidR="009F10E7" w:rsidRDefault="009F10E7" w:rsidP="00BA5375">
      <w:pPr>
        <w:tabs>
          <w:tab w:val="left" w:pos="928"/>
          <w:tab w:val="left" w:pos="929"/>
        </w:tabs>
        <w:spacing w:before="78"/>
        <w:ind w:left="567"/>
        <w:rPr>
          <w:sz w:val="24"/>
        </w:rPr>
      </w:pPr>
    </w:p>
    <w:p w:rsidR="009F10E7" w:rsidRPr="00F748A3" w:rsidRDefault="009F10E7" w:rsidP="00BA5375">
      <w:pPr>
        <w:tabs>
          <w:tab w:val="left" w:pos="928"/>
          <w:tab w:val="left" w:pos="929"/>
        </w:tabs>
        <w:spacing w:before="78"/>
        <w:ind w:left="567"/>
        <w:rPr>
          <w:sz w:val="24"/>
        </w:rPr>
      </w:pPr>
    </w:p>
    <w:p w:rsidR="00F748A3" w:rsidRPr="00BA5375" w:rsidRDefault="00F748A3" w:rsidP="00BA5375">
      <w:pPr>
        <w:tabs>
          <w:tab w:val="left" w:pos="928"/>
          <w:tab w:val="left" w:pos="929"/>
        </w:tabs>
        <w:spacing w:before="78"/>
        <w:ind w:left="567"/>
        <w:rPr>
          <w:i/>
          <w:sz w:val="24"/>
        </w:rPr>
      </w:pPr>
      <w:r w:rsidRPr="00BA5375">
        <w:rPr>
          <w:i/>
          <w:sz w:val="24"/>
        </w:rPr>
        <w:t>Legal/procedural</w:t>
      </w:r>
    </w:p>
    <w:p w:rsidR="00F748A3" w:rsidRPr="00F748A3" w:rsidRDefault="00F748A3" w:rsidP="00BA5375">
      <w:pPr>
        <w:tabs>
          <w:tab w:val="left" w:pos="928"/>
          <w:tab w:val="left" w:pos="929"/>
        </w:tabs>
        <w:spacing w:before="78"/>
        <w:ind w:left="567"/>
        <w:rPr>
          <w:sz w:val="24"/>
        </w:rPr>
      </w:pPr>
      <w:r w:rsidRPr="00F748A3">
        <w:rPr>
          <w:sz w:val="24"/>
        </w:rPr>
        <w:t>• Security for the loan</w:t>
      </w:r>
    </w:p>
    <w:p w:rsidR="00F748A3" w:rsidRPr="00F748A3" w:rsidRDefault="00F748A3" w:rsidP="00BA5375">
      <w:pPr>
        <w:tabs>
          <w:tab w:val="left" w:pos="928"/>
          <w:tab w:val="left" w:pos="929"/>
        </w:tabs>
        <w:spacing w:before="78"/>
        <w:ind w:left="567"/>
        <w:rPr>
          <w:sz w:val="24"/>
        </w:rPr>
      </w:pPr>
      <w:r w:rsidRPr="00F748A3">
        <w:rPr>
          <w:sz w:val="24"/>
        </w:rPr>
        <w:t>• Proof of land ownership</w:t>
      </w:r>
    </w:p>
    <w:p w:rsidR="00F748A3" w:rsidRPr="00F748A3" w:rsidRDefault="00F748A3" w:rsidP="00BA5375">
      <w:pPr>
        <w:tabs>
          <w:tab w:val="left" w:pos="928"/>
          <w:tab w:val="left" w:pos="929"/>
        </w:tabs>
        <w:spacing w:before="78"/>
        <w:ind w:left="567"/>
        <w:rPr>
          <w:sz w:val="24"/>
        </w:rPr>
      </w:pPr>
      <w:r w:rsidRPr="00F748A3">
        <w:rPr>
          <w:sz w:val="24"/>
        </w:rPr>
        <w:t>• Proposals for addressing any pre-commencement planning conditions</w:t>
      </w:r>
    </w:p>
    <w:p w:rsidR="00F748A3" w:rsidRPr="00BA5375" w:rsidRDefault="00F748A3" w:rsidP="00BA5375">
      <w:pPr>
        <w:tabs>
          <w:tab w:val="left" w:pos="928"/>
          <w:tab w:val="left" w:pos="929"/>
        </w:tabs>
        <w:spacing w:before="78"/>
        <w:ind w:left="567"/>
        <w:rPr>
          <w:i/>
          <w:sz w:val="24"/>
        </w:rPr>
      </w:pPr>
      <w:r w:rsidRPr="00BA5375">
        <w:rPr>
          <w:i/>
          <w:sz w:val="24"/>
        </w:rPr>
        <w:t>Design/construction</w:t>
      </w:r>
    </w:p>
    <w:p w:rsidR="00F748A3" w:rsidRPr="00F748A3" w:rsidRDefault="00F748A3" w:rsidP="00BA5375">
      <w:pPr>
        <w:tabs>
          <w:tab w:val="left" w:pos="928"/>
          <w:tab w:val="left" w:pos="929"/>
        </w:tabs>
        <w:spacing w:before="78"/>
        <w:ind w:left="567"/>
        <w:rPr>
          <w:sz w:val="24"/>
        </w:rPr>
      </w:pPr>
      <w:r w:rsidRPr="00F748A3">
        <w:rPr>
          <w:sz w:val="24"/>
        </w:rPr>
        <w:t>• Details of design team or consultant appointments</w:t>
      </w:r>
    </w:p>
    <w:p w:rsidR="00F748A3" w:rsidRPr="00F748A3" w:rsidRDefault="00F748A3" w:rsidP="00BA5375">
      <w:pPr>
        <w:tabs>
          <w:tab w:val="left" w:pos="928"/>
          <w:tab w:val="left" w:pos="929"/>
        </w:tabs>
        <w:spacing w:before="78"/>
        <w:ind w:left="567"/>
        <w:rPr>
          <w:sz w:val="24"/>
        </w:rPr>
      </w:pPr>
      <w:r w:rsidRPr="00F748A3">
        <w:rPr>
          <w:sz w:val="24"/>
        </w:rPr>
        <w:t>• All construction drawings</w:t>
      </w:r>
    </w:p>
    <w:p w:rsidR="00F748A3" w:rsidRDefault="00F748A3" w:rsidP="00BA5375">
      <w:pPr>
        <w:tabs>
          <w:tab w:val="left" w:pos="928"/>
          <w:tab w:val="left" w:pos="929"/>
        </w:tabs>
        <w:spacing w:before="78"/>
        <w:ind w:left="567"/>
        <w:rPr>
          <w:sz w:val="24"/>
        </w:rPr>
      </w:pPr>
      <w:r w:rsidRPr="00F748A3">
        <w:rPr>
          <w:sz w:val="24"/>
        </w:rPr>
        <w:t>• Specification documents</w:t>
      </w:r>
    </w:p>
    <w:p w:rsidR="00F748A3" w:rsidRPr="00F748A3" w:rsidRDefault="00F748A3" w:rsidP="00BA5375">
      <w:pPr>
        <w:tabs>
          <w:tab w:val="left" w:pos="928"/>
          <w:tab w:val="left" w:pos="929"/>
        </w:tabs>
        <w:spacing w:before="78"/>
        <w:ind w:left="567"/>
        <w:rPr>
          <w:sz w:val="24"/>
        </w:rPr>
      </w:pPr>
      <w:r w:rsidRPr="00F748A3">
        <w:rPr>
          <w:sz w:val="24"/>
        </w:rPr>
        <w:t>• Survey reports and information</w:t>
      </w:r>
    </w:p>
    <w:p w:rsidR="00F748A3" w:rsidRPr="00F748A3" w:rsidRDefault="00F748A3" w:rsidP="00BA5375">
      <w:pPr>
        <w:tabs>
          <w:tab w:val="left" w:pos="928"/>
          <w:tab w:val="left" w:pos="929"/>
        </w:tabs>
        <w:spacing w:before="78"/>
        <w:ind w:left="567"/>
        <w:rPr>
          <w:sz w:val="24"/>
        </w:rPr>
      </w:pPr>
      <w:r w:rsidRPr="00F748A3">
        <w:rPr>
          <w:sz w:val="24"/>
        </w:rPr>
        <w:t>• Building control documents</w:t>
      </w:r>
    </w:p>
    <w:p w:rsidR="00F748A3" w:rsidRPr="00F748A3" w:rsidRDefault="00F748A3" w:rsidP="00BA5375">
      <w:pPr>
        <w:tabs>
          <w:tab w:val="left" w:pos="928"/>
          <w:tab w:val="left" w:pos="929"/>
        </w:tabs>
        <w:spacing w:before="78"/>
        <w:ind w:left="567"/>
        <w:rPr>
          <w:sz w:val="24"/>
        </w:rPr>
      </w:pPr>
      <w:r w:rsidRPr="00F748A3">
        <w:rPr>
          <w:sz w:val="24"/>
        </w:rPr>
        <w:t>• Updated cost plan and development appraisal</w:t>
      </w:r>
    </w:p>
    <w:p w:rsidR="00F748A3" w:rsidRPr="00F748A3" w:rsidRDefault="00F748A3" w:rsidP="00BA5375">
      <w:pPr>
        <w:tabs>
          <w:tab w:val="left" w:pos="928"/>
          <w:tab w:val="left" w:pos="929"/>
        </w:tabs>
        <w:spacing w:before="78"/>
        <w:ind w:left="567"/>
        <w:rPr>
          <w:sz w:val="24"/>
        </w:rPr>
      </w:pPr>
      <w:r w:rsidRPr="00F748A3">
        <w:rPr>
          <w:sz w:val="24"/>
        </w:rPr>
        <w:t>• Income forecast post completion until repayment of the loan</w:t>
      </w:r>
    </w:p>
    <w:p w:rsidR="00B226D2" w:rsidRDefault="00F748A3" w:rsidP="00BA5375">
      <w:pPr>
        <w:tabs>
          <w:tab w:val="left" w:pos="928"/>
          <w:tab w:val="left" w:pos="929"/>
        </w:tabs>
        <w:spacing w:before="78"/>
        <w:ind w:left="567"/>
        <w:rPr>
          <w:sz w:val="24"/>
        </w:rPr>
      </w:pPr>
      <w:r w:rsidRPr="00F748A3">
        <w:rPr>
          <w:sz w:val="24"/>
        </w:rPr>
        <w:t>• Procurement proposals/process</w:t>
      </w:r>
    </w:p>
    <w:p w:rsidR="00B226D2" w:rsidRDefault="00B226D2" w:rsidP="00B226D2">
      <w:pPr>
        <w:tabs>
          <w:tab w:val="left" w:pos="928"/>
          <w:tab w:val="left" w:pos="929"/>
        </w:tabs>
        <w:spacing w:before="78"/>
        <w:rPr>
          <w:sz w:val="24"/>
        </w:rPr>
      </w:pPr>
    </w:p>
    <w:p w:rsidR="00BE5C0D" w:rsidRPr="00BA5375" w:rsidRDefault="00BE5C0D" w:rsidP="00BA5375">
      <w:pPr>
        <w:pStyle w:val="BodyText"/>
        <w:spacing w:before="3"/>
        <w:ind w:left="0"/>
        <w:rPr>
          <w:b/>
        </w:rPr>
      </w:pPr>
    </w:p>
    <w:p w:rsidR="00BE5C0D" w:rsidRPr="00BA5375" w:rsidRDefault="00BE5C0D" w:rsidP="00BA5375">
      <w:pPr>
        <w:pStyle w:val="BodyText"/>
        <w:spacing w:before="3"/>
        <w:ind w:left="0"/>
        <w:rPr>
          <w:b/>
        </w:rPr>
      </w:pPr>
    </w:p>
    <w:p w:rsidR="00BE5C0D" w:rsidRDefault="00BA5375" w:rsidP="00BA5375">
      <w:pPr>
        <w:pStyle w:val="Heading1"/>
        <w:numPr>
          <w:ilvl w:val="0"/>
          <w:numId w:val="10"/>
        </w:numPr>
        <w:tabs>
          <w:tab w:val="left" w:pos="940"/>
          <w:tab w:val="left" w:pos="941"/>
        </w:tabs>
        <w:rPr>
          <w:b/>
        </w:rPr>
      </w:pPr>
      <w:r>
        <w:rPr>
          <w:b/>
        </w:rPr>
        <w:t>Application</w:t>
      </w:r>
      <w:r w:rsidR="00A17689" w:rsidRPr="00BA5375">
        <w:rPr>
          <w:b/>
        </w:rPr>
        <w:t xml:space="preserve"> Submission</w:t>
      </w:r>
    </w:p>
    <w:p w:rsidR="009F10E7" w:rsidRPr="00BA5375" w:rsidRDefault="009F10E7" w:rsidP="009F10E7">
      <w:pPr>
        <w:pStyle w:val="Heading1"/>
        <w:tabs>
          <w:tab w:val="left" w:pos="940"/>
          <w:tab w:val="left" w:pos="941"/>
        </w:tabs>
        <w:rPr>
          <w:b/>
        </w:rPr>
      </w:pPr>
    </w:p>
    <w:p w:rsidR="00BA5375" w:rsidRPr="00381D87" w:rsidRDefault="00BA5375" w:rsidP="00BA5375">
      <w:r w:rsidRPr="00381D87">
        <w:t xml:space="preserve">Please return the completed form to </w:t>
      </w:r>
      <w:r>
        <w:t>Nigel Senior</w:t>
      </w:r>
      <w:r w:rsidRPr="00381D87">
        <w:t xml:space="preserve"> </w:t>
      </w:r>
      <w:r>
        <w:t xml:space="preserve">/ Sarah Simpson </w:t>
      </w:r>
      <w:r w:rsidRPr="00381D87">
        <w:t xml:space="preserve">at the email address below by </w:t>
      </w:r>
      <w:r>
        <w:t>23:59</w:t>
      </w:r>
      <w:r w:rsidRPr="00381D87">
        <w:t xml:space="preserve"> on </w:t>
      </w:r>
      <w:r>
        <w:t>Fri</w:t>
      </w:r>
      <w:r w:rsidRPr="00381D87">
        <w:t xml:space="preserve">day </w:t>
      </w:r>
      <w:r>
        <w:t>18</w:t>
      </w:r>
      <w:r w:rsidRPr="00BA5375">
        <w:rPr>
          <w:vertAlign w:val="superscript"/>
        </w:rPr>
        <w:t>th</w:t>
      </w:r>
      <w:r>
        <w:t xml:space="preserve"> May </w:t>
      </w:r>
      <w:r w:rsidRPr="00381D87">
        <w:t>201</w:t>
      </w:r>
      <w:r>
        <w:t>8</w:t>
      </w:r>
      <w:r w:rsidRPr="00381D87">
        <w:t>.</w:t>
      </w:r>
    </w:p>
    <w:p w:rsidR="00BA5375" w:rsidRPr="00D228AE" w:rsidRDefault="00BA5375" w:rsidP="00BA5375"/>
    <w:p w:rsidR="00BA5375" w:rsidRDefault="00BA5375" w:rsidP="00BA5375">
      <w:pPr>
        <w:rPr>
          <w:b/>
        </w:rPr>
      </w:pPr>
      <w:r w:rsidRPr="00BA5375">
        <w:rPr>
          <w:b/>
        </w:rPr>
        <w:t>APPLICATION ENQUIRIES</w:t>
      </w:r>
    </w:p>
    <w:p w:rsidR="009F10E7" w:rsidRPr="00BA5375" w:rsidRDefault="009F10E7" w:rsidP="00BA5375">
      <w:pPr>
        <w:rPr>
          <w:b/>
        </w:rPr>
      </w:pPr>
    </w:p>
    <w:p w:rsidR="00BA5375" w:rsidRDefault="009F10E7" w:rsidP="00BA5375">
      <w:pPr>
        <w:jc w:val="both"/>
      </w:pPr>
      <w:r w:rsidRPr="00BA5375">
        <w:rPr>
          <w:bCs/>
          <w:noProof/>
          <w:lang w:bidi="ar-SA"/>
        </w:rPr>
        <mc:AlternateContent>
          <mc:Choice Requires="wps">
            <w:drawing>
              <wp:anchor distT="0" distB="0" distL="114300" distR="114300" simplePos="0" relativeHeight="251665408" behindDoc="1" locked="0" layoutInCell="1" allowOverlap="1" wp14:anchorId="7D38F64F" wp14:editId="0D4E38BA">
                <wp:simplePos x="0" y="0"/>
                <wp:positionH relativeFrom="column">
                  <wp:posOffset>3360420</wp:posOffset>
                </wp:positionH>
                <wp:positionV relativeFrom="paragraph">
                  <wp:posOffset>243840</wp:posOffset>
                </wp:positionV>
                <wp:extent cx="2374265" cy="1403985"/>
                <wp:effectExtent l="0" t="0" r="0" b="1905"/>
                <wp:wrapThrough wrapText="bothSides">
                  <wp:wrapPolygon edited="0">
                    <wp:start x="0" y="0"/>
                    <wp:lineTo x="0" y="21431"/>
                    <wp:lineTo x="21385" y="21431"/>
                    <wp:lineTo x="21385"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A5375" w:rsidRPr="00BA5375" w:rsidRDefault="00BA5375" w:rsidP="00BA5375">
                            <w:pPr>
                              <w:rPr>
                                <w:color w:val="000000"/>
                              </w:rPr>
                            </w:pPr>
                            <w:r>
                              <w:rPr>
                                <w:bCs/>
                              </w:rPr>
                              <w:t>Sarah Simpson</w:t>
                            </w:r>
                          </w:p>
                          <w:p w:rsidR="00BA5375" w:rsidRPr="00BA5375" w:rsidRDefault="00BA5375" w:rsidP="00BA5375">
                            <w:pPr>
                              <w:rPr>
                                <w:color w:val="000000"/>
                              </w:rPr>
                            </w:pPr>
                            <w:r w:rsidRPr="00BA5375">
                              <w:rPr>
                                <w:color w:val="000000"/>
                              </w:rPr>
                              <w:t xml:space="preserve">External Funding </w:t>
                            </w:r>
                            <w:r>
                              <w:rPr>
                                <w:color w:val="000000"/>
                              </w:rPr>
                              <w:t>Offic</w:t>
                            </w:r>
                            <w:r w:rsidRPr="00BA5375">
                              <w:rPr>
                                <w:color w:val="000000"/>
                              </w:rPr>
                              <w:t>er</w:t>
                            </w:r>
                          </w:p>
                          <w:p w:rsidR="00BA5375" w:rsidRPr="00BA5375" w:rsidRDefault="00BA5375" w:rsidP="00BA5375">
                            <w:pPr>
                              <w:rPr>
                                <w:color w:val="000000"/>
                              </w:rPr>
                            </w:pPr>
                            <w:r w:rsidRPr="00BA5375">
                              <w:rPr>
                                <w:color w:val="000000"/>
                              </w:rPr>
                              <w:t>Business &amp; Enterprise</w:t>
                            </w:r>
                          </w:p>
                          <w:p w:rsidR="00BA5375" w:rsidRPr="00BA5375" w:rsidRDefault="00BA5375" w:rsidP="00BA5375">
                            <w:pPr>
                              <w:rPr>
                                <w:color w:val="000000"/>
                              </w:rPr>
                            </w:pPr>
                            <w:r w:rsidRPr="00BA5375">
                              <w:rPr>
                                <w:color w:val="000000"/>
                              </w:rPr>
                              <w:t>Staffordshire County Council</w:t>
                            </w:r>
                          </w:p>
                          <w:p w:rsidR="00BA5375" w:rsidRPr="00BA5375" w:rsidRDefault="00BA5375" w:rsidP="00BA5375">
                            <w:pPr>
                              <w:rPr>
                                <w:color w:val="000000"/>
                              </w:rPr>
                            </w:pPr>
                            <w:r w:rsidRPr="00BA5375">
                              <w:rPr>
                                <w:color w:val="000000"/>
                              </w:rPr>
                              <w:t xml:space="preserve">2 Staffordshire Place, </w:t>
                            </w:r>
                          </w:p>
                          <w:p w:rsidR="00BA5375" w:rsidRPr="00BA5375" w:rsidRDefault="00BA5375" w:rsidP="00BA5375">
                            <w:pPr>
                              <w:rPr>
                                <w:color w:val="000000"/>
                              </w:rPr>
                            </w:pPr>
                            <w:r w:rsidRPr="00BA5375">
                              <w:rPr>
                                <w:color w:val="000000"/>
                              </w:rPr>
                              <w:t xml:space="preserve">Tipping Street, </w:t>
                            </w:r>
                          </w:p>
                          <w:p w:rsidR="00BA5375" w:rsidRPr="00BA5375" w:rsidRDefault="00BA5375" w:rsidP="00BA5375">
                            <w:pPr>
                              <w:rPr>
                                <w:color w:val="000000"/>
                              </w:rPr>
                            </w:pPr>
                            <w:r w:rsidRPr="00BA5375">
                              <w:rPr>
                                <w:color w:val="000000"/>
                              </w:rPr>
                              <w:t xml:space="preserve">Stafford. </w:t>
                            </w:r>
                          </w:p>
                          <w:p w:rsidR="00BA5375" w:rsidRPr="00BA5375" w:rsidRDefault="00BA5375" w:rsidP="00BA5375">
                            <w:pPr>
                              <w:rPr>
                                <w:color w:val="000000"/>
                              </w:rPr>
                            </w:pPr>
                            <w:r w:rsidRPr="00BA5375">
                              <w:rPr>
                                <w:color w:val="000000"/>
                              </w:rPr>
                              <w:t>ST16 2DH.</w:t>
                            </w:r>
                          </w:p>
                          <w:p w:rsidR="00BA5375" w:rsidRPr="00BA5375" w:rsidRDefault="00BA5375" w:rsidP="00BA5375">
                            <w:pPr>
                              <w:rPr>
                                <w:color w:val="000000"/>
                              </w:rPr>
                            </w:pPr>
                          </w:p>
                          <w:p w:rsidR="00BA5375" w:rsidRPr="00BA5375" w:rsidRDefault="00BA5375" w:rsidP="00BA5375">
                            <w:pPr>
                              <w:rPr>
                                <w:color w:val="000000"/>
                              </w:rPr>
                            </w:pPr>
                            <w:r w:rsidRPr="00BA5375">
                              <w:rPr>
                                <w:color w:val="000000"/>
                              </w:rPr>
                              <w:t>Tel No: 01785 277</w:t>
                            </w:r>
                            <w:r>
                              <w:rPr>
                                <w:color w:val="000000"/>
                              </w:rPr>
                              <w:t>706</w:t>
                            </w:r>
                          </w:p>
                          <w:p w:rsidR="00BA5375" w:rsidRPr="00BA5375" w:rsidRDefault="00BA5375" w:rsidP="00BA5375">
                            <w:pPr>
                              <w:rPr>
                                <w:color w:val="000000"/>
                                <w:lang w:val="fr-FR"/>
                              </w:rPr>
                            </w:pPr>
                            <w:r w:rsidRPr="00BA5375">
                              <w:rPr>
                                <w:color w:val="000000"/>
                                <w:lang w:val="fr-FR"/>
                              </w:rPr>
                              <w:t xml:space="preserve">E-mail: </w:t>
                            </w:r>
                            <w:hyperlink r:id="rId15" w:history="1">
                              <w:r w:rsidRPr="0087119F">
                                <w:rPr>
                                  <w:rStyle w:val="Hyperlink"/>
                                  <w:lang w:val="fr-FR"/>
                                </w:rPr>
                                <w:t>sarah.simpson@staffordshire.gov.uk</w:t>
                              </w:r>
                            </w:hyperlink>
                          </w:p>
                          <w:p w:rsidR="00BA5375" w:rsidRDefault="00BA53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64.6pt;margin-top:19.2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F0Iw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3XFqVEGOmrR&#10;sxwCe4sDKyI7vfUlOT1ZcgsDPVOXU6XePqL45pnBdQtmJ++dw76VUFN20xiZXYSOOD6CbPuPWNM3&#10;sA+YgIbGdZE6IoMROnXpeO5MTEXQY3F1Myuu55wJsk1n+dXidp7+gPIl3Dof3kvsWBQq7qj1CR4O&#10;jz7EdKB8cYm/edSq3iitk+J227V27AA0Jpt0Tui/uWnD+oov5sU8IRuM8WmCOhVojLXqiMc8nhgO&#10;ZaTjnamTHEDpUaZMtDnxEykZyQnDdkiNONO+xfpIhDkcp5a2jIQW3Q/OeprYivvve3CSM/3BEOmL&#10;6WwWRzwps/lNQYq7tGwvLWAEQVU8cDaK65DWItFh76k5G5Voi10cMzmlTJOY2DxtTRz1Sz15/drt&#10;1U8AAAD//wMAUEsDBBQABgAIAAAAIQBJPjv/4QAAAAoBAAAPAAAAZHJzL2Rvd25yZXYueG1sTI/L&#10;TsMwEEX3SPyDNUhsEHXikqoJcary2rBrGySW02SaBOJxFLtt4OsxK1iO7tG9Z/LVZHpxotF1ljXE&#10;swgEcWXrjhsN5e7ldgnCeeQae8uk4YscrIrLixyz2p55Q6etb0QoYZehhtb7IZPSVS0ZdDM7EIfs&#10;YEeDPpxjI+sRz6Hc9FJF0UIa7DgstDjQY0vV5/ZoNHw/lE/r5xsfH5R/V28b81pWH6j19dW0vgfh&#10;afJ/MPzqB3UogtPeHrl2oteQqFQFVMN8eQciAGk0j0HsNagkTUAWufz/QvEDAAD//wMAUEsBAi0A&#10;FAAGAAgAAAAhALaDOJL+AAAA4QEAABMAAAAAAAAAAAAAAAAAAAAAAFtDb250ZW50X1R5cGVzXS54&#10;bWxQSwECLQAUAAYACAAAACEAOP0h/9YAAACUAQAACwAAAAAAAAAAAAAAAAAvAQAAX3JlbHMvLnJl&#10;bHNQSwECLQAUAAYACAAAACEAD/aRdCMCAAAjBAAADgAAAAAAAAAAAAAAAAAuAgAAZHJzL2Uyb0Rv&#10;Yy54bWxQSwECLQAUAAYACAAAACEAST47/+EAAAAKAQAADwAAAAAAAAAAAAAAAAB9BAAAZHJzL2Rv&#10;d25yZXYueG1sUEsFBgAAAAAEAAQA8wAAAIsFAAAAAA==&#10;" stroked="f">
                <v:textbox style="mso-fit-shape-to-text:t">
                  <w:txbxContent>
                    <w:p w:rsidR="00BA5375" w:rsidRPr="00BA5375" w:rsidRDefault="00BA5375" w:rsidP="00BA5375">
                      <w:pPr>
                        <w:rPr>
                          <w:color w:val="000000"/>
                        </w:rPr>
                      </w:pPr>
                      <w:r>
                        <w:rPr>
                          <w:bCs/>
                        </w:rPr>
                        <w:t>Sarah Simpson</w:t>
                      </w:r>
                    </w:p>
                    <w:p w:rsidR="00BA5375" w:rsidRPr="00BA5375" w:rsidRDefault="00BA5375" w:rsidP="00BA5375">
                      <w:pPr>
                        <w:rPr>
                          <w:color w:val="000000"/>
                        </w:rPr>
                      </w:pPr>
                      <w:r w:rsidRPr="00BA5375">
                        <w:rPr>
                          <w:color w:val="000000"/>
                        </w:rPr>
                        <w:t xml:space="preserve">External Funding </w:t>
                      </w:r>
                      <w:r>
                        <w:rPr>
                          <w:color w:val="000000"/>
                        </w:rPr>
                        <w:t>Offic</w:t>
                      </w:r>
                      <w:r w:rsidRPr="00BA5375">
                        <w:rPr>
                          <w:color w:val="000000"/>
                        </w:rPr>
                        <w:t>er</w:t>
                      </w:r>
                    </w:p>
                    <w:p w:rsidR="00BA5375" w:rsidRPr="00BA5375" w:rsidRDefault="00BA5375" w:rsidP="00BA5375">
                      <w:pPr>
                        <w:rPr>
                          <w:color w:val="000000"/>
                        </w:rPr>
                      </w:pPr>
                      <w:r w:rsidRPr="00BA5375">
                        <w:rPr>
                          <w:color w:val="000000"/>
                        </w:rPr>
                        <w:t>Business &amp; Enterprise</w:t>
                      </w:r>
                    </w:p>
                    <w:p w:rsidR="00BA5375" w:rsidRPr="00BA5375" w:rsidRDefault="00BA5375" w:rsidP="00BA5375">
                      <w:pPr>
                        <w:rPr>
                          <w:color w:val="000000"/>
                        </w:rPr>
                      </w:pPr>
                      <w:r w:rsidRPr="00BA5375">
                        <w:rPr>
                          <w:color w:val="000000"/>
                        </w:rPr>
                        <w:t>Staffordshire County Council</w:t>
                      </w:r>
                    </w:p>
                    <w:p w:rsidR="00BA5375" w:rsidRPr="00BA5375" w:rsidRDefault="00BA5375" w:rsidP="00BA5375">
                      <w:pPr>
                        <w:rPr>
                          <w:color w:val="000000"/>
                        </w:rPr>
                      </w:pPr>
                      <w:r w:rsidRPr="00BA5375">
                        <w:rPr>
                          <w:color w:val="000000"/>
                        </w:rPr>
                        <w:t xml:space="preserve">2 Staffordshire Place, </w:t>
                      </w:r>
                    </w:p>
                    <w:p w:rsidR="00BA5375" w:rsidRPr="00BA5375" w:rsidRDefault="00BA5375" w:rsidP="00BA5375">
                      <w:pPr>
                        <w:rPr>
                          <w:color w:val="000000"/>
                        </w:rPr>
                      </w:pPr>
                      <w:r w:rsidRPr="00BA5375">
                        <w:rPr>
                          <w:color w:val="000000"/>
                        </w:rPr>
                        <w:t xml:space="preserve">Tipping Street, </w:t>
                      </w:r>
                    </w:p>
                    <w:p w:rsidR="00BA5375" w:rsidRPr="00BA5375" w:rsidRDefault="00BA5375" w:rsidP="00BA5375">
                      <w:pPr>
                        <w:rPr>
                          <w:color w:val="000000"/>
                        </w:rPr>
                      </w:pPr>
                      <w:r w:rsidRPr="00BA5375">
                        <w:rPr>
                          <w:color w:val="000000"/>
                        </w:rPr>
                        <w:t xml:space="preserve">Stafford. </w:t>
                      </w:r>
                    </w:p>
                    <w:p w:rsidR="00BA5375" w:rsidRPr="00BA5375" w:rsidRDefault="00BA5375" w:rsidP="00BA5375">
                      <w:pPr>
                        <w:rPr>
                          <w:color w:val="000000"/>
                        </w:rPr>
                      </w:pPr>
                      <w:r w:rsidRPr="00BA5375">
                        <w:rPr>
                          <w:color w:val="000000"/>
                        </w:rPr>
                        <w:t>ST16 2DH.</w:t>
                      </w:r>
                    </w:p>
                    <w:p w:rsidR="00BA5375" w:rsidRPr="00BA5375" w:rsidRDefault="00BA5375" w:rsidP="00BA5375">
                      <w:pPr>
                        <w:rPr>
                          <w:color w:val="000000"/>
                        </w:rPr>
                      </w:pPr>
                    </w:p>
                    <w:p w:rsidR="00BA5375" w:rsidRPr="00BA5375" w:rsidRDefault="00BA5375" w:rsidP="00BA5375">
                      <w:pPr>
                        <w:rPr>
                          <w:color w:val="000000"/>
                        </w:rPr>
                      </w:pPr>
                      <w:r w:rsidRPr="00BA5375">
                        <w:rPr>
                          <w:color w:val="000000"/>
                        </w:rPr>
                        <w:t>Tel No: 01785 277</w:t>
                      </w:r>
                      <w:r>
                        <w:rPr>
                          <w:color w:val="000000"/>
                        </w:rPr>
                        <w:t>706</w:t>
                      </w:r>
                    </w:p>
                    <w:p w:rsidR="00BA5375" w:rsidRPr="00BA5375" w:rsidRDefault="00BA5375" w:rsidP="00BA5375">
                      <w:pPr>
                        <w:rPr>
                          <w:color w:val="000000"/>
                          <w:lang w:val="fr-FR"/>
                        </w:rPr>
                      </w:pPr>
                      <w:r w:rsidRPr="00BA5375">
                        <w:rPr>
                          <w:color w:val="000000"/>
                          <w:lang w:val="fr-FR"/>
                        </w:rPr>
                        <w:t xml:space="preserve">E-mail: </w:t>
                      </w:r>
                      <w:hyperlink r:id="rId18" w:history="1">
                        <w:r w:rsidRPr="0087119F">
                          <w:rPr>
                            <w:rStyle w:val="Hyperlink"/>
                            <w:lang w:val="fr-FR"/>
                          </w:rPr>
                          <w:t>sarah.simpson@staffordshire.gov.uk</w:t>
                        </w:r>
                      </w:hyperlink>
                    </w:p>
                    <w:p w:rsidR="00BA5375" w:rsidRDefault="00BA5375"/>
                  </w:txbxContent>
                </v:textbox>
                <w10:wrap type="through"/>
              </v:shape>
            </w:pict>
          </mc:Fallback>
        </mc:AlternateContent>
      </w:r>
      <w:r w:rsidR="00BA5375" w:rsidRPr="00D228AE">
        <w:t>Should you have any queries or require any further information in relation to the content of this form, please contact:</w:t>
      </w:r>
    </w:p>
    <w:p w:rsidR="009F10E7" w:rsidRPr="00D228AE" w:rsidRDefault="009F10E7" w:rsidP="00BA5375">
      <w:pPr>
        <w:jc w:val="both"/>
      </w:pPr>
    </w:p>
    <w:p w:rsidR="00BA5375" w:rsidRPr="00BA5375" w:rsidRDefault="00BA5375" w:rsidP="00BA5375">
      <w:pPr>
        <w:rPr>
          <w:color w:val="000000"/>
        </w:rPr>
      </w:pPr>
      <w:r w:rsidRPr="00BA5375">
        <w:rPr>
          <w:bCs/>
        </w:rPr>
        <w:t>Nigel Senior</w:t>
      </w:r>
    </w:p>
    <w:p w:rsidR="00BA5375" w:rsidRPr="00BA5375" w:rsidRDefault="00BA5375" w:rsidP="00BA5375">
      <w:pPr>
        <w:rPr>
          <w:color w:val="000000"/>
        </w:rPr>
      </w:pPr>
      <w:r w:rsidRPr="00BA5375">
        <w:rPr>
          <w:color w:val="000000"/>
        </w:rPr>
        <w:t>External Funding Manager</w:t>
      </w:r>
    </w:p>
    <w:p w:rsidR="00BA5375" w:rsidRPr="00BA5375" w:rsidRDefault="00BA5375" w:rsidP="00BA5375">
      <w:pPr>
        <w:rPr>
          <w:color w:val="000000"/>
        </w:rPr>
      </w:pPr>
      <w:r w:rsidRPr="00BA5375">
        <w:rPr>
          <w:color w:val="000000"/>
        </w:rPr>
        <w:t>Business &amp; Enterprise</w:t>
      </w:r>
    </w:p>
    <w:p w:rsidR="00BA5375" w:rsidRPr="00BA5375" w:rsidRDefault="00BA5375" w:rsidP="00BA5375">
      <w:pPr>
        <w:rPr>
          <w:color w:val="000000"/>
        </w:rPr>
      </w:pPr>
      <w:r w:rsidRPr="00BA5375">
        <w:rPr>
          <w:color w:val="000000"/>
        </w:rPr>
        <w:t>Staffordshire County Council</w:t>
      </w:r>
    </w:p>
    <w:p w:rsidR="00BA5375" w:rsidRPr="00BA5375" w:rsidRDefault="00BA5375" w:rsidP="00BA5375">
      <w:pPr>
        <w:rPr>
          <w:color w:val="000000"/>
        </w:rPr>
      </w:pPr>
      <w:r w:rsidRPr="00BA5375">
        <w:rPr>
          <w:color w:val="000000"/>
        </w:rPr>
        <w:t xml:space="preserve">2 Staffordshire Place, </w:t>
      </w:r>
    </w:p>
    <w:p w:rsidR="00BA5375" w:rsidRPr="00BA5375" w:rsidRDefault="00BA5375" w:rsidP="00BA5375">
      <w:pPr>
        <w:rPr>
          <w:color w:val="000000"/>
        </w:rPr>
      </w:pPr>
      <w:r w:rsidRPr="00BA5375">
        <w:rPr>
          <w:color w:val="000000"/>
        </w:rPr>
        <w:t xml:space="preserve">Tipping Street, </w:t>
      </w:r>
    </w:p>
    <w:p w:rsidR="00BA5375" w:rsidRPr="00BA5375" w:rsidRDefault="00BA5375" w:rsidP="00BA5375">
      <w:pPr>
        <w:rPr>
          <w:color w:val="000000"/>
        </w:rPr>
      </w:pPr>
      <w:r w:rsidRPr="00BA5375">
        <w:rPr>
          <w:color w:val="000000"/>
        </w:rPr>
        <w:t xml:space="preserve">Stafford. </w:t>
      </w:r>
    </w:p>
    <w:p w:rsidR="00BA5375" w:rsidRPr="00BA5375" w:rsidRDefault="00BA5375" w:rsidP="00BA5375">
      <w:pPr>
        <w:rPr>
          <w:color w:val="000000"/>
        </w:rPr>
      </w:pPr>
      <w:r w:rsidRPr="00BA5375">
        <w:rPr>
          <w:color w:val="000000"/>
        </w:rPr>
        <w:t>ST16 2DH.</w:t>
      </w:r>
    </w:p>
    <w:p w:rsidR="00BA5375" w:rsidRPr="00BA5375" w:rsidRDefault="00BA5375" w:rsidP="00BA5375">
      <w:pPr>
        <w:rPr>
          <w:color w:val="000000"/>
        </w:rPr>
      </w:pPr>
    </w:p>
    <w:p w:rsidR="00BA5375" w:rsidRPr="00BA5375" w:rsidRDefault="00BA5375" w:rsidP="00BA5375">
      <w:pPr>
        <w:rPr>
          <w:color w:val="000000"/>
        </w:rPr>
      </w:pPr>
      <w:r w:rsidRPr="00BA5375">
        <w:rPr>
          <w:color w:val="000000"/>
        </w:rPr>
        <w:t>Tel No: 01785 277365</w:t>
      </w:r>
    </w:p>
    <w:p w:rsidR="00BA5375" w:rsidRPr="00BA5375" w:rsidRDefault="00BA5375" w:rsidP="00BA5375">
      <w:pPr>
        <w:rPr>
          <w:color w:val="000000"/>
          <w:lang w:val="fr-FR"/>
        </w:rPr>
      </w:pPr>
      <w:r w:rsidRPr="00BA5375">
        <w:rPr>
          <w:color w:val="000000"/>
          <w:lang w:val="fr-FR"/>
        </w:rPr>
        <w:t xml:space="preserve">E-mail: </w:t>
      </w:r>
      <w:hyperlink r:id="rId19" w:history="1">
        <w:r w:rsidRPr="00BA5375">
          <w:rPr>
            <w:rStyle w:val="Hyperlink"/>
            <w:lang w:val="fr-FR"/>
          </w:rPr>
          <w:t>nigel.senior@staffordshire.gov.uk</w:t>
        </w:r>
      </w:hyperlink>
    </w:p>
    <w:p w:rsidR="00BE5C0D" w:rsidRDefault="00BE5C0D" w:rsidP="00BA5375">
      <w:pPr>
        <w:pStyle w:val="BodyText"/>
        <w:spacing w:before="304" w:line="276" w:lineRule="auto"/>
        <w:ind w:right="958"/>
        <w:rPr>
          <w:b/>
          <w:sz w:val="22"/>
        </w:rPr>
      </w:pPr>
    </w:p>
    <w:sectPr w:rsidR="00BE5C0D" w:rsidSect="00B226D2">
      <w:footerReference w:type="default" r:id="rId20"/>
      <w:pgSz w:w="11910" w:h="16840"/>
      <w:pgMar w:top="1220" w:right="280" w:bottom="1220" w:left="11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9F" w:rsidRDefault="003B579F">
      <w:r>
        <w:separator/>
      </w:r>
    </w:p>
  </w:endnote>
  <w:endnote w:type="continuationSeparator" w:id="0">
    <w:p w:rsidR="003B579F" w:rsidRDefault="003B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90914"/>
      <w:docPartObj>
        <w:docPartGallery w:val="Page Numbers (Bottom of Page)"/>
        <w:docPartUnique/>
      </w:docPartObj>
    </w:sdtPr>
    <w:sdtEndPr/>
    <w:sdtContent>
      <w:sdt>
        <w:sdtPr>
          <w:id w:val="-1669238322"/>
          <w:docPartObj>
            <w:docPartGallery w:val="Page Numbers (Top of Page)"/>
            <w:docPartUnique/>
          </w:docPartObj>
        </w:sdtPr>
        <w:sdtEndPr/>
        <w:sdtContent>
          <w:p w:rsidR="00A31B60" w:rsidRDefault="00A31B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5A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5A42">
              <w:rPr>
                <w:b/>
                <w:bCs/>
                <w:noProof/>
              </w:rPr>
              <w:t>11</w:t>
            </w:r>
            <w:r>
              <w:rPr>
                <w:b/>
                <w:bCs/>
                <w:sz w:val="24"/>
                <w:szCs w:val="24"/>
              </w:rPr>
              <w:fldChar w:fldCharType="end"/>
            </w:r>
          </w:p>
        </w:sdtContent>
      </w:sdt>
    </w:sdtContent>
  </w:sdt>
  <w:p w:rsidR="00A31B60" w:rsidRDefault="00A31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75" w:rsidRDefault="00BA5375">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75" w:rsidRDefault="00BA5375">
    <w:pPr>
      <w:pStyle w:val="Body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9F" w:rsidRDefault="003B579F">
      <w:r>
        <w:separator/>
      </w:r>
    </w:p>
  </w:footnote>
  <w:footnote w:type="continuationSeparator" w:id="0">
    <w:p w:rsidR="003B579F" w:rsidRDefault="003B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75" w:rsidRDefault="00BA5375">
    <w:pPr>
      <w:pStyle w:val="Header"/>
    </w:pPr>
    <w:r>
      <w:rPr>
        <w:noProof/>
        <w:lang w:bidi="ar-SA"/>
      </w:rPr>
      <w:drawing>
        <wp:anchor distT="0" distB="0" distL="114300" distR="114300" simplePos="0" relativeHeight="503298184" behindDoc="0" locked="0" layoutInCell="1" allowOverlap="1" wp14:anchorId="6CE3D1DF" wp14:editId="7AF74FF8">
          <wp:simplePos x="0" y="0"/>
          <wp:positionH relativeFrom="column">
            <wp:posOffset>-228600</wp:posOffset>
          </wp:positionH>
          <wp:positionV relativeFrom="paragraph">
            <wp:posOffset>260985</wp:posOffset>
          </wp:positionV>
          <wp:extent cx="2857500" cy="975360"/>
          <wp:effectExtent l="0" t="0" r="0" b="0"/>
          <wp:wrapSquare wrapText="bothSides"/>
          <wp:docPr id="4" name="Picture 4"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220B"/>
    <w:multiLevelType w:val="hybridMultilevel"/>
    <w:tmpl w:val="97D07AD0"/>
    <w:lvl w:ilvl="0" w:tplc="47BA0524">
      <w:start w:val="1"/>
      <w:numFmt w:val="bullet"/>
      <w:lvlText w:val=""/>
      <w:lvlJc w:val="left"/>
      <w:pPr>
        <w:ind w:left="1069" w:hanging="360"/>
      </w:pPr>
      <w:rPr>
        <w:rFonts w:ascii="Wingdings" w:eastAsia="Times New Roman" w:hAnsi="Wingdings" w:cs="Wingdings" w:hint="default"/>
        <w:sz w:val="1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7074154"/>
    <w:multiLevelType w:val="hybridMultilevel"/>
    <w:tmpl w:val="15887020"/>
    <w:lvl w:ilvl="0" w:tplc="3E7816EC">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D5A6FCA" w:tentative="1">
      <w:start w:val="1"/>
      <w:numFmt w:val="decimal"/>
      <w:lvlText w:val="%3."/>
      <w:lvlJc w:val="left"/>
      <w:pPr>
        <w:tabs>
          <w:tab w:val="num" w:pos="2160"/>
        </w:tabs>
        <w:ind w:left="2160" w:hanging="360"/>
      </w:pPr>
    </w:lvl>
    <w:lvl w:ilvl="3" w:tplc="1B643CD2" w:tentative="1">
      <w:start w:val="1"/>
      <w:numFmt w:val="decimal"/>
      <w:lvlText w:val="%4."/>
      <w:lvlJc w:val="left"/>
      <w:pPr>
        <w:tabs>
          <w:tab w:val="num" w:pos="2880"/>
        </w:tabs>
        <w:ind w:left="2880" w:hanging="360"/>
      </w:pPr>
    </w:lvl>
    <w:lvl w:ilvl="4" w:tplc="A6CC73FE" w:tentative="1">
      <w:start w:val="1"/>
      <w:numFmt w:val="decimal"/>
      <w:lvlText w:val="%5."/>
      <w:lvlJc w:val="left"/>
      <w:pPr>
        <w:tabs>
          <w:tab w:val="num" w:pos="3600"/>
        </w:tabs>
        <w:ind w:left="3600" w:hanging="360"/>
      </w:pPr>
    </w:lvl>
    <w:lvl w:ilvl="5" w:tplc="42C03DEA" w:tentative="1">
      <w:start w:val="1"/>
      <w:numFmt w:val="decimal"/>
      <w:lvlText w:val="%6."/>
      <w:lvlJc w:val="left"/>
      <w:pPr>
        <w:tabs>
          <w:tab w:val="num" w:pos="4320"/>
        </w:tabs>
        <w:ind w:left="4320" w:hanging="360"/>
      </w:pPr>
    </w:lvl>
    <w:lvl w:ilvl="6" w:tplc="95D4807E" w:tentative="1">
      <w:start w:val="1"/>
      <w:numFmt w:val="decimal"/>
      <w:lvlText w:val="%7."/>
      <w:lvlJc w:val="left"/>
      <w:pPr>
        <w:tabs>
          <w:tab w:val="num" w:pos="5040"/>
        </w:tabs>
        <w:ind w:left="5040" w:hanging="360"/>
      </w:pPr>
    </w:lvl>
    <w:lvl w:ilvl="7" w:tplc="0AE8B456" w:tentative="1">
      <w:start w:val="1"/>
      <w:numFmt w:val="decimal"/>
      <w:lvlText w:val="%8."/>
      <w:lvlJc w:val="left"/>
      <w:pPr>
        <w:tabs>
          <w:tab w:val="num" w:pos="5760"/>
        </w:tabs>
        <w:ind w:left="5760" w:hanging="360"/>
      </w:pPr>
    </w:lvl>
    <w:lvl w:ilvl="8" w:tplc="F1DC3E98" w:tentative="1">
      <w:start w:val="1"/>
      <w:numFmt w:val="decimal"/>
      <w:lvlText w:val="%9."/>
      <w:lvlJc w:val="left"/>
      <w:pPr>
        <w:tabs>
          <w:tab w:val="num" w:pos="6480"/>
        </w:tabs>
        <w:ind w:left="6480" w:hanging="360"/>
      </w:pPr>
    </w:lvl>
  </w:abstractNum>
  <w:abstractNum w:abstractNumId="2">
    <w:nsid w:val="072C488B"/>
    <w:multiLevelType w:val="hybridMultilevel"/>
    <w:tmpl w:val="643600E2"/>
    <w:lvl w:ilvl="0" w:tplc="51F4507E">
      <w:start w:val="1"/>
      <w:numFmt w:val="lowerRoman"/>
      <w:lvlText w:val="(%1)"/>
      <w:lvlJc w:val="left"/>
      <w:pPr>
        <w:ind w:left="1300" w:hanging="720"/>
      </w:pPr>
      <w:rPr>
        <w:rFonts w:ascii="Arial" w:eastAsia="Arial" w:hAnsi="Arial" w:cs="Arial" w:hint="default"/>
        <w:spacing w:val="-3"/>
        <w:w w:val="99"/>
        <w:sz w:val="24"/>
        <w:szCs w:val="24"/>
        <w:lang w:val="en-GB" w:eastAsia="en-GB" w:bidi="en-GB"/>
      </w:rPr>
    </w:lvl>
    <w:lvl w:ilvl="1" w:tplc="671878F2">
      <w:numFmt w:val="bullet"/>
      <w:lvlText w:val=""/>
      <w:lvlJc w:val="left"/>
      <w:pPr>
        <w:ind w:left="1300" w:hanging="360"/>
      </w:pPr>
      <w:rPr>
        <w:rFonts w:hint="default"/>
        <w:w w:val="99"/>
        <w:lang w:val="en-GB" w:eastAsia="en-GB" w:bidi="en-GB"/>
      </w:rPr>
    </w:lvl>
    <w:lvl w:ilvl="2" w:tplc="420E7392">
      <w:numFmt w:val="bullet"/>
      <w:lvlText w:val="o"/>
      <w:lvlJc w:val="left"/>
      <w:pPr>
        <w:ind w:left="2020" w:hanging="360"/>
      </w:pPr>
      <w:rPr>
        <w:rFonts w:ascii="Courier New" w:eastAsia="Courier New" w:hAnsi="Courier New" w:cs="Courier New" w:hint="default"/>
        <w:w w:val="100"/>
        <w:sz w:val="24"/>
        <w:szCs w:val="24"/>
        <w:lang w:val="en-GB" w:eastAsia="en-GB" w:bidi="en-GB"/>
      </w:rPr>
    </w:lvl>
    <w:lvl w:ilvl="3" w:tplc="2724DECE">
      <w:numFmt w:val="bullet"/>
      <w:lvlText w:val="•"/>
      <w:lvlJc w:val="left"/>
      <w:pPr>
        <w:ind w:left="3674" w:hanging="360"/>
      </w:pPr>
      <w:rPr>
        <w:rFonts w:hint="default"/>
        <w:lang w:val="en-GB" w:eastAsia="en-GB" w:bidi="en-GB"/>
      </w:rPr>
    </w:lvl>
    <w:lvl w:ilvl="4" w:tplc="232A6302">
      <w:numFmt w:val="bullet"/>
      <w:lvlText w:val="•"/>
      <w:lvlJc w:val="left"/>
      <w:pPr>
        <w:ind w:left="4502" w:hanging="360"/>
      </w:pPr>
      <w:rPr>
        <w:rFonts w:hint="default"/>
        <w:lang w:val="en-GB" w:eastAsia="en-GB" w:bidi="en-GB"/>
      </w:rPr>
    </w:lvl>
    <w:lvl w:ilvl="5" w:tplc="BEE26EAA">
      <w:numFmt w:val="bullet"/>
      <w:lvlText w:val="•"/>
      <w:lvlJc w:val="left"/>
      <w:pPr>
        <w:ind w:left="5329" w:hanging="360"/>
      </w:pPr>
      <w:rPr>
        <w:rFonts w:hint="default"/>
        <w:lang w:val="en-GB" w:eastAsia="en-GB" w:bidi="en-GB"/>
      </w:rPr>
    </w:lvl>
    <w:lvl w:ilvl="6" w:tplc="CD62AA86">
      <w:numFmt w:val="bullet"/>
      <w:lvlText w:val="•"/>
      <w:lvlJc w:val="left"/>
      <w:pPr>
        <w:ind w:left="6156" w:hanging="360"/>
      </w:pPr>
      <w:rPr>
        <w:rFonts w:hint="default"/>
        <w:lang w:val="en-GB" w:eastAsia="en-GB" w:bidi="en-GB"/>
      </w:rPr>
    </w:lvl>
    <w:lvl w:ilvl="7" w:tplc="442A4EDC">
      <w:numFmt w:val="bullet"/>
      <w:lvlText w:val="•"/>
      <w:lvlJc w:val="left"/>
      <w:pPr>
        <w:ind w:left="6984" w:hanging="360"/>
      </w:pPr>
      <w:rPr>
        <w:rFonts w:hint="default"/>
        <w:lang w:val="en-GB" w:eastAsia="en-GB" w:bidi="en-GB"/>
      </w:rPr>
    </w:lvl>
    <w:lvl w:ilvl="8" w:tplc="C3F4EC72">
      <w:numFmt w:val="bullet"/>
      <w:lvlText w:val="•"/>
      <w:lvlJc w:val="left"/>
      <w:pPr>
        <w:ind w:left="7811" w:hanging="360"/>
      </w:pPr>
      <w:rPr>
        <w:rFonts w:hint="default"/>
        <w:lang w:val="en-GB" w:eastAsia="en-GB" w:bidi="en-GB"/>
      </w:rPr>
    </w:lvl>
  </w:abstractNum>
  <w:abstractNum w:abstractNumId="3">
    <w:nsid w:val="08100B8C"/>
    <w:multiLevelType w:val="hybridMultilevel"/>
    <w:tmpl w:val="5A028E4E"/>
    <w:lvl w:ilvl="0" w:tplc="CBE6DFCC">
      <w:numFmt w:val="bullet"/>
      <w:lvlText w:val=""/>
      <w:lvlJc w:val="left"/>
      <w:pPr>
        <w:ind w:left="928" w:hanging="425"/>
      </w:pPr>
      <w:rPr>
        <w:rFonts w:ascii="Symbol" w:eastAsia="Symbol" w:hAnsi="Symbol" w:cs="Symbol" w:hint="default"/>
        <w:w w:val="100"/>
        <w:sz w:val="24"/>
        <w:szCs w:val="24"/>
        <w:lang w:val="en-GB" w:eastAsia="en-GB" w:bidi="en-GB"/>
      </w:rPr>
    </w:lvl>
    <w:lvl w:ilvl="1" w:tplc="1BB664C2">
      <w:numFmt w:val="bullet"/>
      <w:lvlText w:val="•"/>
      <w:lvlJc w:val="left"/>
      <w:pPr>
        <w:ind w:left="1774" w:hanging="425"/>
      </w:pPr>
      <w:rPr>
        <w:rFonts w:hint="default"/>
        <w:lang w:val="en-GB" w:eastAsia="en-GB" w:bidi="en-GB"/>
      </w:rPr>
    </w:lvl>
    <w:lvl w:ilvl="2" w:tplc="FD0C44C2">
      <w:numFmt w:val="bullet"/>
      <w:lvlText w:val="•"/>
      <w:lvlJc w:val="left"/>
      <w:pPr>
        <w:ind w:left="2629" w:hanging="425"/>
      </w:pPr>
      <w:rPr>
        <w:rFonts w:hint="default"/>
        <w:lang w:val="en-GB" w:eastAsia="en-GB" w:bidi="en-GB"/>
      </w:rPr>
    </w:lvl>
    <w:lvl w:ilvl="3" w:tplc="2D96609A">
      <w:numFmt w:val="bullet"/>
      <w:lvlText w:val="•"/>
      <w:lvlJc w:val="left"/>
      <w:pPr>
        <w:ind w:left="3483" w:hanging="425"/>
      </w:pPr>
      <w:rPr>
        <w:rFonts w:hint="default"/>
        <w:lang w:val="en-GB" w:eastAsia="en-GB" w:bidi="en-GB"/>
      </w:rPr>
    </w:lvl>
    <w:lvl w:ilvl="4" w:tplc="62943BB8">
      <w:numFmt w:val="bullet"/>
      <w:lvlText w:val="•"/>
      <w:lvlJc w:val="left"/>
      <w:pPr>
        <w:ind w:left="4338" w:hanging="425"/>
      </w:pPr>
      <w:rPr>
        <w:rFonts w:hint="default"/>
        <w:lang w:val="en-GB" w:eastAsia="en-GB" w:bidi="en-GB"/>
      </w:rPr>
    </w:lvl>
    <w:lvl w:ilvl="5" w:tplc="7E78404C">
      <w:numFmt w:val="bullet"/>
      <w:lvlText w:val="•"/>
      <w:lvlJc w:val="left"/>
      <w:pPr>
        <w:ind w:left="5193" w:hanging="425"/>
      </w:pPr>
      <w:rPr>
        <w:rFonts w:hint="default"/>
        <w:lang w:val="en-GB" w:eastAsia="en-GB" w:bidi="en-GB"/>
      </w:rPr>
    </w:lvl>
    <w:lvl w:ilvl="6" w:tplc="3376828C">
      <w:numFmt w:val="bullet"/>
      <w:lvlText w:val="•"/>
      <w:lvlJc w:val="left"/>
      <w:pPr>
        <w:ind w:left="6047" w:hanging="425"/>
      </w:pPr>
      <w:rPr>
        <w:rFonts w:hint="default"/>
        <w:lang w:val="en-GB" w:eastAsia="en-GB" w:bidi="en-GB"/>
      </w:rPr>
    </w:lvl>
    <w:lvl w:ilvl="7" w:tplc="D41CCBDA">
      <w:numFmt w:val="bullet"/>
      <w:lvlText w:val="•"/>
      <w:lvlJc w:val="left"/>
      <w:pPr>
        <w:ind w:left="6902" w:hanging="425"/>
      </w:pPr>
      <w:rPr>
        <w:rFonts w:hint="default"/>
        <w:lang w:val="en-GB" w:eastAsia="en-GB" w:bidi="en-GB"/>
      </w:rPr>
    </w:lvl>
    <w:lvl w:ilvl="8" w:tplc="169261E4">
      <w:numFmt w:val="bullet"/>
      <w:lvlText w:val="•"/>
      <w:lvlJc w:val="left"/>
      <w:pPr>
        <w:ind w:left="7757" w:hanging="425"/>
      </w:pPr>
      <w:rPr>
        <w:rFonts w:hint="default"/>
        <w:lang w:val="en-GB" w:eastAsia="en-GB" w:bidi="en-GB"/>
      </w:rPr>
    </w:lvl>
  </w:abstractNum>
  <w:abstractNum w:abstractNumId="4">
    <w:nsid w:val="08A845A3"/>
    <w:multiLevelType w:val="hybridMultilevel"/>
    <w:tmpl w:val="87089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448B7"/>
    <w:multiLevelType w:val="hybridMultilevel"/>
    <w:tmpl w:val="C21672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D5E1446"/>
    <w:multiLevelType w:val="hybridMultilevel"/>
    <w:tmpl w:val="0706DA00"/>
    <w:lvl w:ilvl="0" w:tplc="D7765BBA">
      <w:numFmt w:val="bullet"/>
      <w:lvlText w:val=""/>
      <w:lvlJc w:val="left"/>
      <w:pPr>
        <w:ind w:left="940" w:hanging="360"/>
      </w:pPr>
      <w:rPr>
        <w:rFonts w:ascii="Symbol" w:eastAsia="Symbol" w:hAnsi="Symbol" w:cs="Symbol" w:hint="default"/>
        <w:w w:val="100"/>
        <w:sz w:val="24"/>
        <w:szCs w:val="24"/>
        <w:lang w:val="en-GB" w:eastAsia="en-GB" w:bidi="en-GB"/>
      </w:rPr>
    </w:lvl>
    <w:lvl w:ilvl="1" w:tplc="7804AE60">
      <w:numFmt w:val="bullet"/>
      <w:lvlText w:val="•"/>
      <w:lvlJc w:val="left"/>
      <w:pPr>
        <w:ind w:left="1792" w:hanging="360"/>
      </w:pPr>
      <w:rPr>
        <w:rFonts w:hint="default"/>
        <w:lang w:val="en-GB" w:eastAsia="en-GB" w:bidi="en-GB"/>
      </w:rPr>
    </w:lvl>
    <w:lvl w:ilvl="2" w:tplc="49D858F6">
      <w:numFmt w:val="bullet"/>
      <w:lvlText w:val="•"/>
      <w:lvlJc w:val="left"/>
      <w:pPr>
        <w:ind w:left="2645" w:hanging="360"/>
      </w:pPr>
      <w:rPr>
        <w:rFonts w:hint="default"/>
        <w:lang w:val="en-GB" w:eastAsia="en-GB" w:bidi="en-GB"/>
      </w:rPr>
    </w:lvl>
    <w:lvl w:ilvl="3" w:tplc="41D274C0">
      <w:numFmt w:val="bullet"/>
      <w:lvlText w:val="•"/>
      <w:lvlJc w:val="left"/>
      <w:pPr>
        <w:ind w:left="3497" w:hanging="360"/>
      </w:pPr>
      <w:rPr>
        <w:rFonts w:hint="default"/>
        <w:lang w:val="en-GB" w:eastAsia="en-GB" w:bidi="en-GB"/>
      </w:rPr>
    </w:lvl>
    <w:lvl w:ilvl="4" w:tplc="676C2D0E">
      <w:numFmt w:val="bullet"/>
      <w:lvlText w:val="•"/>
      <w:lvlJc w:val="left"/>
      <w:pPr>
        <w:ind w:left="4350" w:hanging="360"/>
      </w:pPr>
      <w:rPr>
        <w:rFonts w:hint="default"/>
        <w:lang w:val="en-GB" w:eastAsia="en-GB" w:bidi="en-GB"/>
      </w:rPr>
    </w:lvl>
    <w:lvl w:ilvl="5" w:tplc="C97AD9D6">
      <w:numFmt w:val="bullet"/>
      <w:lvlText w:val="•"/>
      <w:lvlJc w:val="left"/>
      <w:pPr>
        <w:ind w:left="5203" w:hanging="360"/>
      </w:pPr>
      <w:rPr>
        <w:rFonts w:hint="default"/>
        <w:lang w:val="en-GB" w:eastAsia="en-GB" w:bidi="en-GB"/>
      </w:rPr>
    </w:lvl>
    <w:lvl w:ilvl="6" w:tplc="9F786CC4">
      <w:numFmt w:val="bullet"/>
      <w:lvlText w:val="•"/>
      <w:lvlJc w:val="left"/>
      <w:pPr>
        <w:ind w:left="6055" w:hanging="360"/>
      </w:pPr>
      <w:rPr>
        <w:rFonts w:hint="default"/>
        <w:lang w:val="en-GB" w:eastAsia="en-GB" w:bidi="en-GB"/>
      </w:rPr>
    </w:lvl>
    <w:lvl w:ilvl="7" w:tplc="F9388D7A">
      <w:numFmt w:val="bullet"/>
      <w:lvlText w:val="•"/>
      <w:lvlJc w:val="left"/>
      <w:pPr>
        <w:ind w:left="6908" w:hanging="360"/>
      </w:pPr>
      <w:rPr>
        <w:rFonts w:hint="default"/>
        <w:lang w:val="en-GB" w:eastAsia="en-GB" w:bidi="en-GB"/>
      </w:rPr>
    </w:lvl>
    <w:lvl w:ilvl="8" w:tplc="076881A4">
      <w:numFmt w:val="bullet"/>
      <w:lvlText w:val="•"/>
      <w:lvlJc w:val="left"/>
      <w:pPr>
        <w:ind w:left="7761" w:hanging="360"/>
      </w:pPr>
      <w:rPr>
        <w:rFonts w:hint="default"/>
        <w:lang w:val="en-GB" w:eastAsia="en-GB" w:bidi="en-GB"/>
      </w:rPr>
    </w:lvl>
  </w:abstractNum>
  <w:abstractNum w:abstractNumId="7">
    <w:nsid w:val="215026F8"/>
    <w:multiLevelType w:val="hybridMultilevel"/>
    <w:tmpl w:val="609EE244"/>
    <w:lvl w:ilvl="0" w:tplc="EB68A72C">
      <w:start w:val="1"/>
      <w:numFmt w:val="bullet"/>
      <w:lvlText w:val="•"/>
      <w:lvlJc w:val="left"/>
      <w:pPr>
        <w:tabs>
          <w:tab w:val="num" w:pos="720"/>
        </w:tabs>
        <w:ind w:left="720" w:hanging="360"/>
      </w:pPr>
      <w:rPr>
        <w:rFonts w:ascii="Times New Roman" w:hAnsi="Times New Roman" w:hint="default"/>
      </w:rPr>
    </w:lvl>
    <w:lvl w:ilvl="1" w:tplc="CE52960A" w:tentative="1">
      <w:start w:val="1"/>
      <w:numFmt w:val="bullet"/>
      <w:lvlText w:val="•"/>
      <w:lvlJc w:val="left"/>
      <w:pPr>
        <w:tabs>
          <w:tab w:val="num" w:pos="1440"/>
        </w:tabs>
        <w:ind w:left="1440" w:hanging="360"/>
      </w:pPr>
      <w:rPr>
        <w:rFonts w:ascii="Times New Roman" w:hAnsi="Times New Roman" w:hint="default"/>
      </w:rPr>
    </w:lvl>
    <w:lvl w:ilvl="2" w:tplc="851E4044" w:tentative="1">
      <w:start w:val="1"/>
      <w:numFmt w:val="bullet"/>
      <w:lvlText w:val="•"/>
      <w:lvlJc w:val="left"/>
      <w:pPr>
        <w:tabs>
          <w:tab w:val="num" w:pos="2160"/>
        </w:tabs>
        <w:ind w:left="2160" w:hanging="360"/>
      </w:pPr>
      <w:rPr>
        <w:rFonts w:ascii="Times New Roman" w:hAnsi="Times New Roman" w:hint="default"/>
      </w:rPr>
    </w:lvl>
    <w:lvl w:ilvl="3" w:tplc="E8B0539E" w:tentative="1">
      <w:start w:val="1"/>
      <w:numFmt w:val="bullet"/>
      <w:lvlText w:val="•"/>
      <w:lvlJc w:val="left"/>
      <w:pPr>
        <w:tabs>
          <w:tab w:val="num" w:pos="2880"/>
        </w:tabs>
        <w:ind w:left="2880" w:hanging="360"/>
      </w:pPr>
      <w:rPr>
        <w:rFonts w:ascii="Times New Roman" w:hAnsi="Times New Roman" w:hint="default"/>
      </w:rPr>
    </w:lvl>
    <w:lvl w:ilvl="4" w:tplc="3C504350" w:tentative="1">
      <w:start w:val="1"/>
      <w:numFmt w:val="bullet"/>
      <w:lvlText w:val="•"/>
      <w:lvlJc w:val="left"/>
      <w:pPr>
        <w:tabs>
          <w:tab w:val="num" w:pos="3600"/>
        </w:tabs>
        <w:ind w:left="3600" w:hanging="360"/>
      </w:pPr>
      <w:rPr>
        <w:rFonts w:ascii="Times New Roman" w:hAnsi="Times New Roman" w:hint="default"/>
      </w:rPr>
    </w:lvl>
    <w:lvl w:ilvl="5" w:tplc="BAC6B06A" w:tentative="1">
      <w:start w:val="1"/>
      <w:numFmt w:val="bullet"/>
      <w:lvlText w:val="•"/>
      <w:lvlJc w:val="left"/>
      <w:pPr>
        <w:tabs>
          <w:tab w:val="num" w:pos="4320"/>
        </w:tabs>
        <w:ind w:left="4320" w:hanging="360"/>
      </w:pPr>
      <w:rPr>
        <w:rFonts w:ascii="Times New Roman" w:hAnsi="Times New Roman" w:hint="default"/>
      </w:rPr>
    </w:lvl>
    <w:lvl w:ilvl="6" w:tplc="7110EF82" w:tentative="1">
      <w:start w:val="1"/>
      <w:numFmt w:val="bullet"/>
      <w:lvlText w:val="•"/>
      <w:lvlJc w:val="left"/>
      <w:pPr>
        <w:tabs>
          <w:tab w:val="num" w:pos="5040"/>
        </w:tabs>
        <w:ind w:left="5040" w:hanging="360"/>
      </w:pPr>
      <w:rPr>
        <w:rFonts w:ascii="Times New Roman" w:hAnsi="Times New Roman" w:hint="default"/>
      </w:rPr>
    </w:lvl>
    <w:lvl w:ilvl="7" w:tplc="F4E48096" w:tentative="1">
      <w:start w:val="1"/>
      <w:numFmt w:val="bullet"/>
      <w:lvlText w:val="•"/>
      <w:lvlJc w:val="left"/>
      <w:pPr>
        <w:tabs>
          <w:tab w:val="num" w:pos="5760"/>
        </w:tabs>
        <w:ind w:left="5760" w:hanging="360"/>
      </w:pPr>
      <w:rPr>
        <w:rFonts w:ascii="Times New Roman" w:hAnsi="Times New Roman" w:hint="default"/>
      </w:rPr>
    </w:lvl>
    <w:lvl w:ilvl="8" w:tplc="9F202A3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0307DE"/>
    <w:multiLevelType w:val="hybridMultilevel"/>
    <w:tmpl w:val="FC063EA4"/>
    <w:lvl w:ilvl="0" w:tplc="6582B7F4">
      <w:numFmt w:val="bullet"/>
      <w:lvlText w:val=""/>
      <w:lvlJc w:val="left"/>
      <w:pPr>
        <w:ind w:left="465" w:hanging="360"/>
      </w:pPr>
      <w:rPr>
        <w:rFonts w:ascii="Symbol" w:eastAsia="Symbol" w:hAnsi="Symbol" w:cs="Symbol" w:hint="default"/>
        <w:w w:val="100"/>
        <w:sz w:val="24"/>
        <w:szCs w:val="24"/>
        <w:lang w:val="en-GB" w:eastAsia="en-GB" w:bidi="en-GB"/>
      </w:rPr>
    </w:lvl>
    <w:lvl w:ilvl="1" w:tplc="A2121BCC">
      <w:numFmt w:val="bullet"/>
      <w:lvlText w:val="•"/>
      <w:lvlJc w:val="left"/>
      <w:pPr>
        <w:ind w:left="1057" w:hanging="360"/>
      </w:pPr>
      <w:rPr>
        <w:rFonts w:hint="default"/>
        <w:lang w:val="en-GB" w:eastAsia="en-GB" w:bidi="en-GB"/>
      </w:rPr>
    </w:lvl>
    <w:lvl w:ilvl="2" w:tplc="D742A744">
      <w:numFmt w:val="bullet"/>
      <w:lvlText w:val="•"/>
      <w:lvlJc w:val="left"/>
      <w:pPr>
        <w:ind w:left="1654" w:hanging="360"/>
      </w:pPr>
      <w:rPr>
        <w:rFonts w:hint="default"/>
        <w:lang w:val="en-GB" w:eastAsia="en-GB" w:bidi="en-GB"/>
      </w:rPr>
    </w:lvl>
    <w:lvl w:ilvl="3" w:tplc="51D273AC">
      <w:numFmt w:val="bullet"/>
      <w:lvlText w:val="•"/>
      <w:lvlJc w:val="left"/>
      <w:pPr>
        <w:ind w:left="2251" w:hanging="360"/>
      </w:pPr>
      <w:rPr>
        <w:rFonts w:hint="default"/>
        <w:lang w:val="en-GB" w:eastAsia="en-GB" w:bidi="en-GB"/>
      </w:rPr>
    </w:lvl>
    <w:lvl w:ilvl="4" w:tplc="0298BCF2">
      <w:numFmt w:val="bullet"/>
      <w:lvlText w:val="•"/>
      <w:lvlJc w:val="left"/>
      <w:pPr>
        <w:ind w:left="2848" w:hanging="360"/>
      </w:pPr>
      <w:rPr>
        <w:rFonts w:hint="default"/>
        <w:lang w:val="en-GB" w:eastAsia="en-GB" w:bidi="en-GB"/>
      </w:rPr>
    </w:lvl>
    <w:lvl w:ilvl="5" w:tplc="192E4E86">
      <w:numFmt w:val="bullet"/>
      <w:lvlText w:val="•"/>
      <w:lvlJc w:val="left"/>
      <w:pPr>
        <w:ind w:left="3445" w:hanging="360"/>
      </w:pPr>
      <w:rPr>
        <w:rFonts w:hint="default"/>
        <w:lang w:val="en-GB" w:eastAsia="en-GB" w:bidi="en-GB"/>
      </w:rPr>
    </w:lvl>
    <w:lvl w:ilvl="6" w:tplc="006A44A4">
      <w:numFmt w:val="bullet"/>
      <w:lvlText w:val="•"/>
      <w:lvlJc w:val="left"/>
      <w:pPr>
        <w:ind w:left="4042" w:hanging="360"/>
      </w:pPr>
      <w:rPr>
        <w:rFonts w:hint="default"/>
        <w:lang w:val="en-GB" w:eastAsia="en-GB" w:bidi="en-GB"/>
      </w:rPr>
    </w:lvl>
    <w:lvl w:ilvl="7" w:tplc="97A89020">
      <w:numFmt w:val="bullet"/>
      <w:lvlText w:val="•"/>
      <w:lvlJc w:val="left"/>
      <w:pPr>
        <w:ind w:left="4639" w:hanging="360"/>
      </w:pPr>
      <w:rPr>
        <w:rFonts w:hint="default"/>
        <w:lang w:val="en-GB" w:eastAsia="en-GB" w:bidi="en-GB"/>
      </w:rPr>
    </w:lvl>
    <w:lvl w:ilvl="8" w:tplc="B2C60774">
      <w:numFmt w:val="bullet"/>
      <w:lvlText w:val="•"/>
      <w:lvlJc w:val="left"/>
      <w:pPr>
        <w:ind w:left="5236" w:hanging="360"/>
      </w:pPr>
      <w:rPr>
        <w:rFonts w:hint="default"/>
        <w:lang w:val="en-GB" w:eastAsia="en-GB" w:bidi="en-GB"/>
      </w:rPr>
    </w:lvl>
  </w:abstractNum>
  <w:abstractNum w:abstractNumId="9">
    <w:nsid w:val="2A761DFE"/>
    <w:multiLevelType w:val="hybridMultilevel"/>
    <w:tmpl w:val="BAC25432"/>
    <w:lvl w:ilvl="0" w:tplc="9B50FA44">
      <w:start w:val="1"/>
      <w:numFmt w:val="decimal"/>
      <w:lvlText w:val="%1."/>
      <w:lvlJc w:val="left"/>
      <w:pPr>
        <w:ind w:left="360" w:hanging="360"/>
      </w:pPr>
      <w:rPr>
        <w:rFonts w:hint="default"/>
        <w:spacing w:val="-1"/>
        <w:w w:val="100"/>
        <w:lang w:val="en-GB" w:eastAsia="en-GB" w:bidi="en-GB"/>
      </w:rPr>
    </w:lvl>
    <w:lvl w:ilvl="1" w:tplc="8E8650AC">
      <w:numFmt w:val="bullet"/>
      <w:lvlText w:val=""/>
      <w:lvlJc w:val="left"/>
      <w:pPr>
        <w:ind w:left="940" w:hanging="360"/>
      </w:pPr>
      <w:rPr>
        <w:rFonts w:ascii="Symbol" w:eastAsia="Symbol" w:hAnsi="Symbol" w:cs="Symbol" w:hint="default"/>
        <w:w w:val="100"/>
        <w:sz w:val="24"/>
        <w:szCs w:val="24"/>
        <w:lang w:val="en-GB" w:eastAsia="en-GB" w:bidi="en-GB"/>
      </w:rPr>
    </w:lvl>
    <w:lvl w:ilvl="2" w:tplc="3AAC516A">
      <w:numFmt w:val="bullet"/>
      <w:lvlText w:val="•"/>
      <w:lvlJc w:val="left"/>
      <w:pPr>
        <w:ind w:left="1887" w:hanging="360"/>
      </w:pPr>
      <w:rPr>
        <w:rFonts w:hint="default"/>
        <w:lang w:val="en-GB" w:eastAsia="en-GB" w:bidi="en-GB"/>
      </w:rPr>
    </w:lvl>
    <w:lvl w:ilvl="3" w:tplc="D9146FB8">
      <w:numFmt w:val="bullet"/>
      <w:lvlText w:val="•"/>
      <w:lvlJc w:val="left"/>
      <w:pPr>
        <w:ind w:left="2834" w:hanging="360"/>
      </w:pPr>
      <w:rPr>
        <w:rFonts w:hint="default"/>
        <w:lang w:val="en-GB" w:eastAsia="en-GB" w:bidi="en-GB"/>
      </w:rPr>
    </w:lvl>
    <w:lvl w:ilvl="4" w:tplc="76004DA4">
      <w:numFmt w:val="bullet"/>
      <w:lvlText w:val="•"/>
      <w:lvlJc w:val="left"/>
      <w:pPr>
        <w:ind w:left="3782" w:hanging="360"/>
      </w:pPr>
      <w:rPr>
        <w:rFonts w:hint="default"/>
        <w:lang w:val="en-GB" w:eastAsia="en-GB" w:bidi="en-GB"/>
      </w:rPr>
    </w:lvl>
    <w:lvl w:ilvl="5" w:tplc="FDC660DA">
      <w:numFmt w:val="bullet"/>
      <w:lvlText w:val="•"/>
      <w:lvlJc w:val="left"/>
      <w:pPr>
        <w:ind w:left="4729" w:hanging="360"/>
      </w:pPr>
      <w:rPr>
        <w:rFonts w:hint="default"/>
        <w:lang w:val="en-GB" w:eastAsia="en-GB" w:bidi="en-GB"/>
      </w:rPr>
    </w:lvl>
    <w:lvl w:ilvl="6" w:tplc="EC8EB49E">
      <w:numFmt w:val="bullet"/>
      <w:lvlText w:val="•"/>
      <w:lvlJc w:val="left"/>
      <w:pPr>
        <w:ind w:left="5676" w:hanging="360"/>
      </w:pPr>
      <w:rPr>
        <w:rFonts w:hint="default"/>
        <w:lang w:val="en-GB" w:eastAsia="en-GB" w:bidi="en-GB"/>
      </w:rPr>
    </w:lvl>
    <w:lvl w:ilvl="7" w:tplc="BB706812">
      <w:numFmt w:val="bullet"/>
      <w:lvlText w:val="•"/>
      <w:lvlJc w:val="left"/>
      <w:pPr>
        <w:ind w:left="6624" w:hanging="360"/>
      </w:pPr>
      <w:rPr>
        <w:rFonts w:hint="default"/>
        <w:lang w:val="en-GB" w:eastAsia="en-GB" w:bidi="en-GB"/>
      </w:rPr>
    </w:lvl>
    <w:lvl w:ilvl="8" w:tplc="04625F7A">
      <w:numFmt w:val="bullet"/>
      <w:lvlText w:val="•"/>
      <w:lvlJc w:val="left"/>
      <w:pPr>
        <w:ind w:left="7571" w:hanging="360"/>
      </w:pPr>
      <w:rPr>
        <w:rFonts w:hint="default"/>
        <w:lang w:val="en-GB" w:eastAsia="en-GB" w:bidi="en-GB"/>
      </w:rPr>
    </w:lvl>
  </w:abstractNum>
  <w:abstractNum w:abstractNumId="10">
    <w:nsid w:val="2FC72E95"/>
    <w:multiLevelType w:val="hybridMultilevel"/>
    <w:tmpl w:val="A3D47E56"/>
    <w:lvl w:ilvl="0" w:tplc="4CA6064E">
      <w:numFmt w:val="bullet"/>
      <w:lvlText w:val=""/>
      <w:lvlJc w:val="left"/>
      <w:pPr>
        <w:ind w:left="465" w:hanging="360"/>
      </w:pPr>
      <w:rPr>
        <w:rFonts w:ascii="Symbol" w:eastAsia="Symbol" w:hAnsi="Symbol" w:cs="Symbol" w:hint="default"/>
        <w:w w:val="100"/>
        <w:sz w:val="24"/>
        <w:szCs w:val="24"/>
        <w:lang w:val="en-GB" w:eastAsia="en-GB" w:bidi="en-GB"/>
      </w:rPr>
    </w:lvl>
    <w:lvl w:ilvl="1" w:tplc="4A249F02">
      <w:numFmt w:val="bullet"/>
      <w:lvlText w:val="•"/>
      <w:lvlJc w:val="left"/>
      <w:pPr>
        <w:ind w:left="1057" w:hanging="360"/>
      </w:pPr>
      <w:rPr>
        <w:rFonts w:hint="default"/>
        <w:lang w:val="en-GB" w:eastAsia="en-GB" w:bidi="en-GB"/>
      </w:rPr>
    </w:lvl>
    <w:lvl w:ilvl="2" w:tplc="B7C0B68A">
      <w:numFmt w:val="bullet"/>
      <w:lvlText w:val="•"/>
      <w:lvlJc w:val="left"/>
      <w:pPr>
        <w:ind w:left="1654" w:hanging="360"/>
      </w:pPr>
      <w:rPr>
        <w:rFonts w:hint="default"/>
        <w:lang w:val="en-GB" w:eastAsia="en-GB" w:bidi="en-GB"/>
      </w:rPr>
    </w:lvl>
    <w:lvl w:ilvl="3" w:tplc="5F8C199A">
      <w:numFmt w:val="bullet"/>
      <w:lvlText w:val="•"/>
      <w:lvlJc w:val="left"/>
      <w:pPr>
        <w:ind w:left="2251" w:hanging="360"/>
      </w:pPr>
      <w:rPr>
        <w:rFonts w:hint="default"/>
        <w:lang w:val="en-GB" w:eastAsia="en-GB" w:bidi="en-GB"/>
      </w:rPr>
    </w:lvl>
    <w:lvl w:ilvl="4" w:tplc="752A3F0E">
      <w:numFmt w:val="bullet"/>
      <w:lvlText w:val="•"/>
      <w:lvlJc w:val="left"/>
      <w:pPr>
        <w:ind w:left="2848" w:hanging="360"/>
      </w:pPr>
      <w:rPr>
        <w:rFonts w:hint="default"/>
        <w:lang w:val="en-GB" w:eastAsia="en-GB" w:bidi="en-GB"/>
      </w:rPr>
    </w:lvl>
    <w:lvl w:ilvl="5" w:tplc="7B6C7A94">
      <w:numFmt w:val="bullet"/>
      <w:lvlText w:val="•"/>
      <w:lvlJc w:val="left"/>
      <w:pPr>
        <w:ind w:left="3445" w:hanging="360"/>
      </w:pPr>
      <w:rPr>
        <w:rFonts w:hint="default"/>
        <w:lang w:val="en-GB" w:eastAsia="en-GB" w:bidi="en-GB"/>
      </w:rPr>
    </w:lvl>
    <w:lvl w:ilvl="6" w:tplc="E29074C2">
      <w:numFmt w:val="bullet"/>
      <w:lvlText w:val="•"/>
      <w:lvlJc w:val="left"/>
      <w:pPr>
        <w:ind w:left="4042" w:hanging="360"/>
      </w:pPr>
      <w:rPr>
        <w:rFonts w:hint="default"/>
        <w:lang w:val="en-GB" w:eastAsia="en-GB" w:bidi="en-GB"/>
      </w:rPr>
    </w:lvl>
    <w:lvl w:ilvl="7" w:tplc="DB8AF9B2">
      <w:numFmt w:val="bullet"/>
      <w:lvlText w:val="•"/>
      <w:lvlJc w:val="left"/>
      <w:pPr>
        <w:ind w:left="4639" w:hanging="360"/>
      </w:pPr>
      <w:rPr>
        <w:rFonts w:hint="default"/>
        <w:lang w:val="en-GB" w:eastAsia="en-GB" w:bidi="en-GB"/>
      </w:rPr>
    </w:lvl>
    <w:lvl w:ilvl="8" w:tplc="B9B25F1C">
      <w:numFmt w:val="bullet"/>
      <w:lvlText w:val="•"/>
      <w:lvlJc w:val="left"/>
      <w:pPr>
        <w:ind w:left="5236" w:hanging="360"/>
      </w:pPr>
      <w:rPr>
        <w:rFonts w:hint="default"/>
        <w:lang w:val="en-GB" w:eastAsia="en-GB" w:bidi="en-GB"/>
      </w:rPr>
    </w:lvl>
  </w:abstractNum>
  <w:abstractNum w:abstractNumId="11">
    <w:nsid w:val="322873A1"/>
    <w:multiLevelType w:val="multilevel"/>
    <w:tmpl w:val="2E3C3186"/>
    <w:lvl w:ilvl="0">
      <w:start w:val="1"/>
      <w:numFmt w:val="decimal"/>
      <w:lvlText w:val="%1."/>
      <w:lvlJc w:val="left"/>
      <w:pPr>
        <w:ind w:left="621" w:hanging="401"/>
      </w:pPr>
      <w:rPr>
        <w:rFonts w:ascii="Arial" w:eastAsia="Arial" w:hAnsi="Arial" w:cs="Arial" w:hint="default"/>
        <w:spacing w:val="-2"/>
        <w:w w:val="99"/>
        <w:sz w:val="36"/>
        <w:szCs w:val="36"/>
        <w:lang w:val="en-GB" w:eastAsia="en-GB" w:bidi="en-GB"/>
      </w:rPr>
    </w:lvl>
    <w:lvl w:ilvl="1">
      <w:start w:val="1"/>
      <w:numFmt w:val="decimal"/>
      <w:lvlText w:val="%1.%2"/>
      <w:lvlJc w:val="left"/>
      <w:pPr>
        <w:ind w:left="1362" w:hanging="423"/>
      </w:pPr>
      <w:rPr>
        <w:rFonts w:hint="default"/>
        <w:b/>
        <w:bCs/>
        <w:spacing w:val="-1"/>
        <w:w w:val="99"/>
        <w:lang w:val="en-GB" w:eastAsia="en-GB" w:bidi="en-GB"/>
      </w:rPr>
    </w:lvl>
    <w:lvl w:ilvl="2">
      <w:numFmt w:val="bullet"/>
      <w:lvlText w:val="•"/>
      <w:lvlJc w:val="left"/>
      <w:pPr>
        <w:ind w:left="1540" w:hanging="423"/>
      </w:pPr>
      <w:rPr>
        <w:rFonts w:hint="default"/>
        <w:lang w:val="en-GB" w:eastAsia="en-GB" w:bidi="en-GB"/>
      </w:rPr>
    </w:lvl>
    <w:lvl w:ilvl="3">
      <w:numFmt w:val="bullet"/>
      <w:lvlText w:val="•"/>
      <w:lvlJc w:val="left"/>
      <w:pPr>
        <w:ind w:left="2530" w:hanging="423"/>
      </w:pPr>
      <w:rPr>
        <w:rFonts w:hint="default"/>
        <w:lang w:val="en-GB" w:eastAsia="en-GB" w:bidi="en-GB"/>
      </w:rPr>
    </w:lvl>
    <w:lvl w:ilvl="4">
      <w:numFmt w:val="bullet"/>
      <w:lvlText w:val="•"/>
      <w:lvlJc w:val="left"/>
      <w:pPr>
        <w:ind w:left="3521" w:hanging="423"/>
      </w:pPr>
      <w:rPr>
        <w:rFonts w:hint="default"/>
        <w:lang w:val="en-GB" w:eastAsia="en-GB" w:bidi="en-GB"/>
      </w:rPr>
    </w:lvl>
    <w:lvl w:ilvl="5">
      <w:numFmt w:val="bullet"/>
      <w:lvlText w:val="•"/>
      <w:lvlJc w:val="left"/>
      <w:pPr>
        <w:ind w:left="4512" w:hanging="423"/>
      </w:pPr>
      <w:rPr>
        <w:rFonts w:hint="default"/>
        <w:lang w:val="en-GB" w:eastAsia="en-GB" w:bidi="en-GB"/>
      </w:rPr>
    </w:lvl>
    <w:lvl w:ilvl="6">
      <w:numFmt w:val="bullet"/>
      <w:lvlText w:val="•"/>
      <w:lvlJc w:val="left"/>
      <w:pPr>
        <w:ind w:left="5503" w:hanging="423"/>
      </w:pPr>
      <w:rPr>
        <w:rFonts w:hint="default"/>
        <w:lang w:val="en-GB" w:eastAsia="en-GB" w:bidi="en-GB"/>
      </w:rPr>
    </w:lvl>
    <w:lvl w:ilvl="7">
      <w:numFmt w:val="bullet"/>
      <w:lvlText w:val="•"/>
      <w:lvlJc w:val="left"/>
      <w:pPr>
        <w:ind w:left="6494" w:hanging="423"/>
      </w:pPr>
      <w:rPr>
        <w:rFonts w:hint="default"/>
        <w:lang w:val="en-GB" w:eastAsia="en-GB" w:bidi="en-GB"/>
      </w:rPr>
    </w:lvl>
    <w:lvl w:ilvl="8">
      <w:numFmt w:val="bullet"/>
      <w:lvlText w:val="•"/>
      <w:lvlJc w:val="left"/>
      <w:pPr>
        <w:ind w:left="7484" w:hanging="423"/>
      </w:pPr>
      <w:rPr>
        <w:rFonts w:hint="default"/>
        <w:lang w:val="en-GB" w:eastAsia="en-GB" w:bidi="en-GB"/>
      </w:rPr>
    </w:lvl>
  </w:abstractNum>
  <w:abstractNum w:abstractNumId="12">
    <w:nsid w:val="397F7315"/>
    <w:multiLevelType w:val="multilevel"/>
    <w:tmpl w:val="3370A796"/>
    <w:lvl w:ilvl="0">
      <w:start w:val="6"/>
      <w:numFmt w:val="decimal"/>
      <w:lvlText w:val="%1"/>
      <w:lvlJc w:val="left"/>
      <w:pPr>
        <w:ind w:left="652" w:hanging="433"/>
      </w:pPr>
      <w:rPr>
        <w:rFonts w:hint="default"/>
        <w:lang w:val="en-GB" w:eastAsia="en-GB" w:bidi="en-GB"/>
      </w:rPr>
    </w:lvl>
    <w:lvl w:ilvl="1">
      <w:start w:val="3"/>
      <w:numFmt w:val="decimal"/>
      <w:lvlText w:val="%1.%2"/>
      <w:lvlJc w:val="left"/>
      <w:pPr>
        <w:ind w:left="652" w:hanging="433"/>
        <w:jc w:val="right"/>
      </w:pPr>
      <w:rPr>
        <w:rFonts w:hint="default"/>
        <w:b/>
        <w:bCs/>
        <w:spacing w:val="-1"/>
        <w:w w:val="99"/>
        <w:lang w:val="en-GB" w:eastAsia="en-GB" w:bidi="en-GB"/>
      </w:rPr>
    </w:lvl>
    <w:lvl w:ilvl="2">
      <w:numFmt w:val="bullet"/>
      <w:lvlText w:val=""/>
      <w:lvlJc w:val="left"/>
      <w:pPr>
        <w:ind w:left="940" w:hanging="360"/>
      </w:pPr>
      <w:rPr>
        <w:rFonts w:ascii="Symbol" w:eastAsia="Symbol" w:hAnsi="Symbol" w:cs="Symbol" w:hint="default"/>
        <w:w w:val="100"/>
        <w:sz w:val="24"/>
        <w:szCs w:val="24"/>
        <w:lang w:val="en-GB" w:eastAsia="en-GB" w:bidi="en-GB"/>
      </w:rPr>
    </w:lvl>
    <w:lvl w:ilvl="3">
      <w:numFmt w:val="bullet"/>
      <w:lvlText w:val="•"/>
      <w:lvlJc w:val="left"/>
      <w:pPr>
        <w:ind w:left="2834" w:hanging="360"/>
      </w:pPr>
      <w:rPr>
        <w:rFonts w:hint="default"/>
        <w:lang w:val="en-GB" w:eastAsia="en-GB" w:bidi="en-GB"/>
      </w:rPr>
    </w:lvl>
    <w:lvl w:ilvl="4">
      <w:numFmt w:val="bullet"/>
      <w:lvlText w:val="•"/>
      <w:lvlJc w:val="left"/>
      <w:pPr>
        <w:ind w:left="3782" w:hanging="360"/>
      </w:pPr>
      <w:rPr>
        <w:rFonts w:hint="default"/>
        <w:lang w:val="en-GB" w:eastAsia="en-GB" w:bidi="en-GB"/>
      </w:rPr>
    </w:lvl>
    <w:lvl w:ilvl="5">
      <w:numFmt w:val="bullet"/>
      <w:lvlText w:val="•"/>
      <w:lvlJc w:val="left"/>
      <w:pPr>
        <w:ind w:left="4729" w:hanging="360"/>
      </w:pPr>
      <w:rPr>
        <w:rFonts w:hint="default"/>
        <w:lang w:val="en-GB" w:eastAsia="en-GB" w:bidi="en-GB"/>
      </w:rPr>
    </w:lvl>
    <w:lvl w:ilvl="6">
      <w:numFmt w:val="bullet"/>
      <w:lvlText w:val="•"/>
      <w:lvlJc w:val="left"/>
      <w:pPr>
        <w:ind w:left="5676" w:hanging="360"/>
      </w:pPr>
      <w:rPr>
        <w:rFonts w:hint="default"/>
        <w:lang w:val="en-GB" w:eastAsia="en-GB" w:bidi="en-GB"/>
      </w:rPr>
    </w:lvl>
    <w:lvl w:ilvl="7">
      <w:numFmt w:val="bullet"/>
      <w:lvlText w:val="•"/>
      <w:lvlJc w:val="left"/>
      <w:pPr>
        <w:ind w:left="6624" w:hanging="360"/>
      </w:pPr>
      <w:rPr>
        <w:rFonts w:hint="default"/>
        <w:lang w:val="en-GB" w:eastAsia="en-GB" w:bidi="en-GB"/>
      </w:rPr>
    </w:lvl>
    <w:lvl w:ilvl="8">
      <w:numFmt w:val="bullet"/>
      <w:lvlText w:val="•"/>
      <w:lvlJc w:val="left"/>
      <w:pPr>
        <w:ind w:left="7571" w:hanging="360"/>
      </w:pPr>
      <w:rPr>
        <w:rFonts w:hint="default"/>
        <w:lang w:val="en-GB" w:eastAsia="en-GB" w:bidi="en-GB"/>
      </w:rPr>
    </w:lvl>
  </w:abstractNum>
  <w:abstractNum w:abstractNumId="13">
    <w:nsid w:val="3C8F7A40"/>
    <w:multiLevelType w:val="hybridMultilevel"/>
    <w:tmpl w:val="9E6633EC"/>
    <w:lvl w:ilvl="0" w:tplc="51A6BF88">
      <w:start w:val="1"/>
      <w:numFmt w:val="bullet"/>
      <w:lvlText w:val="•"/>
      <w:lvlJc w:val="left"/>
      <w:pPr>
        <w:ind w:left="1077" w:hanging="360"/>
      </w:pPr>
      <w:rPr>
        <w:rFonts w:ascii="Times New Roman" w:hAnsi="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481F0414"/>
    <w:multiLevelType w:val="hybridMultilevel"/>
    <w:tmpl w:val="21729710"/>
    <w:lvl w:ilvl="0" w:tplc="69A65B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A5F7C"/>
    <w:multiLevelType w:val="hybridMultilevel"/>
    <w:tmpl w:val="EAE60326"/>
    <w:lvl w:ilvl="0" w:tplc="3E7816EC">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D5A6FCA" w:tentative="1">
      <w:start w:val="1"/>
      <w:numFmt w:val="decimal"/>
      <w:lvlText w:val="%3."/>
      <w:lvlJc w:val="left"/>
      <w:pPr>
        <w:tabs>
          <w:tab w:val="num" w:pos="2160"/>
        </w:tabs>
        <w:ind w:left="2160" w:hanging="360"/>
      </w:pPr>
    </w:lvl>
    <w:lvl w:ilvl="3" w:tplc="1B643CD2" w:tentative="1">
      <w:start w:val="1"/>
      <w:numFmt w:val="decimal"/>
      <w:lvlText w:val="%4."/>
      <w:lvlJc w:val="left"/>
      <w:pPr>
        <w:tabs>
          <w:tab w:val="num" w:pos="2880"/>
        </w:tabs>
        <w:ind w:left="2880" w:hanging="360"/>
      </w:pPr>
    </w:lvl>
    <w:lvl w:ilvl="4" w:tplc="A6CC73FE" w:tentative="1">
      <w:start w:val="1"/>
      <w:numFmt w:val="decimal"/>
      <w:lvlText w:val="%5."/>
      <w:lvlJc w:val="left"/>
      <w:pPr>
        <w:tabs>
          <w:tab w:val="num" w:pos="3600"/>
        </w:tabs>
        <w:ind w:left="3600" w:hanging="360"/>
      </w:pPr>
    </w:lvl>
    <w:lvl w:ilvl="5" w:tplc="42C03DEA" w:tentative="1">
      <w:start w:val="1"/>
      <w:numFmt w:val="decimal"/>
      <w:lvlText w:val="%6."/>
      <w:lvlJc w:val="left"/>
      <w:pPr>
        <w:tabs>
          <w:tab w:val="num" w:pos="4320"/>
        </w:tabs>
        <w:ind w:left="4320" w:hanging="360"/>
      </w:pPr>
    </w:lvl>
    <w:lvl w:ilvl="6" w:tplc="95D4807E" w:tentative="1">
      <w:start w:val="1"/>
      <w:numFmt w:val="decimal"/>
      <w:lvlText w:val="%7."/>
      <w:lvlJc w:val="left"/>
      <w:pPr>
        <w:tabs>
          <w:tab w:val="num" w:pos="5040"/>
        </w:tabs>
        <w:ind w:left="5040" w:hanging="360"/>
      </w:pPr>
    </w:lvl>
    <w:lvl w:ilvl="7" w:tplc="0AE8B456" w:tentative="1">
      <w:start w:val="1"/>
      <w:numFmt w:val="decimal"/>
      <w:lvlText w:val="%8."/>
      <w:lvlJc w:val="left"/>
      <w:pPr>
        <w:tabs>
          <w:tab w:val="num" w:pos="5760"/>
        </w:tabs>
        <w:ind w:left="5760" w:hanging="360"/>
      </w:pPr>
    </w:lvl>
    <w:lvl w:ilvl="8" w:tplc="F1DC3E98" w:tentative="1">
      <w:start w:val="1"/>
      <w:numFmt w:val="decimal"/>
      <w:lvlText w:val="%9."/>
      <w:lvlJc w:val="left"/>
      <w:pPr>
        <w:tabs>
          <w:tab w:val="num" w:pos="6480"/>
        </w:tabs>
        <w:ind w:left="6480" w:hanging="360"/>
      </w:pPr>
    </w:lvl>
  </w:abstractNum>
  <w:abstractNum w:abstractNumId="16">
    <w:nsid w:val="5AA94108"/>
    <w:multiLevelType w:val="hybridMultilevel"/>
    <w:tmpl w:val="0E66DF20"/>
    <w:lvl w:ilvl="0" w:tplc="51A6BF88">
      <w:start w:val="1"/>
      <w:numFmt w:val="bullet"/>
      <w:lvlText w:val="•"/>
      <w:lvlJc w:val="left"/>
      <w:pPr>
        <w:tabs>
          <w:tab w:val="num" w:pos="720"/>
        </w:tabs>
        <w:ind w:left="720" w:hanging="360"/>
      </w:pPr>
      <w:rPr>
        <w:rFonts w:ascii="Times New Roman" w:hAnsi="Times New Roman" w:hint="default"/>
      </w:rPr>
    </w:lvl>
    <w:lvl w:ilvl="1" w:tplc="3C88B93E" w:tentative="1">
      <w:start w:val="1"/>
      <w:numFmt w:val="bullet"/>
      <w:lvlText w:val="•"/>
      <w:lvlJc w:val="left"/>
      <w:pPr>
        <w:tabs>
          <w:tab w:val="num" w:pos="1440"/>
        </w:tabs>
        <w:ind w:left="1440" w:hanging="360"/>
      </w:pPr>
      <w:rPr>
        <w:rFonts w:ascii="Times New Roman" w:hAnsi="Times New Roman" w:hint="default"/>
      </w:rPr>
    </w:lvl>
    <w:lvl w:ilvl="2" w:tplc="0F9897EE" w:tentative="1">
      <w:start w:val="1"/>
      <w:numFmt w:val="bullet"/>
      <w:lvlText w:val="•"/>
      <w:lvlJc w:val="left"/>
      <w:pPr>
        <w:tabs>
          <w:tab w:val="num" w:pos="2160"/>
        </w:tabs>
        <w:ind w:left="2160" w:hanging="360"/>
      </w:pPr>
      <w:rPr>
        <w:rFonts w:ascii="Times New Roman" w:hAnsi="Times New Roman" w:hint="default"/>
      </w:rPr>
    </w:lvl>
    <w:lvl w:ilvl="3" w:tplc="F7C26096" w:tentative="1">
      <w:start w:val="1"/>
      <w:numFmt w:val="bullet"/>
      <w:lvlText w:val="•"/>
      <w:lvlJc w:val="left"/>
      <w:pPr>
        <w:tabs>
          <w:tab w:val="num" w:pos="2880"/>
        </w:tabs>
        <w:ind w:left="2880" w:hanging="360"/>
      </w:pPr>
      <w:rPr>
        <w:rFonts w:ascii="Times New Roman" w:hAnsi="Times New Roman" w:hint="default"/>
      </w:rPr>
    </w:lvl>
    <w:lvl w:ilvl="4" w:tplc="E51AAB80" w:tentative="1">
      <w:start w:val="1"/>
      <w:numFmt w:val="bullet"/>
      <w:lvlText w:val="•"/>
      <w:lvlJc w:val="left"/>
      <w:pPr>
        <w:tabs>
          <w:tab w:val="num" w:pos="3600"/>
        </w:tabs>
        <w:ind w:left="3600" w:hanging="360"/>
      </w:pPr>
      <w:rPr>
        <w:rFonts w:ascii="Times New Roman" w:hAnsi="Times New Roman" w:hint="default"/>
      </w:rPr>
    </w:lvl>
    <w:lvl w:ilvl="5" w:tplc="EDE281A0" w:tentative="1">
      <w:start w:val="1"/>
      <w:numFmt w:val="bullet"/>
      <w:lvlText w:val="•"/>
      <w:lvlJc w:val="left"/>
      <w:pPr>
        <w:tabs>
          <w:tab w:val="num" w:pos="4320"/>
        </w:tabs>
        <w:ind w:left="4320" w:hanging="360"/>
      </w:pPr>
      <w:rPr>
        <w:rFonts w:ascii="Times New Roman" w:hAnsi="Times New Roman" w:hint="default"/>
      </w:rPr>
    </w:lvl>
    <w:lvl w:ilvl="6" w:tplc="4890094C" w:tentative="1">
      <w:start w:val="1"/>
      <w:numFmt w:val="bullet"/>
      <w:lvlText w:val="•"/>
      <w:lvlJc w:val="left"/>
      <w:pPr>
        <w:tabs>
          <w:tab w:val="num" w:pos="5040"/>
        </w:tabs>
        <w:ind w:left="5040" w:hanging="360"/>
      </w:pPr>
      <w:rPr>
        <w:rFonts w:ascii="Times New Roman" w:hAnsi="Times New Roman" w:hint="default"/>
      </w:rPr>
    </w:lvl>
    <w:lvl w:ilvl="7" w:tplc="EB42ED50" w:tentative="1">
      <w:start w:val="1"/>
      <w:numFmt w:val="bullet"/>
      <w:lvlText w:val="•"/>
      <w:lvlJc w:val="left"/>
      <w:pPr>
        <w:tabs>
          <w:tab w:val="num" w:pos="5760"/>
        </w:tabs>
        <w:ind w:left="5760" w:hanging="360"/>
      </w:pPr>
      <w:rPr>
        <w:rFonts w:ascii="Times New Roman" w:hAnsi="Times New Roman" w:hint="default"/>
      </w:rPr>
    </w:lvl>
    <w:lvl w:ilvl="8" w:tplc="D63680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19528AE"/>
    <w:multiLevelType w:val="hybridMultilevel"/>
    <w:tmpl w:val="B824B62E"/>
    <w:lvl w:ilvl="0" w:tplc="94A29076">
      <w:numFmt w:val="bullet"/>
      <w:lvlText w:val=""/>
      <w:lvlJc w:val="left"/>
      <w:pPr>
        <w:ind w:left="928" w:hanging="425"/>
      </w:pPr>
      <w:rPr>
        <w:rFonts w:ascii="Symbol" w:eastAsia="Symbol" w:hAnsi="Symbol" w:cs="Symbol" w:hint="default"/>
        <w:w w:val="100"/>
        <w:sz w:val="24"/>
        <w:szCs w:val="24"/>
        <w:lang w:val="en-GB" w:eastAsia="en-GB" w:bidi="en-GB"/>
      </w:rPr>
    </w:lvl>
    <w:lvl w:ilvl="1" w:tplc="7DF2276E">
      <w:numFmt w:val="bullet"/>
      <w:lvlText w:val="•"/>
      <w:lvlJc w:val="left"/>
      <w:pPr>
        <w:ind w:left="1774" w:hanging="425"/>
      </w:pPr>
      <w:rPr>
        <w:rFonts w:hint="default"/>
        <w:lang w:val="en-GB" w:eastAsia="en-GB" w:bidi="en-GB"/>
      </w:rPr>
    </w:lvl>
    <w:lvl w:ilvl="2" w:tplc="2DBCD8B4">
      <w:numFmt w:val="bullet"/>
      <w:lvlText w:val="•"/>
      <w:lvlJc w:val="left"/>
      <w:pPr>
        <w:ind w:left="2629" w:hanging="425"/>
      </w:pPr>
      <w:rPr>
        <w:rFonts w:hint="default"/>
        <w:lang w:val="en-GB" w:eastAsia="en-GB" w:bidi="en-GB"/>
      </w:rPr>
    </w:lvl>
    <w:lvl w:ilvl="3" w:tplc="2064FD5C">
      <w:numFmt w:val="bullet"/>
      <w:lvlText w:val="•"/>
      <w:lvlJc w:val="left"/>
      <w:pPr>
        <w:ind w:left="3483" w:hanging="425"/>
      </w:pPr>
      <w:rPr>
        <w:rFonts w:hint="default"/>
        <w:lang w:val="en-GB" w:eastAsia="en-GB" w:bidi="en-GB"/>
      </w:rPr>
    </w:lvl>
    <w:lvl w:ilvl="4" w:tplc="77F8C4C0">
      <w:numFmt w:val="bullet"/>
      <w:lvlText w:val="•"/>
      <w:lvlJc w:val="left"/>
      <w:pPr>
        <w:ind w:left="4338" w:hanging="425"/>
      </w:pPr>
      <w:rPr>
        <w:rFonts w:hint="default"/>
        <w:lang w:val="en-GB" w:eastAsia="en-GB" w:bidi="en-GB"/>
      </w:rPr>
    </w:lvl>
    <w:lvl w:ilvl="5" w:tplc="6D803000">
      <w:numFmt w:val="bullet"/>
      <w:lvlText w:val="•"/>
      <w:lvlJc w:val="left"/>
      <w:pPr>
        <w:ind w:left="5193" w:hanging="425"/>
      </w:pPr>
      <w:rPr>
        <w:rFonts w:hint="default"/>
        <w:lang w:val="en-GB" w:eastAsia="en-GB" w:bidi="en-GB"/>
      </w:rPr>
    </w:lvl>
    <w:lvl w:ilvl="6" w:tplc="BB3215C4">
      <w:numFmt w:val="bullet"/>
      <w:lvlText w:val="•"/>
      <w:lvlJc w:val="left"/>
      <w:pPr>
        <w:ind w:left="6047" w:hanging="425"/>
      </w:pPr>
      <w:rPr>
        <w:rFonts w:hint="default"/>
        <w:lang w:val="en-GB" w:eastAsia="en-GB" w:bidi="en-GB"/>
      </w:rPr>
    </w:lvl>
    <w:lvl w:ilvl="7" w:tplc="478C2534">
      <w:numFmt w:val="bullet"/>
      <w:lvlText w:val="•"/>
      <w:lvlJc w:val="left"/>
      <w:pPr>
        <w:ind w:left="6902" w:hanging="425"/>
      </w:pPr>
      <w:rPr>
        <w:rFonts w:hint="default"/>
        <w:lang w:val="en-GB" w:eastAsia="en-GB" w:bidi="en-GB"/>
      </w:rPr>
    </w:lvl>
    <w:lvl w:ilvl="8" w:tplc="9B4A07BC">
      <w:numFmt w:val="bullet"/>
      <w:lvlText w:val="•"/>
      <w:lvlJc w:val="left"/>
      <w:pPr>
        <w:ind w:left="7757" w:hanging="425"/>
      </w:pPr>
      <w:rPr>
        <w:rFonts w:hint="default"/>
        <w:lang w:val="en-GB" w:eastAsia="en-GB" w:bidi="en-GB"/>
      </w:rPr>
    </w:lvl>
  </w:abstractNum>
  <w:abstractNum w:abstractNumId="18">
    <w:nsid w:val="76474E76"/>
    <w:multiLevelType w:val="hybridMultilevel"/>
    <w:tmpl w:val="7F6252CA"/>
    <w:lvl w:ilvl="0" w:tplc="A190982E">
      <w:start w:val="1"/>
      <w:numFmt w:val="decimal"/>
      <w:lvlText w:val="%1."/>
      <w:lvlJc w:val="left"/>
      <w:pPr>
        <w:ind w:left="1660" w:hanging="360"/>
      </w:pPr>
      <w:rPr>
        <w:rFonts w:hint="default"/>
        <w:b/>
        <w:bCs/>
        <w:w w:val="99"/>
        <w:lang w:val="en-GB" w:eastAsia="en-GB" w:bidi="en-GB"/>
      </w:rPr>
    </w:lvl>
    <w:lvl w:ilvl="1" w:tplc="C3345444">
      <w:numFmt w:val="bullet"/>
      <w:lvlText w:val="•"/>
      <w:lvlJc w:val="left"/>
      <w:pPr>
        <w:ind w:left="2440" w:hanging="360"/>
      </w:pPr>
      <w:rPr>
        <w:rFonts w:hint="default"/>
        <w:lang w:val="en-GB" w:eastAsia="en-GB" w:bidi="en-GB"/>
      </w:rPr>
    </w:lvl>
    <w:lvl w:ilvl="2" w:tplc="1C902CF6">
      <w:numFmt w:val="bullet"/>
      <w:lvlText w:val="•"/>
      <w:lvlJc w:val="left"/>
      <w:pPr>
        <w:ind w:left="3221" w:hanging="360"/>
      </w:pPr>
      <w:rPr>
        <w:rFonts w:hint="default"/>
        <w:lang w:val="en-GB" w:eastAsia="en-GB" w:bidi="en-GB"/>
      </w:rPr>
    </w:lvl>
    <w:lvl w:ilvl="3" w:tplc="244E29FC">
      <w:numFmt w:val="bullet"/>
      <w:lvlText w:val="•"/>
      <w:lvlJc w:val="left"/>
      <w:pPr>
        <w:ind w:left="4001" w:hanging="360"/>
      </w:pPr>
      <w:rPr>
        <w:rFonts w:hint="default"/>
        <w:lang w:val="en-GB" w:eastAsia="en-GB" w:bidi="en-GB"/>
      </w:rPr>
    </w:lvl>
    <w:lvl w:ilvl="4" w:tplc="1D12B8AE">
      <w:numFmt w:val="bullet"/>
      <w:lvlText w:val="•"/>
      <w:lvlJc w:val="left"/>
      <w:pPr>
        <w:ind w:left="4782" w:hanging="360"/>
      </w:pPr>
      <w:rPr>
        <w:rFonts w:hint="default"/>
        <w:lang w:val="en-GB" w:eastAsia="en-GB" w:bidi="en-GB"/>
      </w:rPr>
    </w:lvl>
    <w:lvl w:ilvl="5" w:tplc="9926E1E8">
      <w:numFmt w:val="bullet"/>
      <w:lvlText w:val="•"/>
      <w:lvlJc w:val="left"/>
      <w:pPr>
        <w:ind w:left="5563" w:hanging="360"/>
      </w:pPr>
      <w:rPr>
        <w:rFonts w:hint="default"/>
        <w:lang w:val="en-GB" w:eastAsia="en-GB" w:bidi="en-GB"/>
      </w:rPr>
    </w:lvl>
    <w:lvl w:ilvl="6" w:tplc="1B026B16">
      <w:numFmt w:val="bullet"/>
      <w:lvlText w:val="•"/>
      <w:lvlJc w:val="left"/>
      <w:pPr>
        <w:ind w:left="6343" w:hanging="360"/>
      </w:pPr>
      <w:rPr>
        <w:rFonts w:hint="default"/>
        <w:lang w:val="en-GB" w:eastAsia="en-GB" w:bidi="en-GB"/>
      </w:rPr>
    </w:lvl>
    <w:lvl w:ilvl="7" w:tplc="A656C082">
      <w:numFmt w:val="bullet"/>
      <w:lvlText w:val="•"/>
      <w:lvlJc w:val="left"/>
      <w:pPr>
        <w:ind w:left="7124" w:hanging="360"/>
      </w:pPr>
      <w:rPr>
        <w:rFonts w:hint="default"/>
        <w:lang w:val="en-GB" w:eastAsia="en-GB" w:bidi="en-GB"/>
      </w:rPr>
    </w:lvl>
    <w:lvl w:ilvl="8" w:tplc="BCEE8310">
      <w:numFmt w:val="bullet"/>
      <w:lvlText w:val="•"/>
      <w:lvlJc w:val="left"/>
      <w:pPr>
        <w:ind w:left="7905" w:hanging="360"/>
      </w:pPr>
      <w:rPr>
        <w:rFonts w:hint="default"/>
        <w:lang w:val="en-GB" w:eastAsia="en-GB" w:bidi="en-GB"/>
      </w:rPr>
    </w:lvl>
  </w:abstractNum>
  <w:abstractNum w:abstractNumId="19">
    <w:nsid w:val="76FA2030"/>
    <w:multiLevelType w:val="hybridMultilevel"/>
    <w:tmpl w:val="17CEA894"/>
    <w:lvl w:ilvl="0" w:tplc="D6109DA4">
      <w:numFmt w:val="bullet"/>
      <w:lvlText w:val=""/>
      <w:lvlJc w:val="left"/>
      <w:pPr>
        <w:ind w:left="928" w:hanging="425"/>
      </w:pPr>
      <w:rPr>
        <w:rFonts w:ascii="Symbol" w:eastAsia="Symbol" w:hAnsi="Symbol" w:cs="Symbol" w:hint="default"/>
        <w:w w:val="100"/>
        <w:sz w:val="24"/>
        <w:szCs w:val="24"/>
        <w:lang w:val="en-GB" w:eastAsia="en-GB" w:bidi="en-GB"/>
      </w:rPr>
    </w:lvl>
    <w:lvl w:ilvl="1" w:tplc="16922CB6">
      <w:numFmt w:val="bullet"/>
      <w:lvlText w:val="•"/>
      <w:lvlJc w:val="left"/>
      <w:pPr>
        <w:ind w:left="1774" w:hanging="425"/>
      </w:pPr>
      <w:rPr>
        <w:rFonts w:hint="default"/>
        <w:lang w:val="en-GB" w:eastAsia="en-GB" w:bidi="en-GB"/>
      </w:rPr>
    </w:lvl>
    <w:lvl w:ilvl="2" w:tplc="8648DBCA">
      <w:numFmt w:val="bullet"/>
      <w:lvlText w:val="•"/>
      <w:lvlJc w:val="left"/>
      <w:pPr>
        <w:ind w:left="2629" w:hanging="425"/>
      </w:pPr>
      <w:rPr>
        <w:rFonts w:hint="default"/>
        <w:lang w:val="en-GB" w:eastAsia="en-GB" w:bidi="en-GB"/>
      </w:rPr>
    </w:lvl>
    <w:lvl w:ilvl="3" w:tplc="81286F08">
      <w:numFmt w:val="bullet"/>
      <w:lvlText w:val="•"/>
      <w:lvlJc w:val="left"/>
      <w:pPr>
        <w:ind w:left="3483" w:hanging="425"/>
      </w:pPr>
      <w:rPr>
        <w:rFonts w:hint="default"/>
        <w:lang w:val="en-GB" w:eastAsia="en-GB" w:bidi="en-GB"/>
      </w:rPr>
    </w:lvl>
    <w:lvl w:ilvl="4" w:tplc="13B67F4A">
      <w:numFmt w:val="bullet"/>
      <w:lvlText w:val="•"/>
      <w:lvlJc w:val="left"/>
      <w:pPr>
        <w:ind w:left="4338" w:hanging="425"/>
      </w:pPr>
      <w:rPr>
        <w:rFonts w:hint="default"/>
        <w:lang w:val="en-GB" w:eastAsia="en-GB" w:bidi="en-GB"/>
      </w:rPr>
    </w:lvl>
    <w:lvl w:ilvl="5" w:tplc="9CB41D22">
      <w:numFmt w:val="bullet"/>
      <w:lvlText w:val="•"/>
      <w:lvlJc w:val="left"/>
      <w:pPr>
        <w:ind w:left="5193" w:hanging="425"/>
      </w:pPr>
      <w:rPr>
        <w:rFonts w:hint="default"/>
        <w:lang w:val="en-GB" w:eastAsia="en-GB" w:bidi="en-GB"/>
      </w:rPr>
    </w:lvl>
    <w:lvl w:ilvl="6" w:tplc="1D92D796">
      <w:numFmt w:val="bullet"/>
      <w:lvlText w:val="•"/>
      <w:lvlJc w:val="left"/>
      <w:pPr>
        <w:ind w:left="6047" w:hanging="425"/>
      </w:pPr>
      <w:rPr>
        <w:rFonts w:hint="default"/>
        <w:lang w:val="en-GB" w:eastAsia="en-GB" w:bidi="en-GB"/>
      </w:rPr>
    </w:lvl>
    <w:lvl w:ilvl="7" w:tplc="4CACC456">
      <w:numFmt w:val="bullet"/>
      <w:lvlText w:val="•"/>
      <w:lvlJc w:val="left"/>
      <w:pPr>
        <w:ind w:left="6902" w:hanging="425"/>
      </w:pPr>
      <w:rPr>
        <w:rFonts w:hint="default"/>
        <w:lang w:val="en-GB" w:eastAsia="en-GB" w:bidi="en-GB"/>
      </w:rPr>
    </w:lvl>
    <w:lvl w:ilvl="8" w:tplc="C8C6EAE0">
      <w:numFmt w:val="bullet"/>
      <w:lvlText w:val="•"/>
      <w:lvlJc w:val="left"/>
      <w:pPr>
        <w:ind w:left="7757" w:hanging="425"/>
      </w:pPr>
      <w:rPr>
        <w:rFonts w:hint="default"/>
        <w:lang w:val="en-GB" w:eastAsia="en-GB" w:bidi="en-GB"/>
      </w:rPr>
    </w:lvl>
  </w:abstractNum>
  <w:abstractNum w:abstractNumId="20">
    <w:nsid w:val="7E346F85"/>
    <w:multiLevelType w:val="hybridMultilevel"/>
    <w:tmpl w:val="349EF616"/>
    <w:lvl w:ilvl="0" w:tplc="7472A9A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9"/>
  </w:num>
  <w:num w:numId="4">
    <w:abstractNumId w:val="6"/>
  </w:num>
  <w:num w:numId="5">
    <w:abstractNumId w:val="18"/>
  </w:num>
  <w:num w:numId="6">
    <w:abstractNumId w:val="12"/>
  </w:num>
  <w:num w:numId="7">
    <w:abstractNumId w:val="2"/>
  </w:num>
  <w:num w:numId="8">
    <w:abstractNumId w:val="10"/>
  </w:num>
  <w:num w:numId="9">
    <w:abstractNumId w:val="8"/>
  </w:num>
  <w:num w:numId="10">
    <w:abstractNumId w:val="9"/>
  </w:num>
  <w:num w:numId="11">
    <w:abstractNumId w:val="11"/>
  </w:num>
  <w:num w:numId="12">
    <w:abstractNumId w:val="15"/>
  </w:num>
  <w:num w:numId="13">
    <w:abstractNumId w:val="20"/>
  </w:num>
  <w:num w:numId="14">
    <w:abstractNumId w:val="1"/>
  </w:num>
  <w:num w:numId="15">
    <w:abstractNumId w:val="14"/>
  </w:num>
  <w:num w:numId="16">
    <w:abstractNumId w:val="16"/>
  </w:num>
  <w:num w:numId="17">
    <w:abstractNumId w:val="7"/>
  </w:num>
  <w:num w:numId="18">
    <w:abstractNumId w:val="5"/>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0D"/>
    <w:rsid w:val="00037C67"/>
    <w:rsid w:val="00097559"/>
    <w:rsid w:val="0013058D"/>
    <w:rsid w:val="00141DEE"/>
    <w:rsid w:val="001A3147"/>
    <w:rsid w:val="002622EB"/>
    <w:rsid w:val="002D0F69"/>
    <w:rsid w:val="0037006E"/>
    <w:rsid w:val="003A69CC"/>
    <w:rsid w:val="003B579F"/>
    <w:rsid w:val="00404217"/>
    <w:rsid w:val="00410F86"/>
    <w:rsid w:val="00437CFA"/>
    <w:rsid w:val="004A21D9"/>
    <w:rsid w:val="00567236"/>
    <w:rsid w:val="005A7DE0"/>
    <w:rsid w:val="005D2385"/>
    <w:rsid w:val="00605233"/>
    <w:rsid w:val="00683137"/>
    <w:rsid w:val="00773495"/>
    <w:rsid w:val="00782373"/>
    <w:rsid w:val="008A1CA2"/>
    <w:rsid w:val="008D0418"/>
    <w:rsid w:val="00925A42"/>
    <w:rsid w:val="009572CB"/>
    <w:rsid w:val="009F10E7"/>
    <w:rsid w:val="00A17689"/>
    <w:rsid w:val="00A31B60"/>
    <w:rsid w:val="00A716AE"/>
    <w:rsid w:val="00AB0D49"/>
    <w:rsid w:val="00AC3C84"/>
    <w:rsid w:val="00AF500F"/>
    <w:rsid w:val="00B204DB"/>
    <w:rsid w:val="00B226D2"/>
    <w:rsid w:val="00B2468F"/>
    <w:rsid w:val="00B46A87"/>
    <w:rsid w:val="00B839B6"/>
    <w:rsid w:val="00B91237"/>
    <w:rsid w:val="00BA5375"/>
    <w:rsid w:val="00BE5C0D"/>
    <w:rsid w:val="00C76B95"/>
    <w:rsid w:val="00DB5116"/>
    <w:rsid w:val="00E17E96"/>
    <w:rsid w:val="00F45DA0"/>
    <w:rsid w:val="00F7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20" w:hanging="401"/>
      <w:outlineLvl w:val="0"/>
    </w:pPr>
    <w:rPr>
      <w:sz w:val="36"/>
      <w:szCs w:val="36"/>
    </w:rPr>
  </w:style>
  <w:style w:type="paragraph" w:styleId="Heading2">
    <w:name w:val="heading 2"/>
    <w:basedOn w:val="Normal"/>
    <w:uiPriority w:val="1"/>
    <w:qFormat/>
    <w:pPr>
      <w:spacing w:before="164"/>
      <w:ind w:left="1372" w:hanging="432"/>
      <w:outlineLvl w:val="1"/>
    </w:pPr>
    <w:rPr>
      <w:b/>
      <w:bCs/>
      <w:sz w:val="26"/>
      <w:szCs w:val="26"/>
    </w:rPr>
  </w:style>
  <w:style w:type="paragraph" w:styleId="Heading3">
    <w:name w:val="heading 3"/>
    <w:basedOn w:val="Normal"/>
    <w:uiPriority w:val="1"/>
    <w:qFormat/>
    <w:pPr>
      <w:spacing w:before="199"/>
      <w:ind w:left="2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8"/>
    </w:pPr>
  </w:style>
  <w:style w:type="character" w:styleId="Hyperlink">
    <w:name w:val="Hyperlink"/>
    <w:rsid w:val="00B91237"/>
    <w:rPr>
      <w:color w:val="0000FF"/>
      <w:u w:val="single"/>
    </w:rPr>
  </w:style>
  <w:style w:type="paragraph" w:styleId="Header">
    <w:name w:val="header"/>
    <w:basedOn w:val="Normal"/>
    <w:link w:val="HeaderChar"/>
    <w:uiPriority w:val="99"/>
    <w:unhideWhenUsed/>
    <w:rsid w:val="00605233"/>
    <w:pPr>
      <w:tabs>
        <w:tab w:val="center" w:pos="4513"/>
        <w:tab w:val="right" w:pos="9026"/>
      </w:tabs>
    </w:pPr>
  </w:style>
  <w:style w:type="character" w:customStyle="1" w:styleId="HeaderChar">
    <w:name w:val="Header Char"/>
    <w:basedOn w:val="DefaultParagraphFont"/>
    <w:link w:val="Header"/>
    <w:uiPriority w:val="99"/>
    <w:rsid w:val="00605233"/>
    <w:rPr>
      <w:rFonts w:ascii="Arial" w:eastAsia="Arial" w:hAnsi="Arial" w:cs="Arial"/>
      <w:lang w:val="en-GB" w:eastAsia="en-GB" w:bidi="en-GB"/>
    </w:rPr>
  </w:style>
  <w:style w:type="paragraph" w:styleId="Footer">
    <w:name w:val="footer"/>
    <w:basedOn w:val="Normal"/>
    <w:link w:val="FooterChar"/>
    <w:uiPriority w:val="99"/>
    <w:unhideWhenUsed/>
    <w:rsid w:val="00605233"/>
    <w:pPr>
      <w:tabs>
        <w:tab w:val="center" w:pos="4513"/>
        <w:tab w:val="right" w:pos="9026"/>
      </w:tabs>
    </w:pPr>
  </w:style>
  <w:style w:type="character" w:customStyle="1" w:styleId="FooterChar">
    <w:name w:val="Footer Char"/>
    <w:basedOn w:val="DefaultParagraphFont"/>
    <w:link w:val="Footer"/>
    <w:uiPriority w:val="99"/>
    <w:rsid w:val="0060523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17E96"/>
    <w:rPr>
      <w:rFonts w:ascii="Tahoma" w:hAnsi="Tahoma" w:cs="Tahoma"/>
      <w:sz w:val="16"/>
      <w:szCs w:val="16"/>
    </w:rPr>
  </w:style>
  <w:style w:type="character" w:customStyle="1" w:styleId="BalloonTextChar">
    <w:name w:val="Balloon Text Char"/>
    <w:basedOn w:val="DefaultParagraphFont"/>
    <w:link w:val="BalloonText"/>
    <w:uiPriority w:val="99"/>
    <w:semiHidden/>
    <w:rsid w:val="00E17E96"/>
    <w:rPr>
      <w:rFonts w:ascii="Tahoma" w:eastAsia="Arial" w:hAnsi="Tahoma" w:cs="Tahoma"/>
      <w:sz w:val="16"/>
      <w:szCs w:val="16"/>
      <w:lang w:val="en-GB" w:eastAsia="en-GB" w:bidi="en-GB"/>
    </w:rPr>
  </w:style>
  <w:style w:type="paragraph" w:styleId="NormalWeb">
    <w:name w:val="Normal (Web)"/>
    <w:basedOn w:val="Normal"/>
    <w:rsid w:val="007823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782373"/>
    <w:pPr>
      <w:widowControl/>
      <w:adjustRightInd w:val="0"/>
    </w:pPr>
    <w:rPr>
      <w:rFonts w:ascii="Candara" w:eastAsia="Times New Roman" w:hAnsi="Candara" w:cs="Candar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20" w:hanging="401"/>
      <w:outlineLvl w:val="0"/>
    </w:pPr>
    <w:rPr>
      <w:sz w:val="36"/>
      <w:szCs w:val="36"/>
    </w:rPr>
  </w:style>
  <w:style w:type="paragraph" w:styleId="Heading2">
    <w:name w:val="heading 2"/>
    <w:basedOn w:val="Normal"/>
    <w:uiPriority w:val="1"/>
    <w:qFormat/>
    <w:pPr>
      <w:spacing w:before="164"/>
      <w:ind w:left="1372" w:hanging="432"/>
      <w:outlineLvl w:val="1"/>
    </w:pPr>
    <w:rPr>
      <w:b/>
      <w:bCs/>
      <w:sz w:val="26"/>
      <w:szCs w:val="26"/>
    </w:rPr>
  </w:style>
  <w:style w:type="paragraph" w:styleId="Heading3">
    <w:name w:val="heading 3"/>
    <w:basedOn w:val="Normal"/>
    <w:uiPriority w:val="1"/>
    <w:qFormat/>
    <w:pPr>
      <w:spacing w:before="199"/>
      <w:ind w:left="2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8"/>
    </w:pPr>
  </w:style>
  <w:style w:type="character" w:styleId="Hyperlink">
    <w:name w:val="Hyperlink"/>
    <w:rsid w:val="00B91237"/>
    <w:rPr>
      <w:color w:val="0000FF"/>
      <w:u w:val="single"/>
    </w:rPr>
  </w:style>
  <w:style w:type="paragraph" w:styleId="Header">
    <w:name w:val="header"/>
    <w:basedOn w:val="Normal"/>
    <w:link w:val="HeaderChar"/>
    <w:uiPriority w:val="99"/>
    <w:unhideWhenUsed/>
    <w:rsid w:val="00605233"/>
    <w:pPr>
      <w:tabs>
        <w:tab w:val="center" w:pos="4513"/>
        <w:tab w:val="right" w:pos="9026"/>
      </w:tabs>
    </w:pPr>
  </w:style>
  <w:style w:type="character" w:customStyle="1" w:styleId="HeaderChar">
    <w:name w:val="Header Char"/>
    <w:basedOn w:val="DefaultParagraphFont"/>
    <w:link w:val="Header"/>
    <w:uiPriority w:val="99"/>
    <w:rsid w:val="00605233"/>
    <w:rPr>
      <w:rFonts w:ascii="Arial" w:eastAsia="Arial" w:hAnsi="Arial" w:cs="Arial"/>
      <w:lang w:val="en-GB" w:eastAsia="en-GB" w:bidi="en-GB"/>
    </w:rPr>
  </w:style>
  <w:style w:type="paragraph" w:styleId="Footer">
    <w:name w:val="footer"/>
    <w:basedOn w:val="Normal"/>
    <w:link w:val="FooterChar"/>
    <w:uiPriority w:val="99"/>
    <w:unhideWhenUsed/>
    <w:rsid w:val="00605233"/>
    <w:pPr>
      <w:tabs>
        <w:tab w:val="center" w:pos="4513"/>
        <w:tab w:val="right" w:pos="9026"/>
      </w:tabs>
    </w:pPr>
  </w:style>
  <w:style w:type="character" w:customStyle="1" w:styleId="FooterChar">
    <w:name w:val="Footer Char"/>
    <w:basedOn w:val="DefaultParagraphFont"/>
    <w:link w:val="Footer"/>
    <w:uiPriority w:val="99"/>
    <w:rsid w:val="0060523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17E96"/>
    <w:rPr>
      <w:rFonts w:ascii="Tahoma" w:hAnsi="Tahoma" w:cs="Tahoma"/>
      <w:sz w:val="16"/>
      <w:szCs w:val="16"/>
    </w:rPr>
  </w:style>
  <w:style w:type="character" w:customStyle="1" w:styleId="BalloonTextChar">
    <w:name w:val="Balloon Text Char"/>
    <w:basedOn w:val="DefaultParagraphFont"/>
    <w:link w:val="BalloonText"/>
    <w:uiPriority w:val="99"/>
    <w:semiHidden/>
    <w:rsid w:val="00E17E96"/>
    <w:rPr>
      <w:rFonts w:ascii="Tahoma" w:eastAsia="Arial" w:hAnsi="Tahoma" w:cs="Tahoma"/>
      <w:sz w:val="16"/>
      <w:szCs w:val="16"/>
      <w:lang w:val="en-GB" w:eastAsia="en-GB" w:bidi="en-GB"/>
    </w:rPr>
  </w:style>
  <w:style w:type="paragraph" w:styleId="NormalWeb">
    <w:name w:val="Normal (Web)"/>
    <w:basedOn w:val="Normal"/>
    <w:rsid w:val="007823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782373"/>
    <w:pPr>
      <w:widowControl/>
      <w:adjustRightInd w:val="0"/>
    </w:pPr>
    <w:rPr>
      <w:rFonts w:ascii="Candara" w:eastAsia="Times New Roman" w:hAnsi="Candara" w:cs="Candar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okestaffslep.org.uk/" TargetMode="External"/><Relationship Id="rId18" Type="http://schemas.openxmlformats.org/officeDocument/2006/relationships/hyperlink" Target="mailto:sarah.simpson@staffordshir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tokestaffslep.org.uk/app/uploads/2014/07/140708-Stoke-and-Staffs-Economic-Plan-Summary.pdf" TargetMode="External"/><Relationship Id="rId2" Type="http://schemas.openxmlformats.org/officeDocument/2006/relationships/numbering" Target="numbering.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kestaffslep.org.uk/app/uploads/2014/04/140404-Stoke-and-Staffs-Economic-Plan-Part-1-Strategy-Website.pdf" TargetMode="External"/><Relationship Id="rId5" Type="http://schemas.openxmlformats.org/officeDocument/2006/relationships/settings" Target="settings.xml"/><Relationship Id="rId15" Type="http://schemas.openxmlformats.org/officeDocument/2006/relationships/hyperlink" Target="mailto:sarah.simpson@staffordshire.gov.uk" TargetMode="External"/><Relationship Id="rId10" Type="http://schemas.openxmlformats.org/officeDocument/2006/relationships/footer" Target="footer1.xml"/><Relationship Id="rId19" Type="http://schemas.openxmlformats.org/officeDocument/2006/relationships/hyperlink" Target="mailto:nigel.senior@staffordshire.gov.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9D7F-C9D7-4B5A-9EAA-C5612EFF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F504DB02</Template>
  <TotalTime>7</TotalTime>
  <Pages>11</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Gough</dc:creator>
  <cp:lastModifiedBy>Thomas, Alison (Place)</cp:lastModifiedBy>
  <cp:revision>4</cp:revision>
  <cp:lastPrinted>2018-03-20T13:48:00Z</cp:lastPrinted>
  <dcterms:created xsi:type="dcterms:W3CDTF">2018-03-22T10:14:00Z</dcterms:created>
  <dcterms:modified xsi:type="dcterms:W3CDTF">2018-03-22T14:29:00Z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 2010</vt:lpwstr>
  </property>
  <property fmtid="{D5CDD505-2E9C-101B-9397-08002B2CF9AE}" pid="4" name="LastSaved">
    <vt:filetime>2018-03-16T00:00:00Z</vt:filetime>
  </property>
</Properties>
</file>