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DCD21" w14:textId="77777777" w:rsidR="00B90414" w:rsidRPr="00D64B6D" w:rsidRDefault="00B90414" w:rsidP="00B90414">
      <w:pPr>
        <w:jc w:val="center"/>
        <w:rPr>
          <w:rFonts w:cstheme="minorHAnsi"/>
          <w:b/>
          <w:sz w:val="24"/>
          <w:szCs w:val="24"/>
        </w:rPr>
      </w:pPr>
      <w:r w:rsidRPr="00D64B6D">
        <w:rPr>
          <w:rFonts w:cstheme="minorHAnsi"/>
          <w:b/>
          <w:sz w:val="24"/>
          <w:szCs w:val="24"/>
        </w:rPr>
        <w:t>STOKE ON TRENT &amp; STAFFORDSHIRE</w:t>
      </w:r>
    </w:p>
    <w:p w14:paraId="72733889" w14:textId="77777777" w:rsidR="00B90414" w:rsidRPr="00D64B6D" w:rsidRDefault="00B90414" w:rsidP="00B90414">
      <w:pPr>
        <w:jc w:val="center"/>
        <w:rPr>
          <w:rFonts w:cstheme="minorHAnsi"/>
          <w:b/>
          <w:sz w:val="24"/>
          <w:szCs w:val="24"/>
        </w:rPr>
      </w:pPr>
      <w:r w:rsidRPr="00D64B6D">
        <w:rPr>
          <w:rFonts w:cstheme="minorHAnsi"/>
          <w:b/>
          <w:sz w:val="24"/>
          <w:szCs w:val="24"/>
        </w:rPr>
        <w:t>LOCAL ENTERPRISE PARTNERSHIP</w:t>
      </w:r>
    </w:p>
    <w:p w14:paraId="494CDFE6" w14:textId="77777777" w:rsidR="00B90414" w:rsidRPr="00D64B6D" w:rsidRDefault="00B90414" w:rsidP="00B90414">
      <w:pPr>
        <w:jc w:val="center"/>
        <w:rPr>
          <w:rFonts w:cstheme="minorHAnsi"/>
          <w:b/>
          <w:sz w:val="24"/>
          <w:szCs w:val="24"/>
        </w:rPr>
      </w:pPr>
      <w:r w:rsidRPr="00D64B6D">
        <w:rPr>
          <w:rFonts w:cstheme="minorHAnsi"/>
          <w:b/>
          <w:sz w:val="24"/>
          <w:szCs w:val="24"/>
        </w:rPr>
        <w:t>COMPANY EXECUTIVE BOARD MEETING</w:t>
      </w:r>
    </w:p>
    <w:p w14:paraId="25364569" w14:textId="77777777" w:rsidR="00B90414" w:rsidRDefault="00B90414" w:rsidP="00B90414">
      <w:pPr>
        <w:jc w:val="center"/>
        <w:rPr>
          <w:rFonts w:cstheme="minorHAnsi"/>
          <w:b/>
          <w:sz w:val="24"/>
          <w:szCs w:val="24"/>
        </w:rPr>
      </w:pPr>
      <w:r w:rsidRPr="00D64B6D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4</w:t>
      </w:r>
      <w:r w:rsidRPr="00D64B6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May</w:t>
      </w:r>
      <w:r w:rsidRPr="00D64B6D">
        <w:rPr>
          <w:rFonts w:cstheme="minorHAnsi"/>
          <w:b/>
          <w:sz w:val="24"/>
          <w:szCs w:val="24"/>
        </w:rPr>
        <w:t xml:space="preserve"> 2020</w:t>
      </w:r>
    </w:p>
    <w:p w14:paraId="54DD30C6" w14:textId="2ECDC3D0" w:rsidR="009C6B02" w:rsidRPr="000C5B0C" w:rsidRDefault="00EF600D" w:rsidP="00326AE4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0C5B0C">
        <w:rPr>
          <w:rFonts w:ascii="Arial" w:hAnsi="Arial" w:cs="Arial"/>
          <w:b/>
          <w:bCs/>
          <w:sz w:val="20"/>
          <w:szCs w:val="20"/>
        </w:rPr>
        <w:t>Local Growth Deal</w:t>
      </w:r>
      <w:r w:rsidR="00326AE4" w:rsidRPr="000C5B0C">
        <w:rPr>
          <w:rFonts w:ascii="Arial" w:hAnsi="Arial" w:cs="Arial"/>
          <w:b/>
          <w:bCs/>
          <w:sz w:val="20"/>
          <w:szCs w:val="20"/>
        </w:rPr>
        <w:t xml:space="preserve"> </w:t>
      </w:r>
      <w:r w:rsidR="002E7ECD">
        <w:rPr>
          <w:rFonts w:ascii="Arial" w:hAnsi="Arial" w:cs="Arial"/>
          <w:b/>
          <w:bCs/>
          <w:sz w:val="20"/>
          <w:szCs w:val="20"/>
        </w:rPr>
        <w:t xml:space="preserve">and City Deal </w:t>
      </w:r>
      <w:r w:rsidR="00326AE4" w:rsidRPr="000C5B0C">
        <w:rPr>
          <w:rFonts w:ascii="Arial" w:hAnsi="Arial" w:cs="Arial"/>
          <w:b/>
          <w:bCs/>
          <w:sz w:val="20"/>
          <w:szCs w:val="20"/>
        </w:rPr>
        <w:t xml:space="preserve">– </w:t>
      </w:r>
      <w:r w:rsidR="002E7ECD">
        <w:rPr>
          <w:rFonts w:ascii="Arial" w:hAnsi="Arial" w:cs="Arial"/>
          <w:b/>
          <w:bCs/>
          <w:sz w:val="20"/>
          <w:szCs w:val="20"/>
        </w:rPr>
        <w:t>Q4 2019/20</w:t>
      </w:r>
      <w:r w:rsidR="00326AE4" w:rsidRPr="000C5B0C">
        <w:rPr>
          <w:rFonts w:ascii="Arial" w:hAnsi="Arial" w:cs="Arial"/>
          <w:b/>
          <w:bCs/>
          <w:sz w:val="20"/>
          <w:szCs w:val="20"/>
        </w:rPr>
        <w:t xml:space="preserve"> </w:t>
      </w:r>
      <w:r w:rsidR="00F24AC4">
        <w:rPr>
          <w:rFonts w:ascii="Arial" w:hAnsi="Arial" w:cs="Arial"/>
          <w:b/>
          <w:bCs/>
          <w:sz w:val="20"/>
          <w:szCs w:val="20"/>
        </w:rPr>
        <w:t>briefing note</w:t>
      </w:r>
      <w:r w:rsidR="0042796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8279039" w14:textId="001E84E8" w:rsidR="00EF600D" w:rsidRPr="000C5B0C" w:rsidRDefault="002E7ECD" w:rsidP="000C5B0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Local Growth Deal </w:t>
      </w:r>
    </w:p>
    <w:p w14:paraId="64CFB1C0" w14:textId="3B7B1FB2" w:rsidR="00A279CC" w:rsidRPr="00AC11A1" w:rsidRDefault="00B46940" w:rsidP="00AC11A1">
      <w:pPr>
        <w:rPr>
          <w:rFonts w:ascii="Arial" w:hAnsi="Arial" w:cs="Arial"/>
          <w:b/>
          <w:bCs/>
          <w:sz w:val="20"/>
          <w:szCs w:val="20"/>
        </w:rPr>
      </w:pPr>
      <w:r w:rsidRPr="000C5B0C">
        <w:rPr>
          <w:rFonts w:ascii="Arial" w:hAnsi="Arial" w:cs="Arial"/>
          <w:b/>
          <w:bCs/>
          <w:sz w:val="20"/>
          <w:szCs w:val="20"/>
        </w:rPr>
        <w:t>Jobs</w:t>
      </w:r>
      <w:r w:rsidR="00A279CC" w:rsidRPr="00AC11A1">
        <w:rPr>
          <w:rFonts w:ascii="Arial" w:hAnsi="Arial" w:cs="Arial"/>
          <w:sz w:val="20"/>
          <w:szCs w:val="20"/>
        </w:rPr>
        <w:tab/>
      </w:r>
      <w:r w:rsidR="00E30D49">
        <w:rPr>
          <w:rFonts w:ascii="Arial" w:hAnsi="Arial" w:cs="Arial"/>
          <w:sz w:val="20"/>
          <w:szCs w:val="20"/>
        </w:rPr>
        <w:t xml:space="preserve">Target by March 2021 - </w:t>
      </w:r>
      <w:r w:rsidR="00A279CC" w:rsidRPr="00AC11A1">
        <w:rPr>
          <w:rFonts w:ascii="Arial" w:hAnsi="Arial" w:cs="Arial"/>
          <w:sz w:val="20"/>
          <w:szCs w:val="20"/>
        </w:rPr>
        <w:tab/>
      </w:r>
      <w:r w:rsidR="00E30D49" w:rsidRPr="00C07ACC">
        <w:rPr>
          <w:rFonts w:ascii="Arial" w:hAnsi="Arial" w:cs="Arial"/>
          <w:b/>
          <w:bCs/>
          <w:sz w:val="20"/>
          <w:szCs w:val="20"/>
        </w:rPr>
        <w:t>5,000</w:t>
      </w:r>
      <w:r w:rsidR="00E30D49">
        <w:rPr>
          <w:rFonts w:ascii="Arial" w:hAnsi="Arial" w:cs="Arial"/>
          <w:sz w:val="20"/>
          <w:szCs w:val="20"/>
        </w:rPr>
        <w:t xml:space="preserve"> jobs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AC11A1" w14:paraId="65B32616" w14:textId="77777777" w:rsidTr="00AC11A1">
        <w:tc>
          <w:tcPr>
            <w:tcW w:w="3005" w:type="dxa"/>
          </w:tcPr>
          <w:p w14:paraId="089FC321" w14:textId="7460F24E" w:rsidR="00AC11A1" w:rsidRDefault="00AC11A1" w:rsidP="00A279CC">
            <w:pPr>
              <w:rPr>
                <w:rFonts w:ascii="Arial" w:hAnsi="Arial" w:cs="Arial"/>
                <w:sz w:val="20"/>
                <w:szCs w:val="20"/>
              </w:rPr>
            </w:pPr>
            <w:r w:rsidRPr="00A279CC">
              <w:rPr>
                <w:rFonts w:ascii="Arial" w:hAnsi="Arial" w:cs="Arial"/>
                <w:sz w:val="20"/>
                <w:szCs w:val="20"/>
              </w:rPr>
              <w:t xml:space="preserve">Jobs achieved </w:t>
            </w:r>
            <w:r>
              <w:rPr>
                <w:rFonts w:ascii="Arial" w:hAnsi="Arial" w:cs="Arial"/>
                <w:sz w:val="20"/>
                <w:szCs w:val="20"/>
              </w:rPr>
              <w:t>by March 2020</w:t>
            </w:r>
          </w:p>
        </w:tc>
        <w:tc>
          <w:tcPr>
            <w:tcW w:w="3005" w:type="dxa"/>
          </w:tcPr>
          <w:p w14:paraId="740D8441" w14:textId="11CBC343" w:rsidR="00AC11A1" w:rsidRDefault="00AC11A1" w:rsidP="00A27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2,354</w:t>
            </w:r>
          </w:p>
        </w:tc>
      </w:tr>
      <w:tr w:rsidR="00AC11A1" w14:paraId="01C79EAC" w14:textId="77777777" w:rsidTr="00AC11A1">
        <w:tc>
          <w:tcPr>
            <w:tcW w:w="3005" w:type="dxa"/>
          </w:tcPr>
          <w:p w14:paraId="24C8F6C1" w14:textId="19FF465B" w:rsidR="00AC11A1" w:rsidRDefault="00AC11A1" w:rsidP="00A27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Jobs forecast by March 2020</w:t>
            </w:r>
          </w:p>
        </w:tc>
        <w:tc>
          <w:tcPr>
            <w:tcW w:w="3005" w:type="dxa"/>
          </w:tcPr>
          <w:p w14:paraId="4CAF1F02" w14:textId="045BCE99" w:rsidR="00AC11A1" w:rsidRDefault="00AC11A1" w:rsidP="00A27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3,223</w:t>
            </w:r>
          </w:p>
        </w:tc>
      </w:tr>
      <w:tr w:rsidR="00AC11A1" w14:paraId="5F4D0961" w14:textId="77777777" w:rsidTr="00AC11A1">
        <w:tc>
          <w:tcPr>
            <w:tcW w:w="3005" w:type="dxa"/>
          </w:tcPr>
          <w:p w14:paraId="621EE20E" w14:textId="425D9836" w:rsidR="00AC11A1" w:rsidRDefault="00AC11A1" w:rsidP="00A27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Jobs forecast by March 2021</w:t>
            </w:r>
          </w:p>
        </w:tc>
        <w:tc>
          <w:tcPr>
            <w:tcW w:w="3005" w:type="dxa"/>
          </w:tcPr>
          <w:p w14:paraId="55D32E6B" w14:textId="4DC19CDB" w:rsidR="00AC11A1" w:rsidRPr="00E30D49" w:rsidRDefault="00AC11A1" w:rsidP="00E30D49">
            <w:pPr>
              <w:rPr>
                <w:rFonts w:ascii="Arial" w:hAnsi="Arial" w:cs="Arial"/>
                <w:sz w:val="20"/>
                <w:szCs w:val="20"/>
              </w:rPr>
            </w:pPr>
            <w:r w:rsidRPr="00E30D49">
              <w:rPr>
                <w:rFonts w:ascii="Arial" w:hAnsi="Arial" w:cs="Arial"/>
                <w:sz w:val="20"/>
                <w:szCs w:val="20"/>
              </w:rPr>
              <w:t>6,057</w:t>
            </w:r>
          </w:p>
        </w:tc>
      </w:tr>
      <w:tr w:rsidR="00AC11A1" w14:paraId="56EE9CB5" w14:textId="77777777" w:rsidTr="00AC11A1">
        <w:tc>
          <w:tcPr>
            <w:tcW w:w="3005" w:type="dxa"/>
          </w:tcPr>
          <w:p w14:paraId="296DAB4D" w14:textId="0629499E" w:rsidR="00AC11A1" w:rsidRDefault="00AC11A1" w:rsidP="00A27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Jobs forecast by March 2025</w:t>
            </w:r>
          </w:p>
        </w:tc>
        <w:tc>
          <w:tcPr>
            <w:tcW w:w="3005" w:type="dxa"/>
          </w:tcPr>
          <w:p w14:paraId="6F517360" w14:textId="6832058E" w:rsidR="00AC11A1" w:rsidRDefault="00AC11A1" w:rsidP="00A27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13,323</w:t>
            </w:r>
          </w:p>
        </w:tc>
      </w:tr>
    </w:tbl>
    <w:p w14:paraId="4F535EB8" w14:textId="77777777" w:rsidR="00E30D49" w:rsidRDefault="00E30D49" w:rsidP="00E30D49">
      <w:pPr>
        <w:pStyle w:val="ListParagraph"/>
        <w:rPr>
          <w:rFonts w:ascii="Arial" w:hAnsi="Arial" w:cs="Arial"/>
          <w:sz w:val="20"/>
          <w:szCs w:val="20"/>
        </w:rPr>
      </w:pPr>
    </w:p>
    <w:p w14:paraId="0F1A1214" w14:textId="1655CCB0" w:rsidR="00AC11A1" w:rsidRDefault="00AC11A1" w:rsidP="00AC11A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73% of March 2020 target delivered</w:t>
      </w:r>
    </w:p>
    <w:p w14:paraId="49473C5A" w14:textId="77777777" w:rsidR="007536C3" w:rsidRPr="00BF7DB3" w:rsidRDefault="007536C3" w:rsidP="007536C3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BF7DB3">
        <w:rPr>
          <w:rFonts w:ascii="Arial" w:hAnsi="Arial" w:cs="Arial"/>
          <w:sz w:val="20"/>
          <w:szCs w:val="20"/>
        </w:rPr>
        <w:t>orecasts are revised annually</w:t>
      </w:r>
      <w:r>
        <w:rPr>
          <w:rFonts w:ascii="Arial" w:hAnsi="Arial" w:cs="Arial"/>
          <w:sz w:val="20"/>
          <w:szCs w:val="20"/>
        </w:rPr>
        <w:t xml:space="preserve"> by sponsors</w:t>
      </w:r>
      <w:r w:rsidRPr="00BF7D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Q1 of </w:t>
      </w:r>
      <w:r w:rsidRPr="00BF7DB3">
        <w:rPr>
          <w:rFonts w:ascii="Arial" w:hAnsi="Arial" w:cs="Arial"/>
          <w:sz w:val="20"/>
          <w:szCs w:val="20"/>
        </w:rPr>
        <w:t>each year</w:t>
      </w:r>
      <w:r>
        <w:rPr>
          <w:rFonts w:ascii="Arial" w:hAnsi="Arial" w:cs="Arial"/>
          <w:sz w:val="20"/>
          <w:szCs w:val="20"/>
        </w:rPr>
        <w:t>, to take account of slippage</w:t>
      </w:r>
      <w:r w:rsidRPr="00BF7DB3">
        <w:rPr>
          <w:rFonts w:ascii="Arial" w:hAnsi="Arial" w:cs="Arial"/>
          <w:sz w:val="20"/>
          <w:szCs w:val="20"/>
        </w:rPr>
        <w:t>.  (</w:t>
      </w:r>
      <w:r>
        <w:rPr>
          <w:rFonts w:ascii="Arial" w:hAnsi="Arial" w:cs="Arial"/>
          <w:i/>
          <w:iCs/>
          <w:sz w:val="20"/>
          <w:szCs w:val="20"/>
        </w:rPr>
        <w:t>Please s</w:t>
      </w:r>
      <w:r w:rsidRPr="00BF7DB3">
        <w:rPr>
          <w:rFonts w:ascii="Arial" w:hAnsi="Arial" w:cs="Arial"/>
          <w:i/>
          <w:iCs/>
          <w:sz w:val="20"/>
          <w:szCs w:val="20"/>
        </w:rPr>
        <w:t xml:space="preserve">ee “Forecasting” sheet on dashboard). </w:t>
      </w:r>
    </w:p>
    <w:p w14:paraId="13E49A50" w14:textId="107D4A05" w:rsidR="00B46940" w:rsidRPr="00BF7DB3" w:rsidRDefault="00E30D49" w:rsidP="00186B69">
      <w:pPr>
        <w:rPr>
          <w:rFonts w:ascii="Arial" w:hAnsi="Arial" w:cs="Arial"/>
          <w:b/>
          <w:bCs/>
          <w:sz w:val="20"/>
          <w:szCs w:val="20"/>
        </w:rPr>
      </w:pPr>
      <w:r w:rsidRPr="00BF7DB3">
        <w:rPr>
          <w:rFonts w:ascii="Arial" w:hAnsi="Arial" w:cs="Arial"/>
          <w:b/>
          <w:bCs/>
          <w:sz w:val="20"/>
          <w:szCs w:val="20"/>
        </w:rPr>
        <w:t>H</w:t>
      </w:r>
      <w:r w:rsidR="00B46940" w:rsidRPr="00BF7DB3">
        <w:rPr>
          <w:rFonts w:ascii="Arial" w:hAnsi="Arial" w:cs="Arial"/>
          <w:b/>
          <w:bCs/>
          <w:sz w:val="20"/>
          <w:szCs w:val="20"/>
        </w:rPr>
        <w:t>ouses</w:t>
      </w:r>
      <w:r w:rsidRPr="00BF7DB3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BF7DB3">
        <w:rPr>
          <w:rFonts w:ascii="Arial" w:hAnsi="Arial" w:cs="Arial"/>
          <w:sz w:val="20"/>
          <w:szCs w:val="20"/>
        </w:rPr>
        <w:t xml:space="preserve">Target by March 2021 – </w:t>
      </w:r>
      <w:r w:rsidRPr="00C07ACC">
        <w:rPr>
          <w:rFonts w:ascii="Arial" w:hAnsi="Arial" w:cs="Arial"/>
          <w:b/>
          <w:bCs/>
          <w:sz w:val="20"/>
          <w:szCs w:val="20"/>
        </w:rPr>
        <w:t>1,000</w:t>
      </w:r>
      <w:r w:rsidRPr="00BF7DB3">
        <w:rPr>
          <w:rFonts w:ascii="Arial" w:hAnsi="Arial" w:cs="Arial"/>
          <w:sz w:val="20"/>
          <w:szCs w:val="20"/>
        </w:rPr>
        <w:t xml:space="preserve"> homes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471"/>
      </w:tblGrid>
      <w:tr w:rsidR="00E30D49" w14:paraId="7C170933" w14:textId="77777777" w:rsidTr="00E30D49">
        <w:tc>
          <w:tcPr>
            <w:tcW w:w="3539" w:type="dxa"/>
          </w:tcPr>
          <w:p w14:paraId="2D75FEC1" w14:textId="0ADCE07C" w:rsidR="00E30D49" w:rsidRDefault="00E30D49" w:rsidP="00E30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Houses </w:t>
            </w:r>
            <w:r w:rsidRPr="00A279CC">
              <w:rPr>
                <w:rFonts w:ascii="Arial" w:hAnsi="Arial" w:cs="Arial"/>
                <w:sz w:val="20"/>
                <w:szCs w:val="20"/>
              </w:rPr>
              <w:t xml:space="preserve">achieved </w:t>
            </w:r>
            <w:r>
              <w:rPr>
                <w:rFonts w:ascii="Arial" w:hAnsi="Arial" w:cs="Arial"/>
                <w:sz w:val="20"/>
                <w:szCs w:val="20"/>
              </w:rPr>
              <w:t>by March 2020</w:t>
            </w:r>
          </w:p>
        </w:tc>
        <w:tc>
          <w:tcPr>
            <w:tcW w:w="2471" w:type="dxa"/>
          </w:tcPr>
          <w:p w14:paraId="22BB0762" w14:textId="3B8EEFDA" w:rsidR="00E30D49" w:rsidRDefault="00E30D49" w:rsidP="00E30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</w:tr>
      <w:tr w:rsidR="00E30D49" w14:paraId="0104EB65" w14:textId="77777777" w:rsidTr="00E30D49">
        <w:tc>
          <w:tcPr>
            <w:tcW w:w="3539" w:type="dxa"/>
          </w:tcPr>
          <w:p w14:paraId="1AC8D820" w14:textId="27B73647" w:rsidR="00E30D49" w:rsidRDefault="00E30D49" w:rsidP="00E30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Houses forecast by March 2020</w:t>
            </w:r>
          </w:p>
        </w:tc>
        <w:tc>
          <w:tcPr>
            <w:tcW w:w="2471" w:type="dxa"/>
          </w:tcPr>
          <w:p w14:paraId="2617FB00" w14:textId="60C25C98" w:rsidR="00E30D49" w:rsidRDefault="00E30D49" w:rsidP="00E30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</w:tr>
      <w:tr w:rsidR="00E30D49" w14:paraId="7F2DA364" w14:textId="77777777" w:rsidTr="00E30D49">
        <w:trPr>
          <w:trHeight w:val="297"/>
        </w:trPr>
        <w:tc>
          <w:tcPr>
            <w:tcW w:w="3539" w:type="dxa"/>
          </w:tcPr>
          <w:p w14:paraId="34C7449A" w14:textId="75A15791" w:rsidR="00E30D49" w:rsidRDefault="00E30D49" w:rsidP="00E30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Houses forecast by March 2021</w:t>
            </w:r>
          </w:p>
        </w:tc>
        <w:tc>
          <w:tcPr>
            <w:tcW w:w="2471" w:type="dxa"/>
          </w:tcPr>
          <w:p w14:paraId="173C4B9E" w14:textId="7B7FC5E2" w:rsidR="00E30D49" w:rsidRDefault="00E30D49" w:rsidP="00E30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</w:t>
            </w:r>
          </w:p>
        </w:tc>
      </w:tr>
      <w:tr w:rsidR="00E30D49" w14:paraId="579DF460" w14:textId="77777777" w:rsidTr="00E30D49">
        <w:tc>
          <w:tcPr>
            <w:tcW w:w="3539" w:type="dxa"/>
          </w:tcPr>
          <w:p w14:paraId="14E23FF9" w14:textId="34AEF20C" w:rsidR="00E30D49" w:rsidRDefault="00E30D49" w:rsidP="00E30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Houses forecast by March 2025</w:t>
            </w:r>
          </w:p>
        </w:tc>
        <w:tc>
          <w:tcPr>
            <w:tcW w:w="2471" w:type="dxa"/>
          </w:tcPr>
          <w:p w14:paraId="46BCE4AF" w14:textId="1C25098E" w:rsidR="00E30D49" w:rsidRDefault="00E30D49" w:rsidP="00E30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5999</w:t>
            </w:r>
          </w:p>
        </w:tc>
      </w:tr>
    </w:tbl>
    <w:p w14:paraId="74AA74A8" w14:textId="77777777" w:rsidR="00186B69" w:rsidRDefault="00186B69" w:rsidP="00186B69">
      <w:pPr>
        <w:pStyle w:val="ListParagraph"/>
        <w:spacing w:after="0" w:line="240" w:lineRule="auto"/>
        <w:ind w:left="714"/>
        <w:rPr>
          <w:rFonts w:ascii="Arial" w:hAnsi="Arial" w:cs="Arial"/>
          <w:sz w:val="20"/>
          <w:szCs w:val="20"/>
        </w:rPr>
      </w:pPr>
    </w:p>
    <w:p w14:paraId="5C2A1C0E" w14:textId="7B0E74F9" w:rsidR="00BF7DB3" w:rsidRDefault="00BF7DB3" w:rsidP="00186B69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BF7DB3">
        <w:rPr>
          <w:rFonts w:ascii="Arial" w:hAnsi="Arial" w:cs="Arial"/>
          <w:sz w:val="20"/>
          <w:szCs w:val="20"/>
        </w:rPr>
        <w:t>72% of March 2020 target delivered</w:t>
      </w:r>
    </w:p>
    <w:p w14:paraId="2C8D1304" w14:textId="7C25CFA2" w:rsidR="00E30D49" w:rsidRDefault="00E30D49" w:rsidP="00BF7DB3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F7DB3">
        <w:rPr>
          <w:rFonts w:ascii="Arial" w:hAnsi="Arial" w:cs="Arial"/>
          <w:sz w:val="20"/>
          <w:szCs w:val="20"/>
        </w:rPr>
        <w:t>Although houses are not currently expected to meet target for March 2021, it is expected that the target will be met and far exceeded, by a slightly later date</w:t>
      </w:r>
      <w:r w:rsidR="00BF7DB3">
        <w:rPr>
          <w:rFonts w:ascii="Arial" w:hAnsi="Arial" w:cs="Arial"/>
          <w:sz w:val="20"/>
          <w:szCs w:val="20"/>
        </w:rPr>
        <w:t>, as the larger developments pick up pace.</w:t>
      </w:r>
    </w:p>
    <w:p w14:paraId="519B80F2" w14:textId="0EC1666F" w:rsidR="002174AB" w:rsidRDefault="002174AB" w:rsidP="002174AB">
      <w:pPr>
        <w:rPr>
          <w:rFonts w:ascii="Arial" w:hAnsi="Arial" w:cs="Arial"/>
          <w:b/>
          <w:bCs/>
          <w:sz w:val="20"/>
          <w:szCs w:val="20"/>
        </w:rPr>
      </w:pPr>
      <w:r w:rsidRPr="002174AB">
        <w:rPr>
          <w:rFonts w:ascii="Arial" w:hAnsi="Arial" w:cs="Arial"/>
          <w:b/>
          <w:bCs/>
          <w:sz w:val="20"/>
          <w:szCs w:val="20"/>
        </w:rPr>
        <w:t>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471"/>
        <w:gridCol w:w="2471"/>
      </w:tblGrid>
      <w:tr w:rsidR="006140DF" w14:paraId="68F37123" w14:textId="47440E3E" w:rsidTr="006140DF">
        <w:tc>
          <w:tcPr>
            <w:tcW w:w="3539" w:type="dxa"/>
          </w:tcPr>
          <w:p w14:paraId="7937F22D" w14:textId="0C2C39AB" w:rsidR="006140DF" w:rsidRDefault="006140DF" w:rsidP="006140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Outputs</w:t>
            </w:r>
          </w:p>
        </w:tc>
        <w:tc>
          <w:tcPr>
            <w:tcW w:w="2471" w:type="dxa"/>
          </w:tcPr>
          <w:p w14:paraId="7252AE3E" w14:textId="41E88412" w:rsidR="006140DF" w:rsidRDefault="006140DF" w:rsidP="006140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Apprenticeships</w:t>
            </w:r>
          </w:p>
        </w:tc>
        <w:tc>
          <w:tcPr>
            <w:tcW w:w="2471" w:type="dxa"/>
          </w:tcPr>
          <w:p w14:paraId="18E329BB" w14:textId="7E55E701" w:rsidR="006140DF" w:rsidRDefault="006140DF" w:rsidP="006140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Learners assisted to a qualification</w:t>
            </w:r>
          </w:p>
        </w:tc>
      </w:tr>
      <w:tr w:rsidR="006140DF" w14:paraId="49151ED4" w14:textId="77777777" w:rsidTr="006140DF">
        <w:tc>
          <w:tcPr>
            <w:tcW w:w="3539" w:type="dxa"/>
          </w:tcPr>
          <w:p w14:paraId="1C9CDF4A" w14:textId="3B473FFA" w:rsidR="006140DF" w:rsidRPr="00A279CC" w:rsidRDefault="006140DF" w:rsidP="006140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279CC">
              <w:rPr>
                <w:rFonts w:ascii="Arial" w:hAnsi="Arial" w:cs="Arial"/>
                <w:sz w:val="20"/>
                <w:szCs w:val="20"/>
              </w:rPr>
              <w:t xml:space="preserve">chieved </w:t>
            </w:r>
            <w:r>
              <w:rPr>
                <w:rFonts w:ascii="Arial" w:hAnsi="Arial" w:cs="Arial"/>
                <w:sz w:val="20"/>
                <w:szCs w:val="20"/>
              </w:rPr>
              <w:t>by March 2020</w:t>
            </w:r>
          </w:p>
        </w:tc>
        <w:tc>
          <w:tcPr>
            <w:tcW w:w="2471" w:type="dxa"/>
          </w:tcPr>
          <w:p w14:paraId="492ECF9B" w14:textId="5CAE5E0B" w:rsidR="006140DF" w:rsidRDefault="006140DF" w:rsidP="006140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1,367</w:t>
            </w:r>
          </w:p>
        </w:tc>
        <w:tc>
          <w:tcPr>
            <w:tcW w:w="2471" w:type="dxa"/>
          </w:tcPr>
          <w:p w14:paraId="23DF5037" w14:textId="074D7C64" w:rsidR="006140DF" w:rsidRDefault="006140DF" w:rsidP="006140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2,031</w:t>
            </w:r>
          </w:p>
        </w:tc>
      </w:tr>
      <w:tr w:rsidR="006140DF" w14:paraId="31134EF3" w14:textId="5DC4B02A" w:rsidTr="006140DF">
        <w:tc>
          <w:tcPr>
            <w:tcW w:w="3539" w:type="dxa"/>
          </w:tcPr>
          <w:p w14:paraId="5E484C37" w14:textId="1AA0E1FB" w:rsidR="006140DF" w:rsidRDefault="006140DF" w:rsidP="006140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Forecast by March 2020</w:t>
            </w:r>
          </w:p>
        </w:tc>
        <w:tc>
          <w:tcPr>
            <w:tcW w:w="2471" w:type="dxa"/>
          </w:tcPr>
          <w:p w14:paraId="16A0C787" w14:textId="0AC7BFC8" w:rsidR="006140DF" w:rsidRDefault="006140DF" w:rsidP="006140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471" w:type="dxa"/>
          </w:tcPr>
          <w:p w14:paraId="5DA7352A" w14:textId="21C2AB17" w:rsidR="006140DF" w:rsidRDefault="006140DF" w:rsidP="006140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1,402</w:t>
            </w:r>
          </w:p>
        </w:tc>
      </w:tr>
      <w:tr w:rsidR="006140DF" w14:paraId="245DDD31" w14:textId="72AF7A66" w:rsidTr="006140DF">
        <w:trPr>
          <w:trHeight w:val="297"/>
        </w:trPr>
        <w:tc>
          <w:tcPr>
            <w:tcW w:w="3539" w:type="dxa"/>
          </w:tcPr>
          <w:p w14:paraId="4CC89000" w14:textId="053BB5B8" w:rsidR="006140DF" w:rsidRDefault="006140DF" w:rsidP="006140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Forecast by March 2021 (total to date + SEF Round 2)</w:t>
            </w:r>
          </w:p>
        </w:tc>
        <w:tc>
          <w:tcPr>
            <w:tcW w:w="2471" w:type="dxa"/>
          </w:tcPr>
          <w:p w14:paraId="45493407" w14:textId="2AB9122C" w:rsidR="006140DF" w:rsidRDefault="006140DF" w:rsidP="006140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1,652</w:t>
            </w:r>
          </w:p>
        </w:tc>
        <w:tc>
          <w:tcPr>
            <w:tcW w:w="2471" w:type="dxa"/>
          </w:tcPr>
          <w:p w14:paraId="50F79BB5" w14:textId="312ED271" w:rsidR="006140DF" w:rsidRDefault="006140DF" w:rsidP="006140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2,361</w:t>
            </w:r>
          </w:p>
        </w:tc>
      </w:tr>
    </w:tbl>
    <w:p w14:paraId="03D08804" w14:textId="77777777" w:rsidR="00AE2C31" w:rsidRDefault="00AE2C31" w:rsidP="00AE2C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6D9D8E" w14:textId="7A2D490F" w:rsidR="002174AB" w:rsidRPr="00AE2C31" w:rsidRDefault="00AE2C31" w:rsidP="00C30021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 w:rsidRPr="00AE2C31">
        <w:rPr>
          <w:rFonts w:ascii="Arial" w:hAnsi="Arial" w:cs="Arial"/>
          <w:sz w:val="20"/>
          <w:szCs w:val="20"/>
        </w:rPr>
        <w:t>Skills Equipment Fund Round 1exceeded expectations, delivering 171% of apprenticeship targets and 365% of the target for learners assisted to a qualification.</w:t>
      </w:r>
    </w:p>
    <w:p w14:paraId="5C8BB9B7" w14:textId="77777777" w:rsidR="00917269" w:rsidRDefault="00917269" w:rsidP="00B46940">
      <w:pPr>
        <w:rPr>
          <w:rFonts w:ascii="Arial" w:hAnsi="Arial" w:cs="Arial"/>
          <w:b/>
          <w:bCs/>
          <w:sz w:val="20"/>
          <w:szCs w:val="20"/>
        </w:rPr>
      </w:pPr>
    </w:p>
    <w:p w14:paraId="1E903472" w14:textId="680680E5" w:rsidR="00E30D49" w:rsidRDefault="00E30D49" w:rsidP="00B4694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Risks to delivery</w:t>
      </w:r>
    </w:p>
    <w:p w14:paraId="25B19F72" w14:textId="367F2268" w:rsidR="00E30D49" w:rsidRPr="006679A9" w:rsidRDefault="00BF7DB3" w:rsidP="00E30D49">
      <w:pPr>
        <w:pStyle w:val="ListParagraph"/>
        <w:numPr>
          <w:ilvl w:val="1"/>
          <w:numId w:val="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Impact of delays caused by </w:t>
      </w:r>
      <w:proofErr w:type="spellStart"/>
      <w:r>
        <w:rPr>
          <w:rFonts w:ascii="Arial" w:hAnsi="Arial" w:cs="Arial"/>
          <w:sz w:val="20"/>
          <w:szCs w:val="20"/>
        </w:rPr>
        <w:t>Covid</w:t>
      </w:r>
      <w:proofErr w:type="spellEnd"/>
      <w:r>
        <w:rPr>
          <w:rFonts w:ascii="Arial" w:hAnsi="Arial" w:cs="Arial"/>
          <w:sz w:val="20"/>
          <w:szCs w:val="20"/>
        </w:rPr>
        <w:t xml:space="preserve"> working restrictions and enforced hiatus. </w:t>
      </w:r>
      <w:r w:rsidR="006679A9">
        <w:rPr>
          <w:rFonts w:ascii="Arial" w:hAnsi="Arial" w:cs="Arial"/>
          <w:sz w:val="20"/>
          <w:szCs w:val="20"/>
        </w:rPr>
        <w:t>Some</w:t>
      </w:r>
      <w:r w:rsidR="00E30D49" w:rsidRPr="00E30D49">
        <w:rPr>
          <w:rFonts w:ascii="Arial" w:hAnsi="Arial" w:cs="Arial"/>
          <w:sz w:val="20"/>
          <w:szCs w:val="20"/>
        </w:rPr>
        <w:t xml:space="preserve"> schemes </w:t>
      </w:r>
      <w:r w:rsidR="006679A9">
        <w:rPr>
          <w:rFonts w:ascii="Arial" w:hAnsi="Arial" w:cs="Arial"/>
          <w:sz w:val="20"/>
          <w:szCs w:val="20"/>
        </w:rPr>
        <w:t>are still</w:t>
      </w:r>
      <w:r w:rsidR="00E30D49" w:rsidRPr="00E30D49">
        <w:rPr>
          <w:rFonts w:ascii="Arial" w:hAnsi="Arial" w:cs="Arial"/>
          <w:sz w:val="20"/>
          <w:szCs w:val="20"/>
        </w:rPr>
        <w:t xml:space="preserve"> able to meet conditions under government Standard Operating Procedures and continue working</w:t>
      </w:r>
      <w:r w:rsidR="006679A9">
        <w:rPr>
          <w:rFonts w:ascii="Arial" w:hAnsi="Arial" w:cs="Arial"/>
          <w:sz w:val="20"/>
          <w:szCs w:val="20"/>
        </w:rPr>
        <w:t xml:space="preserve">, but </w:t>
      </w:r>
      <w:r>
        <w:rPr>
          <w:rFonts w:ascii="Arial" w:hAnsi="Arial" w:cs="Arial"/>
          <w:sz w:val="20"/>
          <w:szCs w:val="20"/>
        </w:rPr>
        <w:t xml:space="preserve">there is still </w:t>
      </w:r>
      <w:r w:rsidR="006679A9">
        <w:rPr>
          <w:rFonts w:ascii="Arial" w:hAnsi="Arial" w:cs="Arial"/>
          <w:sz w:val="20"/>
          <w:szCs w:val="20"/>
        </w:rPr>
        <w:t>some</w:t>
      </w:r>
      <w:r>
        <w:rPr>
          <w:rFonts w:ascii="Arial" w:hAnsi="Arial" w:cs="Arial"/>
          <w:sz w:val="20"/>
          <w:szCs w:val="20"/>
        </w:rPr>
        <w:t xml:space="preserve"> degree of</w:t>
      </w:r>
      <w:r w:rsidR="006679A9">
        <w:rPr>
          <w:rFonts w:ascii="Arial" w:hAnsi="Arial" w:cs="Arial"/>
          <w:sz w:val="20"/>
          <w:szCs w:val="20"/>
        </w:rPr>
        <w:t xml:space="preserve"> delay</w:t>
      </w:r>
      <w:r>
        <w:rPr>
          <w:rFonts w:ascii="Arial" w:hAnsi="Arial" w:cs="Arial"/>
          <w:sz w:val="20"/>
          <w:szCs w:val="20"/>
        </w:rPr>
        <w:t xml:space="preserve"> e.g. sourcing</w:t>
      </w:r>
      <w:r w:rsidR="00E30D49" w:rsidRPr="00E30D49">
        <w:rPr>
          <w:rFonts w:ascii="Arial" w:hAnsi="Arial" w:cs="Arial"/>
          <w:sz w:val="20"/>
          <w:szCs w:val="20"/>
        </w:rPr>
        <w:t xml:space="preserve"> alternative suppliers</w:t>
      </w:r>
      <w:r w:rsidR="00C07ACC">
        <w:rPr>
          <w:rFonts w:ascii="Arial" w:hAnsi="Arial" w:cs="Arial"/>
          <w:sz w:val="20"/>
          <w:szCs w:val="20"/>
        </w:rPr>
        <w:t>.</w:t>
      </w:r>
      <w:r w:rsidR="00C24B84">
        <w:rPr>
          <w:rFonts w:ascii="Arial" w:hAnsi="Arial" w:cs="Arial"/>
          <w:sz w:val="20"/>
          <w:szCs w:val="20"/>
        </w:rPr>
        <w:t xml:space="preserve"> Some schemes are paused.</w:t>
      </w:r>
    </w:p>
    <w:p w14:paraId="0B4AA34F" w14:textId="77777777" w:rsidR="007536C3" w:rsidRPr="006679A9" w:rsidRDefault="007536C3" w:rsidP="007536C3">
      <w:pPr>
        <w:pStyle w:val="ListParagraph"/>
        <w:numPr>
          <w:ilvl w:val="1"/>
          <w:numId w:val="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Sponsors may be unwilling to sign up to contracts which are based on pre-</w:t>
      </w:r>
      <w:proofErr w:type="spellStart"/>
      <w:r>
        <w:rPr>
          <w:rFonts w:ascii="Arial" w:hAnsi="Arial" w:cs="Arial"/>
          <w:sz w:val="20"/>
          <w:szCs w:val="20"/>
        </w:rPr>
        <w:t>Covid</w:t>
      </w:r>
      <w:proofErr w:type="spellEnd"/>
      <w:r>
        <w:rPr>
          <w:rFonts w:ascii="Arial" w:hAnsi="Arial" w:cs="Arial"/>
          <w:sz w:val="20"/>
          <w:szCs w:val="20"/>
        </w:rPr>
        <w:t xml:space="preserve"> output, milestones &amp; delivery by deadline and these schemes will not therefore proceed. </w:t>
      </w:r>
    </w:p>
    <w:p w14:paraId="4967D64E" w14:textId="77777777" w:rsidR="007536C3" w:rsidRDefault="007536C3" w:rsidP="007536C3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BF7DB3">
        <w:rPr>
          <w:rFonts w:ascii="Arial" w:hAnsi="Arial" w:cs="Arial"/>
          <w:sz w:val="20"/>
          <w:szCs w:val="20"/>
        </w:rPr>
        <w:t>Skills – SEF Round 1 exceeded targets, but Round 2 projects are all college-based so are now in standstill; the impact on outputs is unknown</w:t>
      </w:r>
      <w:r>
        <w:rPr>
          <w:rFonts w:ascii="Arial" w:hAnsi="Arial" w:cs="Arial"/>
          <w:sz w:val="20"/>
          <w:szCs w:val="20"/>
        </w:rPr>
        <w:t>.</w:t>
      </w:r>
    </w:p>
    <w:p w14:paraId="2F95488D" w14:textId="77777777" w:rsidR="007536C3" w:rsidRDefault="007536C3" w:rsidP="007536C3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BF7DB3">
        <w:rPr>
          <w:rFonts w:ascii="Arial" w:hAnsi="Arial" w:cs="Arial"/>
          <w:sz w:val="20"/>
          <w:szCs w:val="20"/>
        </w:rPr>
        <w:lastRenderedPageBreak/>
        <w:t xml:space="preserve">LEPs have been lobbying for relaxation of March 2021 </w:t>
      </w:r>
      <w:r>
        <w:rPr>
          <w:rFonts w:ascii="Arial" w:hAnsi="Arial" w:cs="Arial"/>
          <w:sz w:val="20"/>
          <w:szCs w:val="20"/>
        </w:rPr>
        <w:t xml:space="preserve">LGF </w:t>
      </w:r>
      <w:r w:rsidRPr="00BF7DB3">
        <w:rPr>
          <w:rFonts w:ascii="Arial" w:hAnsi="Arial" w:cs="Arial"/>
          <w:sz w:val="20"/>
          <w:szCs w:val="20"/>
        </w:rPr>
        <w:t xml:space="preserve">spend deadline, </w:t>
      </w:r>
      <w:r>
        <w:rPr>
          <w:rFonts w:ascii="Arial" w:hAnsi="Arial" w:cs="Arial"/>
          <w:sz w:val="20"/>
          <w:szCs w:val="20"/>
        </w:rPr>
        <w:t xml:space="preserve">to </w:t>
      </w:r>
      <w:proofErr w:type="gramStart"/>
      <w:r>
        <w:rPr>
          <w:rFonts w:ascii="Arial" w:hAnsi="Arial" w:cs="Arial"/>
          <w:sz w:val="20"/>
          <w:szCs w:val="20"/>
        </w:rPr>
        <w:t>take into account</w:t>
      </w:r>
      <w:proofErr w:type="gramEnd"/>
      <w:r>
        <w:rPr>
          <w:rFonts w:ascii="Arial" w:hAnsi="Arial" w:cs="Arial"/>
          <w:sz w:val="20"/>
          <w:szCs w:val="20"/>
        </w:rPr>
        <w:t xml:space="preserve"> the impact of </w:t>
      </w:r>
      <w:proofErr w:type="spellStart"/>
      <w:r>
        <w:rPr>
          <w:rFonts w:ascii="Arial" w:hAnsi="Arial" w:cs="Arial"/>
          <w:sz w:val="20"/>
          <w:szCs w:val="20"/>
        </w:rPr>
        <w:t>Covid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BF7DB3">
        <w:rPr>
          <w:rFonts w:ascii="Arial" w:hAnsi="Arial" w:cs="Arial"/>
          <w:sz w:val="20"/>
          <w:szCs w:val="20"/>
        </w:rPr>
        <w:t xml:space="preserve">but </w:t>
      </w:r>
      <w:r>
        <w:rPr>
          <w:rFonts w:ascii="Arial" w:hAnsi="Arial" w:cs="Arial"/>
          <w:sz w:val="20"/>
          <w:szCs w:val="20"/>
        </w:rPr>
        <w:t>informal feedback indicates that deadlines will not move</w:t>
      </w:r>
      <w:r w:rsidRPr="00BF7DB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D0D1760" w14:textId="77777777" w:rsidR="007536C3" w:rsidRDefault="007536C3" w:rsidP="007536C3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1D035D">
        <w:rPr>
          <w:rFonts w:ascii="Arial" w:hAnsi="Arial" w:cs="Arial"/>
          <w:sz w:val="20"/>
          <w:szCs w:val="20"/>
        </w:rPr>
        <w:t>Slipping timescales and spend deadlines have become more significant as it has become clear that government is not prepared to be flexible and grant extensions.</w:t>
      </w:r>
      <w:r w:rsidRPr="000C5B0C">
        <w:rPr>
          <w:rFonts w:ascii="Arial" w:hAnsi="Arial" w:cs="Arial"/>
          <w:sz w:val="20"/>
          <w:szCs w:val="20"/>
        </w:rPr>
        <w:t xml:space="preserve"> </w:t>
      </w:r>
    </w:p>
    <w:p w14:paraId="4A4682A9" w14:textId="77777777" w:rsidR="007536C3" w:rsidRDefault="007536C3" w:rsidP="007536C3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7D75E4">
        <w:rPr>
          <w:rFonts w:ascii="Arial" w:hAnsi="Arial" w:cs="Arial"/>
          <w:sz w:val="20"/>
          <w:szCs w:val="20"/>
        </w:rPr>
        <w:t xml:space="preserve">SPMG meeting </w:t>
      </w:r>
      <w:r w:rsidRPr="00C24B84">
        <w:rPr>
          <w:rFonts w:ascii="Arial" w:hAnsi="Arial" w:cs="Arial"/>
          <w:sz w:val="20"/>
          <w:szCs w:val="20"/>
        </w:rPr>
        <w:t>(early June – TBA)</w:t>
      </w:r>
      <w:r w:rsidRPr="007D75E4">
        <w:rPr>
          <w:rFonts w:ascii="Arial" w:hAnsi="Arial" w:cs="Arial"/>
          <w:sz w:val="20"/>
          <w:szCs w:val="20"/>
        </w:rPr>
        <w:t xml:space="preserve"> will scrutinise all </w:t>
      </w:r>
      <w:r>
        <w:rPr>
          <w:rFonts w:ascii="Arial" w:hAnsi="Arial" w:cs="Arial"/>
          <w:sz w:val="20"/>
          <w:szCs w:val="20"/>
        </w:rPr>
        <w:t xml:space="preserve">updates outputs and spend </w:t>
      </w:r>
      <w:r w:rsidRPr="007D75E4">
        <w:rPr>
          <w:rFonts w:ascii="Arial" w:hAnsi="Arial" w:cs="Arial"/>
          <w:sz w:val="20"/>
          <w:szCs w:val="20"/>
        </w:rPr>
        <w:t>forecasting</w:t>
      </w:r>
      <w:r>
        <w:rPr>
          <w:rFonts w:ascii="Arial" w:hAnsi="Arial" w:cs="Arial"/>
          <w:sz w:val="20"/>
          <w:szCs w:val="20"/>
        </w:rPr>
        <w:t xml:space="preserve"> and report to Board.</w:t>
      </w:r>
    </w:p>
    <w:p w14:paraId="177DB780" w14:textId="77777777" w:rsidR="00BF7DB3" w:rsidRPr="00186B69" w:rsidRDefault="00BF7DB3" w:rsidP="00BF7DB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86B69">
        <w:rPr>
          <w:rFonts w:ascii="Arial" w:hAnsi="Arial" w:cs="Arial"/>
          <w:b/>
          <w:bCs/>
          <w:sz w:val="20"/>
          <w:szCs w:val="20"/>
        </w:rPr>
        <w:t>City Deal</w:t>
      </w:r>
    </w:p>
    <w:p w14:paraId="4CF5788D" w14:textId="4A366622" w:rsidR="00BF7DB3" w:rsidRDefault="00BF7DB3" w:rsidP="00186B69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186B69">
        <w:rPr>
          <w:rFonts w:ascii="Arial" w:hAnsi="Arial" w:cs="Arial"/>
          <w:sz w:val="20"/>
          <w:szCs w:val="20"/>
        </w:rPr>
        <w:t>Both City Deal schemes are progressing well</w:t>
      </w:r>
      <w:r w:rsidR="00186B69">
        <w:rPr>
          <w:rFonts w:ascii="Arial" w:hAnsi="Arial" w:cs="Arial"/>
          <w:sz w:val="20"/>
          <w:szCs w:val="20"/>
        </w:rPr>
        <w:t xml:space="preserve"> </w:t>
      </w:r>
      <w:r w:rsidRPr="00186B69">
        <w:rPr>
          <w:rFonts w:ascii="Arial" w:hAnsi="Arial" w:cs="Arial"/>
          <w:sz w:val="20"/>
          <w:szCs w:val="20"/>
        </w:rPr>
        <w:t>but are impacted by Covid-19</w:t>
      </w:r>
      <w:r w:rsidRPr="00186B69">
        <w:rPr>
          <w:rFonts w:ascii="Arial" w:hAnsi="Arial" w:cs="Arial"/>
          <w:b/>
          <w:bCs/>
          <w:sz w:val="20"/>
          <w:szCs w:val="20"/>
        </w:rPr>
        <w:t>.</w:t>
      </w:r>
    </w:p>
    <w:p w14:paraId="12E9AD5B" w14:textId="23F90EF4" w:rsidR="00186B69" w:rsidRPr="00186B69" w:rsidRDefault="00186B69" w:rsidP="00186B69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en-GB"/>
        </w:rPr>
      </w:pPr>
      <w:proofErr w:type="spellStart"/>
      <w:r w:rsidRPr="00186B69">
        <w:rPr>
          <w:rFonts w:ascii="Arial" w:hAnsi="Arial" w:cs="Arial"/>
          <w:sz w:val="20"/>
          <w:szCs w:val="20"/>
        </w:rPr>
        <w:t>Keele</w:t>
      </w:r>
      <w:proofErr w:type="spellEnd"/>
      <w:r w:rsidRPr="00186B69">
        <w:rPr>
          <w:rFonts w:ascii="Arial" w:hAnsi="Arial" w:cs="Arial"/>
          <w:sz w:val="20"/>
          <w:szCs w:val="20"/>
        </w:rPr>
        <w:t xml:space="preserve"> SEND is working closely with delivery partners </w:t>
      </w:r>
      <w:r w:rsidRPr="00186B69">
        <w:rPr>
          <w:rFonts w:ascii="Arial" w:hAnsi="Arial" w:cs="Arial"/>
          <w:sz w:val="20"/>
          <w:szCs w:val="20"/>
          <w:lang w:val="en-US" w:eastAsia="en-GB"/>
        </w:rPr>
        <w:t xml:space="preserve">to understand options for continuing </w:t>
      </w:r>
      <w:proofErr w:type="spellStart"/>
      <w:r w:rsidRPr="00186B69">
        <w:rPr>
          <w:rFonts w:ascii="Arial" w:hAnsi="Arial" w:cs="Arial"/>
          <w:sz w:val="20"/>
          <w:szCs w:val="20"/>
          <w:lang w:val="en-US" w:eastAsia="en-GB"/>
        </w:rPr>
        <w:t>Programme</w:t>
      </w:r>
      <w:proofErr w:type="spellEnd"/>
      <w:r w:rsidRPr="00186B69">
        <w:rPr>
          <w:rFonts w:ascii="Arial" w:hAnsi="Arial" w:cs="Arial"/>
          <w:sz w:val="20"/>
          <w:szCs w:val="20"/>
          <w:lang w:val="en-US" w:eastAsia="en-GB"/>
        </w:rPr>
        <w:t xml:space="preserve"> delivery and what this will entail in terms of delivery timescales, financial implications and technologies specifications.  Recruitment of beneficiaries will remain a challenge, further complicated by staff furlough</w:t>
      </w:r>
      <w:r w:rsidR="00C24B84">
        <w:rPr>
          <w:rFonts w:ascii="Arial" w:hAnsi="Arial" w:cs="Arial"/>
          <w:sz w:val="20"/>
          <w:szCs w:val="20"/>
          <w:lang w:val="en-US" w:eastAsia="en-GB"/>
        </w:rPr>
        <w:t>.</w:t>
      </w:r>
    </w:p>
    <w:p w14:paraId="14F3C4A3" w14:textId="774155A1" w:rsidR="002E7ECD" w:rsidRDefault="00186B69" w:rsidP="00C07ACC">
      <w:pPr>
        <w:pStyle w:val="ListParagraph"/>
        <w:numPr>
          <w:ilvl w:val="1"/>
          <w:numId w:val="8"/>
        </w:numPr>
        <w:rPr>
          <w:noProof/>
        </w:rPr>
      </w:pPr>
      <w:r w:rsidRPr="00C07ACC">
        <w:rPr>
          <w:rFonts w:ascii="Arial" w:hAnsi="Arial" w:cs="Arial"/>
          <w:sz w:val="20"/>
          <w:szCs w:val="20"/>
        </w:rPr>
        <w:t>District Heat Network - commercial activities for customer connections have paused for the time being due to Covid-19</w:t>
      </w:r>
      <w:r w:rsidR="00C07ACC" w:rsidRPr="00C07ACC">
        <w:rPr>
          <w:rFonts w:ascii="Arial" w:hAnsi="Arial" w:cs="Arial"/>
          <w:sz w:val="20"/>
          <w:szCs w:val="20"/>
        </w:rPr>
        <w:t xml:space="preserve">. </w:t>
      </w:r>
    </w:p>
    <w:sectPr w:rsidR="002E7EC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E2A60" w14:textId="77777777" w:rsidR="00B90414" w:rsidRDefault="00B90414" w:rsidP="00B90414">
      <w:pPr>
        <w:spacing w:after="0" w:line="240" w:lineRule="auto"/>
      </w:pPr>
      <w:r>
        <w:separator/>
      </w:r>
    </w:p>
  </w:endnote>
  <w:endnote w:type="continuationSeparator" w:id="0">
    <w:p w14:paraId="21AB9C33" w14:textId="77777777" w:rsidR="00B90414" w:rsidRDefault="00B90414" w:rsidP="00B9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93424" w14:textId="77777777" w:rsidR="00B90414" w:rsidRDefault="00B90414" w:rsidP="00B90414">
      <w:pPr>
        <w:spacing w:after="0" w:line="240" w:lineRule="auto"/>
      </w:pPr>
      <w:r>
        <w:separator/>
      </w:r>
    </w:p>
  </w:footnote>
  <w:footnote w:type="continuationSeparator" w:id="0">
    <w:p w14:paraId="6566F9B6" w14:textId="77777777" w:rsidR="00B90414" w:rsidRDefault="00B90414" w:rsidP="00B9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B5CC" w14:textId="4F4896CB" w:rsidR="00B90414" w:rsidRPr="00B90414" w:rsidRDefault="00B90414" w:rsidP="00B90414">
    <w:pPr>
      <w:pStyle w:val="Header"/>
      <w:jc w:val="right"/>
      <w:rPr>
        <w:b/>
        <w:bCs/>
      </w:rPr>
    </w:pPr>
    <w:r w:rsidRPr="00B90414">
      <w:rPr>
        <w:b/>
        <w:bCs/>
      </w:rPr>
      <w:t>Item 9ii</w:t>
    </w:r>
  </w:p>
  <w:p w14:paraId="40BF64CD" w14:textId="77777777" w:rsidR="00B90414" w:rsidRDefault="00B904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6FAD558"/>
    <w:multiLevelType w:val="hybridMultilevel"/>
    <w:tmpl w:val="7B8A07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97111E"/>
    <w:multiLevelType w:val="hybridMultilevel"/>
    <w:tmpl w:val="D722C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E4062"/>
    <w:multiLevelType w:val="hybridMultilevel"/>
    <w:tmpl w:val="78560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D2C98"/>
    <w:multiLevelType w:val="hybridMultilevel"/>
    <w:tmpl w:val="13A2A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408F5"/>
    <w:multiLevelType w:val="hybridMultilevel"/>
    <w:tmpl w:val="9C280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6F44B"/>
    <w:multiLevelType w:val="hybridMultilevel"/>
    <w:tmpl w:val="42E2A0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0266A30"/>
    <w:multiLevelType w:val="hybridMultilevel"/>
    <w:tmpl w:val="048E3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60B24"/>
    <w:multiLevelType w:val="hybridMultilevel"/>
    <w:tmpl w:val="5FE42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D510A"/>
    <w:multiLevelType w:val="hybridMultilevel"/>
    <w:tmpl w:val="8ABE2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0D"/>
    <w:rsid w:val="000B1FA6"/>
    <w:rsid w:val="000C5B0C"/>
    <w:rsid w:val="00186B69"/>
    <w:rsid w:val="001D035D"/>
    <w:rsid w:val="002174AB"/>
    <w:rsid w:val="002B13EE"/>
    <w:rsid w:val="002C5F73"/>
    <w:rsid w:val="002E7ECD"/>
    <w:rsid w:val="0032114F"/>
    <w:rsid w:val="00322EE6"/>
    <w:rsid w:val="00326AE4"/>
    <w:rsid w:val="00366951"/>
    <w:rsid w:val="00391E7D"/>
    <w:rsid w:val="0042796F"/>
    <w:rsid w:val="004B5FE8"/>
    <w:rsid w:val="004D5A1F"/>
    <w:rsid w:val="00534218"/>
    <w:rsid w:val="00610CFC"/>
    <w:rsid w:val="006140DF"/>
    <w:rsid w:val="006679A9"/>
    <w:rsid w:val="00681AFC"/>
    <w:rsid w:val="00730DFA"/>
    <w:rsid w:val="007536C3"/>
    <w:rsid w:val="007D75E4"/>
    <w:rsid w:val="0081648E"/>
    <w:rsid w:val="00834D45"/>
    <w:rsid w:val="008560A5"/>
    <w:rsid w:val="0086403F"/>
    <w:rsid w:val="00917269"/>
    <w:rsid w:val="009A3DC0"/>
    <w:rsid w:val="009C6B02"/>
    <w:rsid w:val="00A279CC"/>
    <w:rsid w:val="00AC11A1"/>
    <w:rsid w:val="00AE2C31"/>
    <w:rsid w:val="00B46940"/>
    <w:rsid w:val="00B90414"/>
    <w:rsid w:val="00BD62A4"/>
    <w:rsid w:val="00BF7DB3"/>
    <w:rsid w:val="00C07ACC"/>
    <w:rsid w:val="00C219AF"/>
    <w:rsid w:val="00C24B84"/>
    <w:rsid w:val="00C30688"/>
    <w:rsid w:val="00D029B9"/>
    <w:rsid w:val="00DD4699"/>
    <w:rsid w:val="00E01576"/>
    <w:rsid w:val="00E30D49"/>
    <w:rsid w:val="00E424DB"/>
    <w:rsid w:val="00EC089A"/>
    <w:rsid w:val="00EF600D"/>
    <w:rsid w:val="00F24AC4"/>
    <w:rsid w:val="00F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65928"/>
  <w15:chartTrackingRefBased/>
  <w15:docId w15:val="{2183E845-A34C-48B6-A38C-84B31918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0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089A"/>
    <w:pPr>
      <w:ind w:left="720"/>
      <w:contextualSpacing/>
    </w:pPr>
  </w:style>
  <w:style w:type="table" w:styleId="TableGrid">
    <w:name w:val="Table Grid"/>
    <w:basedOn w:val="TableNormal"/>
    <w:uiPriority w:val="39"/>
    <w:rsid w:val="00AC1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0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6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6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0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414"/>
  </w:style>
  <w:style w:type="paragraph" w:styleId="Footer">
    <w:name w:val="footer"/>
    <w:basedOn w:val="Normal"/>
    <w:link w:val="FooterChar"/>
    <w:uiPriority w:val="99"/>
    <w:unhideWhenUsed/>
    <w:rsid w:val="00B90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Palphreyman, Sharon (Corporate)</dc:creator>
  <cp:keywords/>
  <dc:description/>
  <cp:lastModifiedBy>Casey, Jacqui (E,I&amp;S)</cp:lastModifiedBy>
  <cp:revision>2</cp:revision>
  <dcterms:created xsi:type="dcterms:W3CDTF">2020-05-07T14:51:00Z</dcterms:created>
  <dcterms:modified xsi:type="dcterms:W3CDTF">2020-05-07T14:51:00Z</dcterms:modified>
</cp:coreProperties>
</file>