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84" w:rsidRPr="00416B5B" w:rsidRDefault="003A3684" w:rsidP="00E03CC0">
      <w:pPr>
        <w:rPr>
          <w:color w:val="FF0000"/>
        </w:rPr>
      </w:pPr>
    </w:p>
    <w:p w:rsidR="003A3684" w:rsidRPr="006712DC" w:rsidRDefault="003A3684" w:rsidP="00E03CC0">
      <w:pPr>
        <w:rPr>
          <w:color w:val="FF0000"/>
        </w:rPr>
      </w:pPr>
    </w:p>
    <w:p w:rsidR="0001664F" w:rsidRPr="0001664F" w:rsidRDefault="0001664F" w:rsidP="0001664F">
      <w:pPr>
        <w:spacing w:after="200" w:line="276" w:lineRule="auto"/>
        <w:jc w:val="center"/>
        <w:rPr>
          <w:rFonts w:ascii="Verdana" w:eastAsiaTheme="minorHAnsi" w:hAnsi="Verdana" w:cstheme="minorBidi"/>
          <w:b/>
          <w:i/>
          <w:sz w:val="22"/>
          <w:szCs w:val="22"/>
        </w:rPr>
      </w:pPr>
      <w:r w:rsidRPr="0001664F">
        <w:rPr>
          <w:rFonts w:ascii="Verdana" w:eastAsiaTheme="minorHAnsi" w:hAnsi="Verdana" w:cstheme="minorBidi"/>
          <w:b/>
          <w:i/>
          <w:sz w:val="22"/>
          <w:szCs w:val="22"/>
        </w:rPr>
        <w:t>STOKE-ON-TRENT AND STAFFORDSHIRE</w:t>
      </w:r>
    </w:p>
    <w:p w:rsidR="00B9094D" w:rsidRDefault="0001664F" w:rsidP="0001664F">
      <w:pPr>
        <w:spacing w:after="200" w:line="276" w:lineRule="auto"/>
        <w:jc w:val="center"/>
        <w:rPr>
          <w:rFonts w:ascii="Verdana" w:eastAsiaTheme="minorHAnsi" w:hAnsi="Verdana" w:cstheme="minorBidi"/>
          <w:b/>
          <w:i/>
          <w:sz w:val="22"/>
          <w:szCs w:val="22"/>
        </w:rPr>
      </w:pPr>
      <w:r w:rsidRPr="0001664F">
        <w:rPr>
          <w:rFonts w:ascii="Verdana" w:eastAsiaTheme="minorHAnsi" w:hAnsi="Verdana" w:cstheme="minorBidi"/>
          <w:b/>
          <w:i/>
          <w:sz w:val="22"/>
          <w:szCs w:val="22"/>
        </w:rPr>
        <w:t xml:space="preserve">LOCAL ENTERPRISE PARTNERSHIP </w:t>
      </w:r>
      <w:r>
        <w:rPr>
          <w:rFonts w:ascii="Verdana" w:eastAsiaTheme="minorHAnsi" w:hAnsi="Verdana" w:cstheme="minorBidi"/>
          <w:b/>
          <w:i/>
          <w:sz w:val="22"/>
          <w:szCs w:val="22"/>
        </w:rPr>
        <w:t xml:space="preserve">LTD </w:t>
      </w:r>
    </w:p>
    <w:p w:rsidR="0001664F" w:rsidRPr="0001664F" w:rsidRDefault="0001664F" w:rsidP="0001664F">
      <w:pPr>
        <w:spacing w:after="200" w:line="276" w:lineRule="auto"/>
        <w:jc w:val="center"/>
        <w:rPr>
          <w:rFonts w:ascii="Verdana" w:eastAsiaTheme="minorHAnsi" w:hAnsi="Verdana" w:cstheme="minorBidi"/>
          <w:b/>
          <w:i/>
          <w:sz w:val="22"/>
          <w:szCs w:val="22"/>
        </w:rPr>
      </w:pPr>
      <w:r>
        <w:rPr>
          <w:rFonts w:ascii="Verdana" w:eastAsiaTheme="minorHAnsi" w:hAnsi="Verdana" w:cstheme="minorBidi"/>
          <w:b/>
          <w:i/>
          <w:sz w:val="22"/>
          <w:szCs w:val="22"/>
        </w:rPr>
        <w:t>BOARD</w:t>
      </w:r>
      <w:r w:rsidR="00B9094D">
        <w:rPr>
          <w:rFonts w:ascii="Verdana" w:eastAsiaTheme="minorHAnsi" w:hAnsi="Verdana" w:cstheme="minorBidi"/>
          <w:b/>
          <w:i/>
          <w:sz w:val="22"/>
          <w:szCs w:val="22"/>
        </w:rPr>
        <w:t xml:space="preserve"> MEETING 20 June 2019</w:t>
      </w:r>
    </w:p>
    <w:p w:rsidR="0079135F" w:rsidRPr="0001664F" w:rsidRDefault="0079135F" w:rsidP="0079135F">
      <w:pPr>
        <w:spacing w:after="200" w:line="276" w:lineRule="auto"/>
        <w:jc w:val="center"/>
        <w:rPr>
          <w:rFonts w:ascii="Verdana" w:eastAsiaTheme="minorHAnsi" w:hAnsi="Verdana" w:cstheme="minorBidi"/>
          <w:b/>
          <w:i/>
          <w:sz w:val="22"/>
          <w:szCs w:val="22"/>
        </w:rPr>
      </w:pPr>
      <w:r>
        <w:rPr>
          <w:rFonts w:ascii="Verdana" w:eastAsiaTheme="minorHAnsi" w:hAnsi="Verdana" w:cstheme="minorBidi"/>
          <w:b/>
          <w:i/>
          <w:sz w:val="22"/>
          <w:szCs w:val="22"/>
        </w:rPr>
        <w:t>CONFIDENTIAL</w:t>
      </w:r>
    </w:p>
    <w:p w:rsidR="0001664F" w:rsidRPr="0001664F" w:rsidRDefault="0001664F" w:rsidP="0001664F">
      <w:pPr>
        <w:spacing w:after="200" w:line="276" w:lineRule="auto"/>
        <w:jc w:val="center"/>
        <w:rPr>
          <w:rFonts w:ascii="Verdana" w:eastAsiaTheme="minorHAnsi" w:hAnsi="Verdana" w:cstheme="minorBidi"/>
          <w:b/>
          <w:i/>
          <w:sz w:val="22"/>
          <w:szCs w:val="22"/>
        </w:rPr>
      </w:pPr>
    </w:p>
    <w:p w:rsidR="0001664F" w:rsidRDefault="0001664F" w:rsidP="0001664F">
      <w:pPr>
        <w:spacing w:after="200" w:line="276" w:lineRule="auto"/>
        <w:jc w:val="center"/>
        <w:rPr>
          <w:rFonts w:ascii="Verdana" w:eastAsiaTheme="minorHAnsi" w:hAnsi="Verdana" w:cstheme="minorBidi"/>
          <w:b/>
          <w:i/>
          <w:sz w:val="22"/>
          <w:szCs w:val="22"/>
        </w:rPr>
      </w:pPr>
      <w:r w:rsidRPr="0001664F">
        <w:rPr>
          <w:rFonts w:ascii="Verdana" w:eastAsiaTheme="minorHAnsi" w:hAnsi="Verdana" w:cstheme="minorBidi"/>
          <w:b/>
          <w:i/>
          <w:sz w:val="22"/>
          <w:szCs w:val="22"/>
        </w:rPr>
        <w:t>Report of the Chair of the Audit and Finance Committee</w:t>
      </w:r>
    </w:p>
    <w:p w:rsidR="0079135F" w:rsidRPr="0001664F" w:rsidRDefault="0079135F" w:rsidP="0001664F">
      <w:pPr>
        <w:spacing w:after="200" w:line="276" w:lineRule="auto"/>
        <w:jc w:val="center"/>
        <w:rPr>
          <w:rFonts w:ascii="Verdana" w:eastAsiaTheme="minorHAnsi" w:hAnsi="Verdana" w:cstheme="minorBidi"/>
          <w:b/>
          <w:i/>
          <w:sz w:val="22"/>
          <w:szCs w:val="22"/>
        </w:rPr>
      </w:pPr>
    </w:p>
    <w:p w:rsidR="0001664F" w:rsidRPr="0001664F" w:rsidRDefault="0001664F" w:rsidP="0001664F">
      <w:pPr>
        <w:spacing w:after="200" w:line="276" w:lineRule="auto"/>
        <w:jc w:val="center"/>
        <w:rPr>
          <w:rFonts w:ascii="Verdana" w:eastAsiaTheme="minorHAnsi" w:hAnsi="Verdana" w:cstheme="minorBidi"/>
          <w:b/>
          <w:i/>
          <w:sz w:val="22"/>
          <w:szCs w:val="22"/>
        </w:rPr>
      </w:pPr>
      <w:r w:rsidRPr="0001664F">
        <w:rPr>
          <w:rFonts w:ascii="Verdana" w:eastAsiaTheme="minorHAnsi" w:hAnsi="Verdana" w:cstheme="minorBidi"/>
          <w:b/>
          <w:i/>
          <w:sz w:val="22"/>
          <w:szCs w:val="22"/>
        </w:rPr>
        <w:t>Growing Places Fund</w:t>
      </w:r>
    </w:p>
    <w:p w:rsidR="0001664F" w:rsidRDefault="00B9094D" w:rsidP="0001664F">
      <w:pPr>
        <w:pStyle w:val="ListParagraph"/>
        <w:numPr>
          <w:ilvl w:val="0"/>
          <w:numId w:val="8"/>
        </w:numPr>
        <w:spacing w:after="200" w:line="276" w:lineRule="auto"/>
        <w:jc w:val="center"/>
        <w:rPr>
          <w:rFonts w:ascii="Verdana" w:eastAsiaTheme="minorHAnsi" w:hAnsi="Verdana" w:cstheme="minorBidi"/>
          <w:b/>
          <w:i/>
          <w:sz w:val="22"/>
          <w:szCs w:val="22"/>
        </w:rPr>
      </w:pPr>
      <w:r>
        <w:rPr>
          <w:rFonts w:ascii="Verdana" w:eastAsiaTheme="minorHAnsi" w:hAnsi="Verdana" w:cstheme="minorBidi"/>
          <w:b/>
          <w:i/>
          <w:sz w:val="22"/>
          <w:szCs w:val="22"/>
        </w:rPr>
        <w:t>Enforcement of security on loan – Keele University IC7</w:t>
      </w:r>
    </w:p>
    <w:p w:rsidR="0001664F" w:rsidRDefault="0001664F" w:rsidP="0001664F">
      <w:pPr>
        <w:pStyle w:val="ListParagraph"/>
        <w:numPr>
          <w:ilvl w:val="0"/>
          <w:numId w:val="8"/>
        </w:numPr>
        <w:spacing w:after="200" w:line="276" w:lineRule="auto"/>
        <w:jc w:val="center"/>
        <w:rPr>
          <w:rFonts w:ascii="Verdana" w:eastAsiaTheme="minorHAnsi" w:hAnsi="Verdana" w:cstheme="minorBidi"/>
          <w:b/>
          <w:i/>
          <w:sz w:val="22"/>
          <w:szCs w:val="22"/>
        </w:rPr>
      </w:pPr>
      <w:r w:rsidRPr="0001664F">
        <w:rPr>
          <w:rFonts w:ascii="Verdana" w:eastAsiaTheme="minorHAnsi" w:hAnsi="Verdana" w:cstheme="minorBidi"/>
          <w:b/>
          <w:i/>
          <w:sz w:val="22"/>
          <w:szCs w:val="22"/>
        </w:rPr>
        <w:t xml:space="preserve">Approval of </w:t>
      </w:r>
      <w:r w:rsidR="00B9094D">
        <w:rPr>
          <w:rFonts w:ascii="Verdana" w:eastAsiaTheme="minorHAnsi" w:hAnsi="Verdana" w:cstheme="minorBidi"/>
          <w:b/>
          <w:i/>
          <w:sz w:val="22"/>
          <w:szCs w:val="22"/>
        </w:rPr>
        <w:t>recommendation by GPF panel for a</w:t>
      </w:r>
      <w:r w:rsidRPr="0001664F">
        <w:rPr>
          <w:rFonts w:ascii="Verdana" w:eastAsiaTheme="minorHAnsi" w:hAnsi="Verdana" w:cstheme="minorBidi"/>
          <w:b/>
          <w:i/>
          <w:sz w:val="22"/>
          <w:szCs w:val="22"/>
        </w:rPr>
        <w:t>pplication</w:t>
      </w:r>
      <w:r w:rsidR="00B9094D">
        <w:rPr>
          <w:rFonts w:ascii="Verdana" w:eastAsiaTheme="minorHAnsi" w:hAnsi="Verdana" w:cstheme="minorBidi"/>
          <w:b/>
          <w:i/>
          <w:sz w:val="22"/>
          <w:szCs w:val="22"/>
        </w:rPr>
        <w:t xml:space="preserve"> to go forward to contracting - </w:t>
      </w:r>
      <w:r>
        <w:rPr>
          <w:rFonts w:ascii="Verdana" w:eastAsiaTheme="minorHAnsi" w:hAnsi="Verdana" w:cstheme="minorBidi"/>
          <w:b/>
          <w:i/>
          <w:sz w:val="22"/>
          <w:szCs w:val="22"/>
        </w:rPr>
        <w:t>Blythe Park, Cresswell Extension</w:t>
      </w:r>
    </w:p>
    <w:p w:rsidR="00B9094D" w:rsidRDefault="00B9094D" w:rsidP="0001664F">
      <w:pPr>
        <w:pStyle w:val="ListParagraph"/>
        <w:numPr>
          <w:ilvl w:val="0"/>
          <w:numId w:val="8"/>
        </w:numPr>
        <w:spacing w:after="200" w:line="276" w:lineRule="auto"/>
        <w:jc w:val="center"/>
        <w:rPr>
          <w:rFonts w:ascii="Verdana" w:eastAsiaTheme="minorHAnsi" w:hAnsi="Verdana" w:cstheme="minorBidi"/>
          <w:b/>
          <w:i/>
          <w:sz w:val="22"/>
          <w:szCs w:val="22"/>
        </w:rPr>
      </w:pPr>
      <w:r>
        <w:rPr>
          <w:rFonts w:ascii="Verdana" w:eastAsiaTheme="minorHAnsi" w:hAnsi="Verdana" w:cstheme="minorBidi"/>
          <w:b/>
          <w:i/>
          <w:sz w:val="22"/>
          <w:szCs w:val="22"/>
        </w:rPr>
        <w:t xml:space="preserve">Approval of recommendation by GPF panel for acceptance of risk around equity value – Canalside Farm </w:t>
      </w:r>
    </w:p>
    <w:p w:rsidR="003A3684" w:rsidRPr="002146B7" w:rsidRDefault="003A3684" w:rsidP="00E03CC0">
      <w:pPr>
        <w:jc w:val="center"/>
        <w:rPr>
          <w:rFonts w:eastAsia="Times New Roman"/>
          <w:lang w:eastAsia="en-GB"/>
        </w:rPr>
      </w:pPr>
    </w:p>
    <w:p w:rsidR="003A3684" w:rsidRPr="002146B7" w:rsidRDefault="003A3684" w:rsidP="00E03CC0">
      <w:pPr>
        <w:tabs>
          <w:tab w:val="center" w:pos="4635"/>
          <w:tab w:val="left" w:pos="6735"/>
        </w:tabs>
        <w:ind w:left="2127" w:hanging="2127"/>
        <w:rPr>
          <w:rFonts w:eastAsia="Times New Roman"/>
          <w:b/>
          <w:lang w:eastAsia="en-GB"/>
        </w:rPr>
      </w:pPr>
    </w:p>
    <w:p w:rsidR="003A3684" w:rsidRPr="002146B7" w:rsidRDefault="006712DC" w:rsidP="00E03CC0">
      <w:pPr>
        <w:numPr>
          <w:ilvl w:val="0"/>
          <w:numId w:val="5"/>
        </w:numPr>
        <w:rPr>
          <w:rFonts w:eastAsia="Times New Roman"/>
          <w:b/>
          <w:lang w:eastAsia="en-GB"/>
        </w:rPr>
      </w:pPr>
      <w:r w:rsidRPr="002146B7">
        <w:rPr>
          <w:rFonts w:eastAsia="Times New Roman"/>
          <w:b/>
          <w:lang w:eastAsia="en-GB"/>
        </w:rPr>
        <w:t>University of Keele – IC7</w:t>
      </w:r>
    </w:p>
    <w:p w:rsidR="003A3684" w:rsidRPr="002146B7" w:rsidRDefault="003A3684" w:rsidP="00E03CC0"/>
    <w:p w:rsidR="00443ADC" w:rsidRPr="002146B7" w:rsidRDefault="000B24D9" w:rsidP="000B24D9">
      <w:pPr>
        <w:ind w:left="720" w:hanging="720"/>
      </w:pPr>
      <w:r>
        <w:t>1.1</w:t>
      </w:r>
      <w:r>
        <w:tab/>
      </w:r>
      <w:r w:rsidR="00BE7D0D" w:rsidRPr="002146B7">
        <w:t>A</w:t>
      </w:r>
      <w:r w:rsidR="006712DC" w:rsidRPr="002146B7">
        <w:t xml:space="preserve"> Business Case was submitted to the SSLEP by University of Keele in response to </w:t>
      </w:r>
      <w:r w:rsidR="00443ADC" w:rsidRPr="002146B7">
        <w:t xml:space="preserve">part 1 of </w:t>
      </w:r>
      <w:r w:rsidR="006712DC" w:rsidRPr="002146B7">
        <w:t xml:space="preserve">an Open Call inviting organisations across the SSLEP area to submit applications which met the qualifying criteria for Growth Deal funding. </w:t>
      </w:r>
    </w:p>
    <w:p w:rsidR="00443ADC" w:rsidRPr="002146B7" w:rsidRDefault="00443ADC" w:rsidP="000B24D9">
      <w:pPr>
        <w:ind w:left="720" w:hanging="720"/>
        <w:rPr>
          <w:rFonts w:ascii="Verdana" w:hAnsi="Verdana"/>
          <w:i/>
          <w:sz w:val="20"/>
        </w:rPr>
      </w:pPr>
    </w:p>
    <w:p w:rsidR="00E03CC0" w:rsidRPr="002146B7" w:rsidRDefault="00E03CC0" w:rsidP="000B24D9">
      <w:pPr>
        <w:ind w:left="720"/>
        <w:rPr>
          <w:rFonts w:ascii="Verdana" w:hAnsi="Verdana"/>
          <w:i/>
          <w:sz w:val="20"/>
        </w:rPr>
      </w:pPr>
      <w:r w:rsidRPr="002146B7">
        <w:rPr>
          <w:rFonts w:ascii="Verdana" w:hAnsi="Verdana"/>
          <w:i/>
          <w:sz w:val="20"/>
        </w:rPr>
        <w:t>£2.9m was identified as being immediately available for “shovel ready” projects that are fully worked up and able to submit a robust business case;</w:t>
      </w:r>
    </w:p>
    <w:p w:rsidR="00443ADC" w:rsidRPr="002146B7" w:rsidRDefault="00443ADC" w:rsidP="000670AE"/>
    <w:p w:rsidR="002146B7" w:rsidRDefault="000B24D9" w:rsidP="000B24D9">
      <w:pPr>
        <w:ind w:left="720" w:hanging="720"/>
      </w:pPr>
      <w:r>
        <w:t>1.2</w:t>
      </w:r>
      <w:r>
        <w:tab/>
      </w:r>
      <w:r w:rsidR="00443ADC" w:rsidRPr="002146B7">
        <w:t xml:space="preserve">The schemes applying to the fund were examined and debated by Programme Assurance Group (PAG), and consequently of the 33 applications for grant assistance, 6 schemes were </w:t>
      </w:r>
      <w:proofErr w:type="gramStart"/>
      <w:r w:rsidR="00443ADC" w:rsidRPr="002146B7">
        <w:t>shortlisted</w:t>
      </w:r>
      <w:proofErr w:type="gramEnd"/>
      <w:r w:rsidR="00443ADC" w:rsidRPr="002146B7">
        <w:t xml:space="preserve"> and their promoters invited to provide brief presentations to January SPMG.  The 6 shortlisted schemed accounted for a total grant request of £7,340,000, against an available pot of £2.9m.  One of these applications was University of Keele, with a req</w:t>
      </w:r>
      <w:r w:rsidR="006712DC" w:rsidRPr="002146B7">
        <w:t>uest</w:t>
      </w:r>
      <w:r w:rsidR="00443ADC" w:rsidRPr="002146B7">
        <w:t xml:space="preserve"> for</w:t>
      </w:r>
      <w:r w:rsidR="00E03CC0" w:rsidRPr="002146B7">
        <w:t xml:space="preserve"> </w:t>
      </w:r>
      <w:r w:rsidR="006712DC" w:rsidRPr="002146B7">
        <w:t>£910,000 to contribute towards the design and development costs of Innovation Centre Seven</w:t>
      </w:r>
      <w:bookmarkStart w:id="0" w:name="_Hlk10451697"/>
      <w:r w:rsidR="006712DC" w:rsidRPr="002146B7">
        <w:t xml:space="preserve">.  </w:t>
      </w:r>
    </w:p>
    <w:p w:rsidR="002146B7" w:rsidRDefault="002146B7" w:rsidP="000B24D9">
      <w:pPr>
        <w:ind w:left="720" w:hanging="720"/>
      </w:pPr>
    </w:p>
    <w:p w:rsidR="000670AE" w:rsidRPr="002146B7" w:rsidRDefault="00B9094D" w:rsidP="000B24D9">
      <w:pPr>
        <w:ind w:left="720"/>
      </w:pPr>
      <w:r w:rsidRPr="002146B7">
        <w:t xml:space="preserve">As this was a competitive bidding process, </w:t>
      </w:r>
      <w:r w:rsidR="00443ADC" w:rsidRPr="002146B7">
        <w:t>University of Keele was denied Growth Deal grant</w:t>
      </w:r>
      <w:r w:rsidRPr="002146B7">
        <w:t xml:space="preserve"> in favour of other projects,</w:t>
      </w:r>
      <w:r w:rsidR="00443ADC" w:rsidRPr="002146B7">
        <w:t xml:space="preserve"> with </w:t>
      </w:r>
      <w:r w:rsidR="000670AE" w:rsidRPr="002146B7">
        <w:t>SPMG recommend</w:t>
      </w:r>
      <w:r w:rsidR="00443ADC" w:rsidRPr="002146B7">
        <w:t>ing</w:t>
      </w:r>
      <w:r w:rsidR="000670AE" w:rsidRPr="002146B7">
        <w:t xml:space="preserve"> to </w:t>
      </w:r>
      <w:r w:rsidR="002F65A8" w:rsidRPr="002146B7">
        <w:t>Executive</w:t>
      </w:r>
      <w:r w:rsidR="000670AE" w:rsidRPr="002146B7">
        <w:t xml:space="preserve"> Board that University of Keele should </w:t>
      </w:r>
      <w:r w:rsidR="00443ADC" w:rsidRPr="002146B7">
        <w:t xml:space="preserve">instead </w:t>
      </w:r>
      <w:r w:rsidR="000670AE" w:rsidRPr="002146B7">
        <w:t>be offered a loan</w:t>
      </w:r>
      <w:r w:rsidR="00443ADC" w:rsidRPr="002146B7">
        <w:t xml:space="preserve"> via Growing Places fund</w:t>
      </w:r>
      <w:r w:rsidR="000670AE" w:rsidRPr="002146B7">
        <w:t>.</w:t>
      </w:r>
    </w:p>
    <w:p w:rsidR="00443ADC" w:rsidRPr="002146B7" w:rsidRDefault="00443ADC" w:rsidP="000670AE"/>
    <w:p w:rsidR="006712DC" w:rsidRPr="006712DC" w:rsidRDefault="000B24D9" w:rsidP="000B24D9">
      <w:pPr>
        <w:ind w:left="720" w:hanging="720"/>
        <w:rPr>
          <w:color w:val="FF0000"/>
        </w:rPr>
      </w:pPr>
      <w:r>
        <w:lastRenderedPageBreak/>
        <w:t>1.3</w:t>
      </w:r>
      <w:r>
        <w:tab/>
      </w:r>
      <w:r w:rsidR="00B9094D" w:rsidRPr="002146B7">
        <w:t>A</w:t>
      </w:r>
      <w:r w:rsidR="006712DC" w:rsidRPr="002146B7">
        <w:t>t the SSLEP Executive Board meeting on 14</w:t>
      </w:r>
      <w:r w:rsidR="006712DC" w:rsidRPr="002146B7">
        <w:rPr>
          <w:vertAlign w:val="superscript"/>
        </w:rPr>
        <w:t>th</w:t>
      </w:r>
      <w:r w:rsidR="006712DC" w:rsidRPr="002146B7">
        <w:t xml:space="preserve"> February 2019</w:t>
      </w:r>
      <w:r w:rsidR="00B9094D" w:rsidRPr="002146B7">
        <w:t>, t</w:t>
      </w:r>
      <w:bookmarkEnd w:id="0"/>
      <w:r w:rsidR="00E03CC0" w:rsidRPr="002146B7">
        <w:t>he application from University of Keele</w:t>
      </w:r>
      <w:r w:rsidR="00B9094D" w:rsidRPr="002146B7">
        <w:t xml:space="preserve"> </w:t>
      </w:r>
      <w:r w:rsidR="000670AE" w:rsidRPr="002146B7">
        <w:t xml:space="preserve">was </w:t>
      </w:r>
      <w:r w:rsidR="00B9094D" w:rsidRPr="002146B7">
        <w:t xml:space="preserve">directed </w:t>
      </w:r>
      <w:r w:rsidR="00E03CC0" w:rsidRPr="002146B7">
        <w:t>to Growing Places fund for consideration of a loan</w:t>
      </w:r>
      <w:r w:rsidR="004D0EC1" w:rsidRPr="002146B7">
        <w:t xml:space="preserve"> for £910,000</w:t>
      </w:r>
      <w:r w:rsidR="00B9094D" w:rsidRPr="002146B7">
        <w:t xml:space="preserve"> </w:t>
      </w:r>
      <w:r w:rsidR="00B9094D" w:rsidRPr="002146B7">
        <w:rPr>
          <w:b/>
        </w:rPr>
        <w:t>subject to due diligence</w:t>
      </w:r>
      <w:r w:rsidR="00E03CC0" w:rsidRPr="002146B7">
        <w:t xml:space="preserve">.  </w:t>
      </w:r>
      <w:r w:rsidR="006712DC" w:rsidRPr="002146B7">
        <w:t>Minutes from the SSLEP Executive Board Meeting state -</w:t>
      </w:r>
      <w:r w:rsidR="006712DC" w:rsidRPr="002146B7">
        <w:rPr>
          <w:rFonts w:ascii="Verdana" w:hAnsi="Verdana"/>
          <w:i/>
          <w:sz w:val="20"/>
        </w:rPr>
        <w:t xml:space="preserve"> “The board agreed that </w:t>
      </w:r>
      <w:r w:rsidR="00E03CC0" w:rsidRPr="002146B7">
        <w:rPr>
          <w:rFonts w:ascii="Verdana" w:hAnsi="Verdana"/>
          <w:i/>
          <w:sz w:val="20"/>
        </w:rPr>
        <w:t>…</w:t>
      </w:r>
      <w:r w:rsidR="006712DC" w:rsidRPr="002146B7">
        <w:rPr>
          <w:rFonts w:ascii="Verdana" w:hAnsi="Verdana"/>
          <w:i/>
          <w:sz w:val="20"/>
        </w:rPr>
        <w:t xml:space="preserve"> IC7 should go forward to GPF due diligence relating to an offer of </w:t>
      </w:r>
      <w:r w:rsidR="006712DC">
        <w:rPr>
          <w:rFonts w:ascii="Verdana" w:hAnsi="Verdana"/>
          <w:i/>
          <w:sz w:val="20"/>
        </w:rPr>
        <w:t>loan funding</w:t>
      </w:r>
      <w:r w:rsidR="00E03CC0">
        <w:rPr>
          <w:rFonts w:ascii="Verdana" w:hAnsi="Verdana"/>
          <w:i/>
          <w:sz w:val="20"/>
        </w:rPr>
        <w:t>”.</w:t>
      </w:r>
      <w:r w:rsidR="002146B7">
        <w:rPr>
          <w:rFonts w:ascii="Verdana" w:hAnsi="Verdana"/>
          <w:i/>
          <w:sz w:val="20"/>
        </w:rPr>
        <w:t xml:space="preserve"> </w:t>
      </w:r>
      <w:r w:rsidR="002146B7" w:rsidRPr="002146B7">
        <w:t>(Appendix 1)</w:t>
      </w:r>
      <w:r w:rsidR="006712DC">
        <w:rPr>
          <w:rFonts w:ascii="Verdana" w:hAnsi="Verdana"/>
          <w:i/>
          <w:sz w:val="20"/>
        </w:rPr>
        <w:br/>
      </w:r>
    </w:p>
    <w:p w:rsidR="002146B7" w:rsidRDefault="00B9094D" w:rsidP="000B24D9">
      <w:pPr>
        <w:ind w:left="720"/>
      </w:pPr>
      <w:r w:rsidRPr="002146B7">
        <w:t xml:space="preserve">As a </w:t>
      </w:r>
      <w:proofErr w:type="gramStart"/>
      <w:r w:rsidRPr="002146B7">
        <w:t>result</w:t>
      </w:r>
      <w:proofErr w:type="gramEnd"/>
      <w:r w:rsidRPr="002146B7">
        <w:t xml:space="preserve"> t</w:t>
      </w:r>
      <w:r w:rsidR="00E03CC0" w:rsidRPr="002146B7">
        <w:t xml:space="preserve">he Growing Places Fund manager </w:t>
      </w:r>
      <w:r w:rsidRPr="002146B7">
        <w:t>began</w:t>
      </w:r>
      <w:r w:rsidR="00E03CC0" w:rsidRPr="002146B7">
        <w:t xml:space="preserve"> the process of conducting due diligence checks in accordance with the directive of the board.  </w:t>
      </w:r>
      <w:r w:rsidRPr="002146B7">
        <w:t>Since Growing Places Fund loan is a revolving fund, t</w:t>
      </w:r>
      <w:r w:rsidR="00E03CC0" w:rsidRPr="002146B7">
        <w:t xml:space="preserve">he fundamental element to the due diligence check is to ensure that there is adequate security in place to ensure the security of the loan.  This is typically in the form of </w:t>
      </w:r>
      <w:r w:rsidR="00443ADC" w:rsidRPr="002146B7">
        <w:t>a commercial Bond; 1st or 2nd charge on a suitable asset or a Parent Company Guarantee</w:t>
      </w:r>
      <w:r w:rsidR="004D0EC1" w:rsidRPr="002146B7">
        <w:t xml:space="preserve">.  The applicant responded to this request as follows – </w:t>
      </w:r>
    </w:p>
    <w:p w:rsidR="004D0EC1" w:rsidRPr="002146B7" w:rsidRDefault="004D0EC1" w:rsidP="000B24D9">
      <w:pPr>
        <w:ind w:left="720"/>
      </w:pPr>
      <w:r w:rsidRPr="002146B7">
        <w:rPr>
          <w:rFonts w:ascii="Verdana" w:hAnsi="Verdana"/>
          <w:i/>
          <w:sz w:val="20"/>
        </w:rPr>
        <w:t xml:space="preserve">“The University (or its </w:t>
      </w:r>
      <w:r w:rsidR="0001664F" w:rsidRPr="002146B7">
        <w:rPr>
          <w:rFonts w:ascii="Verdana" w:hAnsi="Verdana"/>
          <w:i/>
          <w:sz w:val="20"/>
        </w:rPr>
        <w:t>subsidiaries</w:t>
      </w:r>
      <w:r w:rsidRPr="002146B7">
        <w:rPr>
          <w:rFonts w:ascii="Verdana" w:hAnsi="Verdana"/>
          <w:i/>
          <w:sz w:val="20"/>
        </w:rPr>
        <w:t>) do not provide security to any of its' lenders and the lenders provide funding/investment on the basis of it being unsecured and that the University will not offer security to any other organisation”.</w:t>
      </w:r>
      <w:r w:rsidRPr="002146B7">
        <w:t xml:space="preserve">  And that</w:t>
      </w:r>
      <w:r w:rsidRPr="002146B7">
        <w:rPr>
          <w:rFonts w:ascii="Verdana" w:hAnsi="Verdana"/>
          <w:i/>
          <w:sz w:val="20"/>
        </w:rPr>
        <w:t xml:space="preserve"> “We were informed by the LEP following the panel on the 29th January that security would be against tenant income”.  </w:t>
      </w:r>
      <w:r w:rsidRPr="002146B7">
        <w:t xml:space="preserve">(The secretariat </w:t>
      </w:r>
      <w:r w:rsidR="0079135F">
        <w:t>held no discussions with the applicant in respect of terms and conditions of the GPF</w:t>
      </w:r>
      <w:r w:rsidRPr="002146B7">
        <w:t>)</w:t>
      </w:r>
      <w:r w:rsidR="002146B7">
        <w:t>.</w:t>
      </w:r>
    </w:p>
    <w:p w:rsidR="00443ADC" w:rsidRDefault="000B24D9" w:rsidP="000B24D9">
      <w:pPr>
        <w:spacing w:before="100" w:beforeAutospacing="1" w:after="100" w:afterAutospacing="1"/>
        <w:ind w:left="720" w:hanging="720"/>
      </w:pPr>
      <w:r>
        <w:t>1.4</w:t>
      </w:r>
      <w:r>
        <w:tab/>
      </w:r>
      <w:r w:rsidR="00443ADC">
        <w:t>Whilst the application is in the name of University of Keele as the ultimate holding company, initial checks</w:t>
      </w:r>
      <w:r w:rsidR="00B9094D">
        <w:t>, following the issue of Experian reports</w:t>
      </w:r>
      <w:r w:rsidR="00443ADC">
        <w:t xml:space="preserve"> indicate that there are 2 other trading companies as part of the Group Structure; KRF Holdings Ltd., and Keele University Science and Business Park Limited.  The latter appears to hold assets to the value of around £3.1mn in land and buildings, and University of Keele is a majority shareholder in the former. There is also a parent company </w:t>
      </w:r>
      <w:proofErr w:type="gramStart"/>
      <w:r w:rsidR="00443ADC">
        <w:t>-  University</w:t>
      </w:r>
      <w:proofErr w:type="gramEnd"/>
      <w:r w:rsidR="00443ADC">
        <w:t xml:space="preserve"> Secretary's Office University Of Keele.  Growing Places fund loans can be secured with a parent company guarantee or against capital assets.   </w:t>
      </w:r>
    </w:p>
    <w:p w:rsidR="00C52A87" w:rsidRDefault="0001664F" w:rsidP="00443ADC">
      <w:pPr>
        <w:pStyle w:val="ListParagraph"/>
        <w:numPr>
          <w:ilvl w:val="0"/>
          <w:numId w:val="7"/>
        </w:numPr>
        <w:spacing w:before="100" w:beforeAutospacing="1" w:after="100" w:afterAutospacing="1"/>
      </w:pPr>
      <w:r>
        <w:t>S</w:t>
      </w:r>
      <w:r w:rsidR="004D0EC1">
        <w:t xml:space="preserve">ecurity against tenant revenue income stream </w:t>
      </w:r>
      <w:r w:rsidR="004D0EC1" w:rsidRPr="00443ADC">
        <w:rPr>
          <w:b/>
        </w:rPr>
        <w:t>conditional upon the main works proceeding</w:t>
      </w:r>
      <w:r w:rsidR="004D0EC1">
        <w:t xml:space="preserve"> would be insufficient to ensure adequate security is in place to safeguard the </w:t>
      </w:r>
      <w:r w:rsidR="000670AE">
        <w:t xml:space="preserve">910K </w:t>
      </w:r>
      <w:r w:rsidR="004D0EC1">
        <w:t>loan.  </w:t>
      </w:r>
      <w:r w:rsidR="002F65A8">
        <w:t>On this basis, in effect, if the main works do not proceed, the loan would not be repaid.</w:t>
      </w:r>
    </w:p>
    <w:p w:rsidR="004D0EC1" w:rsidRPr="00A57447" w:rsidRDefault="00C52A87" w:rsidP="00443ADC">
      <w:pPr>
        <w:pStyle w:val="ListParagraph"/>
        <w:numPr>
          <w:ilvl w:val="0"/>
          <w:numId w:val="7"/>
        </w:numPr>
        <w:spacing w:before="100" w:beforeAutospacing="1" w:after="100" w:afterAutospacing="1"/>
        <w:rPr>
          <w:b/>
        </w:rPr>
      </w:pPr>
      <w:r>
        <w:t xml:space="preserve">Growing Places Fund loans are stated </w:t>
      </w:r>
      <w:r w:rsidR="00443ADC">
        <w:t xml:space="preserve">in the call template </w:t>
      </w:r>
      <w:r>
        <w:t>as interest free</w:t>
      </w:r>
      <w:r w:rsidR="002F65A8">
        <w:t xml:space="preserve"> over 2 years</w:t>
      </w:r>
      <w:r>
        <w:t xml:space="preserve">.  </w:t>
      </w:r>
      <w:r w:rsidR="00B9094D">
        <w:t xml:space="preserve">Subject to timeframe on contracting, </w:t>
      </w:r>
      <w:r w:rsidR="002146B7">
        <w:t xml:space="preserve">should </w:t>
      </w:r>
      <w:r w:rsidR="00B9094D">
        <w:t xml:space="preserve">a loan </w:t>
      </w:r>
      <w:r w:rsidR="002F65A8">
        <w:t xml:space="preserve">be issued Summer 2019, </w:t>
      </w:r>
      <w:r>
        <w:t xml:space="preserve">Innovation Centre Seven </w:t>
      </w:r>
      <w:r w:rsidR="002146B7">
        <w:t>would</w:t>
      </w:r>
      <w:r>
        <w:t xml:space="preserve"> not be completed and open for occupancy until earliest September 2021, therefore rental income </w:t>
      </w:r>
      <w:r w:rsidR="002F65A8">
        <w:t xml:space="preserve">to the value of £910K </w:t>
      </w:r>
      <w:r>
        <w:t>will not be generated to a sufficient level to allow repayment until</w:t>
      </w:r>
      <w:r w:rsidR="00FF6AAB">
        <w:t xml:space="preserve"> well beyond th</w:t>
      </w:r>
      <w:r w:rsidR="002F65A8">
        <w:t xml:space="preserve">e specified repayment </w:t>
      </w:r>
      <w:r w:rsidR="00FF6AAB">
        <w:t>period</w:t>
      </w:r>
      <w:r w:rsidR="002F65A8">
        <w:t xml:space="preserve"> of Summer 2021</w:t>
      </w:r>
      <w:r w:rsidR="000670AE">
        <w:t>, therefore tying up a large proportion of the Growing Places Fund loan for an extended period</w:t>
      </w:r>
      <w:r w:rsidR="00443ADC">
        <w:t xml:space="preserve"> (</w:t>
      </w:r>
      <w:r w:rsidR="002146B7">
        <w:t>potentially</w:t>
      </w:r>
      <w:r w:rsidR="00443ADC">
        <w:t xml:space="preserve"> 5 years</w:t>
      </w:r>
      <w:r w:rsidR="002146B7">
        <w:t>+</w:t>
      </w:r>
      <w:r w:rsidR="00443ADC">
        <w:t>)</w:t>
      </w:r>
      <w:r w:rsidR="000670AE">
        <w:t>, preventing other businesses from coming forward</w:t>
      </w:r>
      <w:r w:rsidR="00443ADC">
        <w:t xml:space="preserve"> for support</w:t>
      </w:r>
      <w:r w:rsidR="002146B7">
        <w:t xml:space="preserve"> and therefore </w:t>
      </w:r>
      <w:r w:rsidR="002146B7" w:rsidRPr="00A57447">
        <w:rPr>
          <w:b/>
        </w:rPr>
        <w:t>limiting the scope for recording and reporting on additional outputs</w:t>
      </w:r>
      <w:r w:rsidR="00FF6AAB" w:rsidRPr="00A57447">
        <w:rPr>
          <w:b/>
        </w:rPr>
        <w:t>.</w:t>
      </w:r>
    </w:p>
    <w:p w:rsidR="00443ADC" w:rsidRDefault="00443ADC" w:rsidP="00443ADC">
      <w:pPr>
        <w:pStyle w:val="ListParagraph"/>
        <w:numPr>
          <w:ilvl w:val="0"/>
          <w:numId w:val="7"/>
        </w:numPr>
        <w:spacing w:before="100" w:beforeAutospacing="1" w:after="100" w:afterAutospacing="1"/>
      </w:pPr>
      <w:r>
        <w:t xml:space="preserve">The Growing Places fund delivery team recently came under scrutiny at audit for failing to adopt a </w:t>
      </w:r>
      <w:r w:rsidR="00B9094D">
        <w:t>consistent criterion</w:t>
      </w:r>
      <w:r>
        <w:t xml:space="preserve"> in the evaluation of project support.</w:t>
      </w:r>
    </w:p>
    <w:p w:rsidR="00F8034F" w:rsidRPr="00416B5B" w:rsidRDefault="00F8034F" w:rsidP="00E03CC0">
      <w:pPr>
        <w:rPr>
          <w:b/>
          <w:color w:val="FF0000"/>
        </w:rPr>
      </w:pPr>
    </w:p>
    <w:p w:rsidR="001F5DCE" w:rsidRPr="00F779AA" w:rsidRDefault="001F5DCE" w:rsidP="00E03CC0">
      <w:pPr>
        <w:pStyle w:val="ListParagraph"/>
        <w:numPr>
          <w:ilvl w:val="0"/>
          <w:numId w:val="5"/>
        </w:numPr>
        <w:rPr>
          <w:b/>
        </w:rPr>
      </w:pPr>
      <w:r w:rsidRPr="00F779AA">
        <w:rPr>
          <w:b/>
        </w:rPr>
        <w:t xml:space="preserve">Recommendation </w:t>
      </w:r>
    </w:p>
    <w:p w:rsidR="00443ADC" w:rsidRDefault="00443ADC" w:rsidP="00E03CC0"/>
    <w:p w:rsidR="009B427B" w:rsidRDefault="000B24D9" w:rsidP="000B24D9">
      <w:pPr>
        <w:ind w:left="720" w:hanging="720"/>
      </w:pPr>
      <w:r>
        <w:t>2.1</w:t>
      </w:r>
      <w:r>
        <w:tab/>
      </w:r>
      <w:r w:rsidR="009B427B" w:rsidRPr="00F779AA">
        <w:t xml:space="preserve">The GPF </w:t>
      </w:r>
      <w:r w:rsidR="0079135F">
        <w:t xml:space="preserve">Project Manager </w:t>
      </w:r>
      <w:r w:rsidR="009B427B" w:rsidRPr="00F779AA">
        <w:t xml:space="preserve">is keen to </w:t>
      </w:r>
      <w:r w:rsidR="00984F8F">
        <w:t xml:space="preserve">deliver on the criteria of the Growing Places fund and in the best interest of the SSLEP by </w:t>
      </w:r>
      <w:r w:rsidR="000670AE">
        <w:t>ensur</w:t>
      </w:r>
      <w:r w:rsidR="00984F8F">
        <w:t>ing</w:t>
      </w:r>
      <w:r w:rsidR="000670AE">
        <w:t xml:space="preserve"> that the revolving nature of the fund is maintained</w:t>
      </w:r>
      <w:r w:rsidR="005701D3">
        <w:t>.  This will</w:t>
      </w:r>
      <w:r w:rsidR="000670AE">
        <w:t xml:space="preserve"> ensure </w:t>
      </w:r>
      <w:r w:rsidR="005701D3">
        <w:t>that the fund</w:t>
      </w:r>
      <w:r w:rsidR="000670AE">
        <w:t xml:space="preserve"> supports as many local businesses as possible</w:t>
      </w:r>
      <w:r w:rsidR="00B9094D">
        <w:t xml:space="preserve"> to </w:t>
      </w:r>
      <w:r w:rsidR="00B9094D" w:rsidRPr="00A57447">
        <w:rPr>
          <w:b/>
        </w:rPr>
        <w:t>maximise outputs and outcomes</w:t>
      </w:r>
      <w:r w:rsidR="00B9094D">
        <w:t xml:space="preserve"> for the SSLEP area</w:t>
      </w:r>
      <w:r w:rsidR="005701D3">
        <w:t>.  The terms specified under the scheme criteria should therefore be maintained</w:t>
      </w:r>
      <w:r w:rsidR="000670AE">
        <w:t xml:space="preserve">.  </w:t>
      </w:r>
    </w:p>
    <w:p w:rsidR="000670AE" w:rsidRDefault="000670AE" w:rsidP="000B24D9">
      <w:pPr>
        <w:ind w:left="720" w:hanging="720"/>
      </w:pPr>
    </w:p>
    <w:p w:rsidR="002146B7" w:rsidRDefault="000670AE" w:rsidP="000B24D9">
      <w:pPr>
        <w:ind w:left="720"/>
      </w:pPr>
      <w:r>
        <w:t>The applicant appears to have sufficient means to offer security against the loan</w:t>
      </w:r>
      <w:r w:rsidR="002E4CC8">
        <w:t xml:space="preserve"> to ensure that th</w:t>
      </w:r>
      <w:r w:rsidR="002146B7">
        <w:t xml:space="preserve">is is repaid and utilised </w:t>
      </w:r>
      <w:r w:rsidR="002146B7" w:rsidRPr="00A57447">
        <w:rPr>
          <w:b/>
        </w:rPr>
        <w:t>as a loan</w:t>
      </w:r>
      <w:r w:rsidR="002146B7">
        <w:t xml:space="preserve"> </w:t>
      </w:r>
      <w:r w:rsidR="00C23AA5">
        <w:t xml:space="preserve">under the standard </w:t>
      </w:r>
      <w:proofErr w:type="gramStart"/>
      <w:r w:rsidR="00C23AA5">
        <w:t>2 year</w:t>
      </w:r>
      <w:proofErr w:type="gramEnd"/>
      <w:r w:rsidR="00C23AA5">
        <w:t xml:space="preserve"> term</w:t>
      </w:r>
      <w:r w:rsidR="002146B7">
        <w:t>s</w:t>
      </w:r>
      <w:r w:rsidR="00A57447">
        <w:t>.</w:t>
      </w:r>
    </w:p>
    <w:p w:rsidR="00A57447" w:rsidRDefault="00A57447" w:rsidP="00E03CC0"/>
    <w:p w:rsidR="00A57447" w:rsidRDefault="000B24D9" w:rsidP="000B24D9">
      <w:pPr>
        <w:ind w:left="720" w:hanging="720"/>
        <w:rPr>
          <w:b/>
        </w:rPr>
      </w:pPr>
      <w:r w:rsidRPr="00165CAE">
        <w:t>2.2</w:t>
      </w:r>
      <w:r>
        <w:rPr>
          <w:b/>
        </w:rPr>
        <w:tab/>
      </w:r>
      <w:r w:rsidR="00A57447" w:rsidRPr="00A57447">
        <w:rPr>
          <w:b/>
        </w:rPr>
        <w:t xml:space="preserve">Subject to GPF panel consideration and subsequent board approval, should a loan offer be made, this should be subject to conditions requiring that the standard security is in place </w:t>
      </w:r>
      <w:r w:rsidR="00A57447">
        <w:rPr>
          <w:b/>
        </w:rPr>
        <w:t xml:space="preserve">to </w:t>
      </w:r>
      <w:r w:rsidR="00A57447" w:rsidRPr="00A57447">
        <w:rPr>
          <w:b/>
        </w:rPr>
        <w:t>ensure that the loan is repaid</w:t>
      </w:r>
      <w:r w:rsidR="00A57447">
        <w:rPr>
          <w:b/>
        </w:rPr>
        <w:t xml:space="preserve"> within the standard </w:t>
      </w:r>
      <w:proofErr w:type="gramStart"/>
      <w:r w:rsidR="00A57447">
        <w:rPr>
          <w:b/>
        </w:rPr>
        <w:t>2 year</w:t>
      </w:r>
      <w:proofErr w:type="gramEnd"/>
      <w:r w:rsidR="00A57447">
        <w:rPr>
          <w:b/>
        </w:rPr>
        <w:t xml:space="preserve"> term specified by the fund, thus </w:t>
      </w:r>
      <w:r w:rsidR="00A57447" w:rsidRPr="00A57447">
        <w:rPr>
          <w:b/>
        </w:rPr>
        <w:t>safeguard</w:t>
      </w:r>
      <w:r w:rsidR="00A57447">
        <w:rPr>
          <w:b/>
        </w:rPr>
        <w:t>ing</w:t>
      </w:r>
      <w:r w:rsidR="00A57447" w:rsidRPr="00A57447">
        <w:rPr>
          <w:b/>
        </w:rPr>
        <w:t xml:space="preserve"> the </w:t>
      </w:r>
      <w:r w:rsidR="005701D3">
        <w:rPr>
          <w:b/>
        </w:rPr>
        <w:t xml:space="preserve">longevity of the </w:t>
      </w:r>
      <w:r w:rsidR="00A57447" w:rsidRPr="00A57447">
        <w:rPr>
          <w:b/>
        </w:rPr>
        <w:t>fund</w:t>
      </w:r>
      <w:r w:rsidR="00A57447">
        <w:rPr>
          <w:b/>
        </w:rPr>
        <w:t xml:space="preserve"> and maintaining consistency in </w:t>
      </w:r>
      <w:r w:rsidR="007303D6">
        <w:rPr>
          <w:b/>
        </w:rPr>
        <w:t>its</w:t>
      </w:r>
      <w:r w:rsidR="00A57447">
        <w:rPr>
          <w:b/>
        </w:rPr>
        <w:t xml:space="preserve"> terms</w:t>
      </w:r>
      <w:r w:rsidR="007303D6">
        <w:rPr>
          <w:b/>
        </w:rPr>
        <w:t xml:space="preserve"> of eligibility</w:t>
      </w:r>
      <w:r w:rsidR="00A57447">
        <w:rPr>
          <w:b/>
        </w:rPr>
        <w:t>.</w:t>
      </w:r>
    </w:p>
    <w:p w:rsidR="00FB666F" w:rsidRDefault="00FB666F" w:rsidP="00E03CC0">
      <w:pPr>
        <w:rPr>
          <w:color w:val="FF0000"/>
        </w:rPr>
      </w:pPr>
    </w:p>
    <w:p w:rsidR="001C586A" w:rsidRDefault="001C586A" w:rsidP="00E03CC0">
      <w:pPr>
        <w:rPr>
          <w:color w:val="FF0000"/>
        </w:rPr>
      </w:pPr>
      <w:r w:rsidRPr="001C586A">
        <w:rPr>
          <w:color w:val="FF0000"/>
        </w:rPr>
        <w:t xml:space="preserve"> </w:t>
      </w:r>
    </w:p>
    <w:p w:rsidR="00885774" w:rsidRDefault="00885774" w:rsidP="00E03CC0">
      <w:pPr>
        <w:rPr>
          <w:color w:val="FF0000"/>
        </w:rPr>
      </w:pPr>
    </w:p>
    <w:p w:rsidR="00885774" w:rsidRPr="00C55014" w:rsidRDefault="00C55014" w:rsidP="00E03CC0">
      <w:pPr>
        <w:rPr>
          <w:b/>
        </w:rPr>
      </w:pPr>
      <w:r>
        <w:rPr>
          <w:b/>
        </w:rPr>
        <w:t xml:space="preserve">Appx 1 </w:t>
      </w:r>
      <w:r w:rsidRPr="00C55014">
        <w:rPr>
          <w:b/>
        </w:rPr>
        <w:t xml:space="preserve">Extract of 14 February 2019 Confidential </w:t>
      </w:r>
      <w:proofErr w:type="gramStart"/>
      <w:r w:rsidRPr="00C55014">
        <w:rPr>
          <w:b/>
        </w:rPr>
        <w:t>Minute:-</w:t>
      </w:r>
      <w:proofErr w:type="gramEnd"/>
    </w:p>
    <w:p w:rsidR="00C55014" w:rsidRPr="00C55014" w:rsidRDefault="00C55014" w:rsidP="00E03CC0"/>
    <w:p w:rsidR="007F4E82" w:rsidRDefault="007F4E82" w:rsidP="00E03CC0">
      <w:pPr>
        <w:rPr>
          <w:noProof/>
        </w:rPr>
      </w:pPr>
    </w:p>
    <w:p w:rsidR="00C55014" w:rsidRPr="00227885" w:rsidRDefault="00C55014" w:rsidP="00C55014">
      <w:pPr>
        <w:tabs>
          <w:tab w:val="left" w:pos="1440"/>
          <w:tab w:val="left" w:pos="2160"/>
          <w:tab w:val="left" w:pos="2880"/>
        </w:tabs>
        <w:jc w:val="center"/>
        <w:rPr>
          <w:rFonts w:ascii="Verdana" w:hAnsi="Verdana"/>
          <w:b/>
          <w:sz w:val="20"/>
        </w:rPr>
      </w:pPr>
      <w:r w:rsidRPr="00227885">
        <w:rPr>
          <w:rFonts w:ascii="Verdana" w:hAnsi="Verdana"/>
          <w:b/>
          <w:sz w:val="20"/>
        </w:rPr>
        <w:t xml:space="preserve">Notes of the </w:t>
      </w:r>
      <w:r>
        <w:rPr>
          <w:rFonts w:ascii="Verdana" w:hAnsi="Verdana"/>
          <w:b/>
          <w:sz w:val="20"/>
        </w:rPr>
        <w:t>LEP Executive Board</w:t>
      </w:r>
      <w:r w:rsidRPr="00227885">
        <w:rPr>
          <w:rFonts w:ascii="Verdana" w:hAnsi="Verdana"/>
          <w:b/>
          <w:sz w:val="20"/>
        </w:rPr>
        <w:t xml:space="preserve"> Meeting</w:t>
      </w:r>
    </w:p>
    <w:p w:rsidR="00C55014" w:rsidRDefault="00C55014" w:rsidP="00C55014">
      <w:pPr>
        <w:jc w:val="center"/>
        <w:rPr>
          <w:rFonts w:ascii="Verdana" w:hAnsi="Verdana"/>
          <w:b/>
          <w:sz w:val="20"/>
        </w:rPr>
      </w:pPr>
      <w:r>
        <w:rPr>
          <w:rFonts w:ascii="Verdana" w:hAnsi="Verdana"/>
          <w:b/>
          <w:sz w:val="20"/>
        </w:rPr>
        <w:t>Drawing Room, County Buildings</w:t>
      </w:r>
    </w:p>
    <w:p w:rsidR="00C55014" w:rsidRDefault="00C55014" w:rsidP="00C55014">
      <w:pPr>
        <w:jc w:val="center"/>
        <w:rPr>
          <w:rFonts w:ascii="Verdana" w:hAnsi="Verdana"/>
          <w:b/>
          <w:sz w:val="20"/>
        </w:rPr>
      </w:pPr>
      <w:r>
        <w:rPr>
          <w:rFonts w:ascii="Verdana" w:hAnsi="Verdana"/>
          <w:b/>
          <w:sz w:val="20"/>
        </w:rPr>
        <w:t>Thursday 14</w:t>
      </w:r>
      <w:r w:rsidRPr="007C0873">
        <w:rPr>
          <w:rFonts w:ascii="Verdana" w:hAnsi="Verdana"/>
          <w:b/>
          <w:sz w:val="20"/>
          <w:vertAlign w:val="superscript"/>
        </w:rPr>
        <w:t>th</w:t>
      </w:r>
      <w:r>
        <w:rPr>
          <w:rFonts w:ascii="Verdana" w:hAnsi="Verdana"/>
          <w:b/>
          <w:sz w:val="20"/>
        </w:rPr>
        <w:t xml:space="preserve"> February 2019</w:t>
      </w:r>
    </w:p>
    <w:p w:rsidR="00C55014" w:rsidRDefault="00C55014" w:rsidP="00C55014">
      <w:pPr>
        <w:jc w:val="center"/>
        <w:rPr>
          <w:rFonts w:ascii="Verdana" w:hAnsi="Verdana"/>
          <w:b/>
          <w:sz w:val="20"/>
        </w:rPr>
      </w:pPr>
      <w:r>
        <w:rPr>
          <w:rFonts w:ascii="Verdana" w:hAnsi="Verdana"/>
          <w:b/>
          <w:sz w:val="20"/>
        </w:rPr>
        <w:t>Confidential Minutes</w:t>
      </w:r>
    </w:p>
    <w:p w:rsidR="00C55014" w:rsidRPr="00227885" w:rsidRDefault="00C55014" w:rsidP="00C55014">
      <w:pPr>
        <w:tabs>
          <w:tab w:val="center" w:pos="4635"/>
          <w:tab w:val="left" w:pos="6735"/>
        </w:tabs>
        <w:ind w:left="2127" w:hanging="2127"/>
        <w:rPr>
          <w:rFonts w:ascii="Verdana" w:hAnsi="Verdana"/>
          <w:sz w:val="20"/>
        </w:rPr>
      </w:pPr>
    </w:p>
    <w:p w:rsidR="00C55014" w:rsidRPr="00227885" w:rsidRDefault="00C55014" w:rsidP="00C55014">
      <w:pPr>
        <w:tabs>
          <w:tab w:val="center" w:pos="4635"/>
          <w:tab w:val="left" w:pos="6735"/>
          <w:tab w:val="right" w:pos="9214"/>
        </w:tabs>
        <w:ind w:left="2127" w:hanging="2127"/>
        <w:rPr>
          <w:rFonts w:ascii="Verdana" w:hAnsi="Verdana"/>
          <w:b/>
          <w:sz w:val="20"/>
          <w:u w:val="single"/>
        </w:rPr>
      </w:pPr>
      <w:r w:rsidRPr="00227885">
        <w:rPr>
          <w:rFonts w:ascii="Verdana" w:hAnsi="Verdana"/>
          <w:b/>
          <w:sz w:val="20"/>
          <w:u w:val="single"/>
        </w:rPr>
        <w:t>Group Members</w:t>
      </w:r>
    </w:p>
    <w:p w:rsidR="00C55014" w:rsidRPr="00227885" w:rsidRDefault="00C55014" w:rsidP="00C55014">
      <w:pPr>
        <w:tabs>
          <w:tab w:val="right" w:pos="9214"/>
        </w:tabs>
        <w:rPr>
          <w:rFonts w:ascii="Verdana" w:hAnsi="Verdana"/>
          <w:sz w:val="20"/>
        </w:rPr>
      </w:pPr>
      <w:r w:rsidRPr="00227885">
        <w:rPr>
          <w:rFonts w:ascii="Verdana" w:hAnsi="Verdana"/>
          <w:sz w:val="20"/>
        </w:rPr>
        <w:t>David Frost (Chairman)</w:t>
      </w:r>
      <w:r w:rsidRPr="00227885">
        <w:rPr>
          <w:rFonts w:ascii="Verdana" w:hAnsi="Verdana"/>
          <w:sz w:val="20"/>
        </w:rPr>
        <w:tab/>
      </w:r>
    </w:p>
    <w:p w:rsidR="00C55014" w:rsidRDefault="00C55014" w:rsidP="00C55014">
      <w:pPr>
        <w:tabs>
          <w:tab w:val="right" w:pos="9214"/>
        </w:tabs>
        <w:rPr>
          <w:rFonts w:ascii="Verdana" w:hAnsi="Verdana"/>
          <w:sz w:val="20"/>
        </w:rPr>
      </w:pPr>
      <w:r>
        <w:rPr>
          <w:rFonts w:ascii="Verdana" w:hAnsi="Verdana"/>
          <w:sz w:val="20"/>
        </w:rPr>
        <w:t>Alun Rogers (Vice Chair)</w:t>
      </w:r>
      <w:r>
        <w:rPr>
          <w:rFonts w:ascii="Verdana" w:hAnsi="Verdana"/>
          <w:sz w:val="20"/>
        </w:rPr>
        <w:tab/>
      </w:r>
      <w:proofErr w:type="spellStart"/>
      <w:r>
        <w:rPr>
          <w:rFonts w:ascii="Verdana" w:hAnsi="Verdana"/>
          <w:sz w:val="20"/>
        </w:rPr>
        <w:t>risual</w:t>
      </w:r>
      <w:proofErr w:type="spellEnd"/>
    </w:p>
    <w:p w:rsidR="00C55014" w:rsidRDefault="00C55014" w:rsidP="00C55014">
      <w:pPr>
        <w:tabs>
          <w:tab w:val="right" w:pos="9214"/>
        </w:tabs>
        <w:rPr>
          <w:rFonts w:ascii="Verdana" w:hAnsi="Verdana"/>
          <w:sz w:val="20"/>
        </w:rPr>
      </w:pPr>
      <w:r>
        <w:rPr>
          <w:rFonts w:ascii="Verdana" w:hAnsi="Verdana"/>
          <w:sz w:val="20"/>
        </w:rPr>
        <w:t xml:space="preserve">Wendy </w:t>
      </w:r>
      <w:proofErr w:type="gramStart"/>
      <w:r>
        <w:rPr>
          <w:rFonts w:ascii="Verdana" w:hAnsi="Verdana"/>
          <w:sz w:val="20"/>
        </w:rPr>
        <w:t xml:space="preserve">Dean  </w:t>
      </w:r>
      <w:r>
        <w:rPr>
          <w:rFonts w:ascii="Verdana" w:hAnsi="Verdana"/>
          <w:sz w:val="20"/>
        </w:rPr>
        <w:tab/>
      </w:r>
      <w:proofErr w:type="gramEnd"/>
      <w:r>
        <w:rPr>
          <w:rFonts w:ascii="Verdana" w:hAnsi="Verdana"/>
          <w:sz w:val="20"/>
        </w:rPr>
        <w:t>Strategi Solutions</w:t>
      </w:r>
    </w:p>
    <w:p w:rsidR="00C55014" w:rsidRDefault="00C55014" w:rsidP="00C55014">
      <w:pPr>
        <w:tabs>
          <w:tab w:val="right" w:pos="9214"/>
        </w:tabs>
        <w:rPr>
          <w:rFonts w:ascii="Verdana" w:hAnsi="Verdana"/>
          <w:sz w:val="20"/>
        </w:rPr>
      </w:pPr>
      <w:r>
        <w:rPr>
          <w:rFonts w:ascii="Verdana" w:hAnsi="Verdana"/>
          <w:sz w:val="20"/>
        </w:rPr>
        <w:t xml:space="preserve">Paul Farmer </w:t>
      </w:r>
      <w:r>
        <w:rPr>
          <w:rFonts w:ascii="Verdana" w:hAnsi="Verdana"/>
          <w:sz w:val="20"/>
        </w:rPr>
        <w:tab/>
        <w:t>Wade Ceramics</w:t>
      </w:r>
    </w:p>
    <w:p w:rsidR="00C55014" w:rsidRDefault="00C55014" w:rsidP="00C55014">
      <w:pPr>
        <w:tabs>
          <w:tab w:val="right" w:pos="9214"/>
        </w:tabs>
        <w:rPr>
          <w:rFonts w:ascii="Verdana" w:hAnsi="Verdana"/>
          <w:sz w:val="20"/>
        </w:rPr>
      </w:pPr>
      <w:r>
        <w:rPr>
          <w:rFonts w:ascii="Verdana" w:hAnsi="Verdana"/>
          <w:sz w:val="20"/>
        </w:rPr>
        <w:t xml:space="preserve">Sarah Montgomery </w:t>
      </w:r>
      <w:r>
        <w:rPr>
          <w:rFonts w:ascii="Verdana" w:hAnsi="Verdana"/>
          <w:sz w:val="20"/>
        </w:rPr>
        <w:tab/>
        <w:t>National Memorial Arboretum</w:t>
      </w:r>
    </w:p>
    <w:p w:rsidR="00C55014" w:rsidRDefault="00C55014" w:rsidP="00C55014">
      <w:pPr>
        <w:tabs>
          <w:tab w:val="right" w:pos="9214"/>
        </w:tabs>
        <w:rPr>
          <w:rFonts w:ascii="Verdana" w:hAnsi="Verdana"/>
          <w:sz w:val="20"/>
        </w:rPr>
      </w:pPr>
      <w:r>
        <w:rPr>
          <w:rFonts w:ascii="Verdana" w:hAnsi="Verdana"/>
          <w:sz w:val="20"/>
        </w:rPr>
        <w:t>Cllr Philip Atkins</w:t>
      </w:r>
      <w:r w:rsidRPr="00227885">
        <w:rPr>
          <w:rFonts w:ascii="Verdana" w:hAnsi="Verdana"/>
          <w:sz w:val="20"/>
        </w:rPr>
        <w:t xml:space="preserve"> </w:t>
      </w:r>
      <w:r>
        <w:rPr>
          <w:rFonts w:ascii="Verdana" w:hAnsi="Verdana"/>
          <w:sz w:val="20"/>
        </w:rPr>
        <w:tab/>
        <w:t>Staffordshire County Council</w:t>
      </w:r>
    </w:p>
    <w:p w:rsidR="00C55014" w:rsidRDefault="00C55014" w:rsidP="00C55014">
      <w:pPr>
        <w:tabs>
          <w:tab w:val="right" w:pos="9214"/>
        </w:tabs>
        <w:rPr>
          <w:rFonts w:ascii="Verdana" w:hAnsi="Verdana"/>
          <w:sz w:val="20"/>
        </w:rPr>
      </w:pPr>
      <w:r w:rsidRPr="00227885">
        <w:rPr>
          <w:rFonts w:ascii="Verdana" w:hAnsi="Verdana"/>
          <w:sz w:val="20"/>
        </w:rPr>
        <w:t>Cllr Patrick Farrington</w:t>
      </w:r>
      <w:r w:rsidRPr="00227885">
        <w:rPr>
          <w:rFonts w:ascii="Verdana" w:hAnsi="Verdana"/>
          <w:sz w:val="20"/>
        </w:rPr>
        <w:tab/>
        <w:t>Stafford Borough Council</w:t>
      </w:r>
      <w:r w:rsidRPr="008A2A0E">
        <w:rPr>
          <w:rFonts w:ascii="Verdana" w:hAnsi="Verdana"/>
          <w:sz w:val="20"/>
        </w:rPr>
        <w:t xml:space="preserve"> </w:t>
      </w:r>
    </w:p>
    <w:p w:rsidR="00C55014" w:rsidRDefault="00C55014" w:rsidP="00C55014">
      <w:pPr>
        <w:tabs>
          <w:tab w:val="right" w:pos="9214"/>
        </w:tabs>
        <w:rPr>
          <w:rFonts w:ascii="Verdana" w:hAnsi="Verdana"/>
          <w:sz w:val="20"/>
        </w:rPr>
      </w:pPr>
      <w:r w:rsidRPr="00227885">
        <w:rPr>
          <w:rFonts w:ascii="Verdana" w:hAnsi="Verdana"/>
          <w:sz w:val="20"/>
        </w:rPr>
        <w:t>Cllr Abi Brown</w:t>
      </w:r>
      <w:r w:rsidRPr="00227885">
        <w:rPr>
          <w:rFonts w:ascii="Verdana" w:hAnsi="Verdana"/>
          <w:sz w:val="20"/>
        </w:rPr>
        <w:tab/>
        <w:t xml:space="preserve">Deputy Leader, Stoke-on-Trent </w:t>
      </w:r>
      <w:r>
        <w:rPr>
          <w:rFonts w:ascii="Verdana" w:hAnsi="Verdana"/>
          <w:sz w:val="20"/>
        </w:rPr>
        <w:t>City Council</w:t>
      </w:r>
    </w:p>
    <w:p w:rsidR="00C55014" w:rsidRDefault="00C55014" w:rsidP="00C55014">
      <w:pPr>
        <w:tabs>
          <w:tab w:val="right" w:pos="9214"/>
        </w:tabs>
        <w:rPr>
          <w:rFonts w:ascii="Verdana" w:hAnsi="Verdana"/>
          <w:sz w:val="20"/>
        </w:rPr>
      </w:pPr>
      <w:r>
        <w:rPr>
          <w:rFonts w:ascii="Verdana" w:hAnsi="Verdana"/>
          <w:sz w:val="20"/>
        </w:rPr>
        <w:t>Cllr Brian Edwards</w:t>
      </w:r>
      <w:r>
        <w:rPr>
          <w:rFonts w:ascii="Verdana" w:hAnsi="Verdana"/>
          <w:sz w:val="20"/>
        </w:rPr>
        <w:tab/>
        <w:t>South Staffordshire Council</w:t>
      </w:r>
    </w:p>
    <w:p w:rsidR="00C55014" w:rsidRDefault="00C55014" w:rsidP="00C55014">
      <w:pPr>
        <w:tabs>
          <w:tab w:val="right" w:pos="9214"/>
        </w:tabs>
        <w:rPr>
          <w:rFonts w:ascii="Verdana" w:hAnsi="Verdana"/>
          <w:sz w:val="20"/>
        </w:rPr>
      </w:pPr>
      <w:r>
        <w:rPr>
          <w:rFonts w:ascii="Verdana" w:hAnsi="Verdana"/>
          <w:sz w:val="20"/>
        </w:rPr>
        <w:t>Prof Liz Barnes</w:t>
      </w:r>
      <w:r>
        <w:rPr>
          <w:rFonts w:ascii="Verdana" w:hAnsi="Verdana"/>
          <w:sz w:val="20"/>
        </w:rPr>
        <w:tab/>
        <w:t>Staffordshire University</w:t>
      </w:r>
    </w:p>
    <w:p w:rsidR="00C55014" w:rsidRDefault="00C55014" w:rsidP="00C55014">
      <w:pPr>
        <w:tabs>
          <w:tab w:val="right" w:pos="9214"/>
        </w:tabs>
        <w:rPr>
          <w:rFonts w:ascii="Verdana" w:hAnsi="Verdana"/>
          <w:sz w:val="20"/>
        </w:rPr>
      </w:pPr>
      <w:r>
        <w:rPr>
          <w:rFonts w:ascii="Verdana" w:hAnsi="Verdana"/>
          <w:sz w:val="20"/>
        </w:rPr>
        <w:t>David Sidaway</w:t>
      </w:r>
      <w:r>
        <w:rPr>
          <w:rFonts w:ascii="Verdana" w:hAnsi="Verdana"/>
          <w:sz w:val="20"/>
        </w:rPr>
        <w:tab/>
        <w:t>Stoke-on-Trent City Council</w:t>
      </w:r>
    </w:p>
    <w:p w:rsidR="00C55014" w:rsidRDefault="00C55014" w:rsidP="00C55014">
      <w:pPr>
        <w:tabs>
          <w:tab w:val="right" w:pos="9214"/>
        </w:tabs>
        <w:rPr>
          <w:rFonts w:ascii="Verdana" w:hAnsi="Verdana"/>
          <w:sz w:val="20"/>
        </w:rPr>
      </w:pPr>
    </w:p>
    <w:p w:rsidR="00C55014" w:rsidRPr="00227885" w:rsidRDefault="00C55014" w:rsidP="00C55014">
      <w:pPr>
        <w:tabs>
          <w:tab w:val="right" w:pos="9214"/>
        </w:tabs>
        <w:rPr>
          <w:rFonts w:ascii="Verdana" w:hAnsi="Verdana"/>
          <w:b/>
          <w:sz w:val="20"/>
          <w:u w:val="single"/>
        </w:rPr>
      </w:pPr>
      <w:r w:rsidRPr="00227885">
        <w:rPr>
          <w:rFonts w:ascii="Verdana" w:hAnsi="Verdana"/>
          <w:b/>
          <w:sz w:val="20"/>
          <w:u w:val="single"/>
        </w:rPr>
        <w:t>Advisory/Secretariat</w:t>
      </w:r>
    </w:p>
    <w:p w:rsidR="00C55014" w:rsidRDefault="00C55014" w:rsidP="00C55014">
      <w:pPr>
        <w:tabs>
          <w:tab w:val="right" w:pos="9214"/>
        </w:tabs>
        <w:rPr>
          <w:rFonts w:ascii="Verdana" w:hAnsi="Verdana"/>
          <w:sz w:val="20"/>
        </w:rPr>
      </w:pPr>
      <w:r>
        <w:rPr>
          <w:rFonts w:ascii="Verdana" w:hAnsi="Verdana"/>
          <w:sz w:val="20"/>
        </w:rPr>
        <w:t>Jacqui Casey</w:t>
      </w:r>
      <w:r w:rsidRPr="00227885">
        <w:rPr>
          <w:rFonts w:ascii="Verdana" w:hAnsi="Verdana"/>
          <w:sz w:val="20"/>
        </w:rPr>
        <w:tab/>
        <w:t>Stoke-on-Trent &amp; Staffordshire LEP</w:t>
      </w:r>
    </w:p>
    <w:p w:rsidR="00C55014" w:rsidRDefault="00C55014" w:rsidP="00C55014">
      <w:pPr>
        <w:tabs>
          <w:tab w:val="right" w:pos="9214"/>
        </w:tabs>
        <w:rPr>
          <w:rFonts w:ascii="Verdana" w:hAnsi="Verdana"/>
          <w:sz w:val="20"/>
        </w:rPr>
      </w:pPr>
      <w:r>
        <w:rPr>
          <w:rFonts w:ascii="Verdana" w:hAnsi="Verdana"/>
          <w:sz w:val="20"/>
        </w:rPr>
        <w:t>Alison Thomas</w:t>
      </w:r>
      <w:r>
        <w:rPr>
          <w:rFonts w:ascii="Verdana" w:hAnsi="Verdana"/>
          <w:sz w:val="20"/>
        </w:rPr>
        <w:tab/>
        <w:t>Stoke-on-Trent &amp; Staffordshire LEP</w:t>
      </w:r>
    </w:p>
    <w:p w:rsidR="00C55014" w:rsidRDefault="00C55014" w:rsidP="00C55014">
      <w:pPr>
        <w:tabs>
          <w:tab w:val="right" w:pos="9214"/>
        </w:tabs>
        <w:rPr>
          <w:rFonts w:ascii="Verdana" w:hAnsi="Verdana"/>
          <w:sz w:val="20"/>
        </w:rPr>
      </w:pPr>
      <w:r>
        <w:rPr>
          <w:rFonts w:ascii="Verdana" w:hAnsi="Verdana"/>
          <w:sz w:val="20"/>
        </w:rPr>
        <w:t>John Devlin</w:t>
      </w:r>
      <w:r>
        <w:rPr>
          <w:rFonts w:ascii="Verdana" w:hAnsi="Verdana"/>
          <w:sz w:val="20"/>
        </w:rPr>
        <w:tab/>
        <w:t>Consultant</w:t>
      </w:r>
    </w:p>
    <w:p w:rsidR="00C55014" w:rsidRPr="00682AFD" w:rsidRDefault="00C55014" w:rsidP="00C55014">
      <w:pPr>
        <w:tabs>
          <w:tab w:val="right" w:pos="9214"/>
        </w:tabs>
        <w:rPr>
          <w:rFonts w:ascii="Verdana" w:hAnsi="Verdana"/>
          <w:sz w:val="20"/>
        </w:rPr>
      </w:pPr>
    </w:p>
    <w:p w:rsidR="00C55014" w:rsidRPr="00227885" w:rsidRDefault="00C55014" w:rsidP="00C55014">
      <w:pPr>
        <w:tabs>
          <w:tab w:val="right" w:pos="9214"/>
        </w:tabs>
        <w:rPr>
          <w:rFonts w:ascii="Verdana" w:hAnsi="Verdana"/>
          <w:b/>
          <w:sz w:val="20"/>
          <w:u w:val="single"/>
        </w:rPr>
      </w:pPr>
      <w:r w:rsidRPr="00227885">
        <w:rPr>
          <w:rFonts w:ascii="Verdana" w:hAnsi="Verdana"/>
          <w:b/>
          <w:sz w:val="20"/>
          <w:u w:val="single"/>
        </w:rPr>
        <w:t>In Attendance</w:t>
      </w:r>
    </w:p>
    <w:p w:rsidR="00C55014" w:rsidRDefault="00C55014" w:rsidP="00C55014">
      <w:pPr>
        <w:tabs>
          <w:tab w:val="right" w:pos="9214"/>
        </w:tabs>
        <w:rPr>
          <w:rFonts w:ascii="Verdana" w:hAnsi="Verdana"/>
          <w:sz w:val="20"/>
        </w:rPr>
      </w:pPr>
      <w:r>
        <w:rPr>
          <w:rFonts w:ascii="Verdana" w:hAnsi="Verdana"/>
          <w:sz w:val="20"/>
        </w:rPr>
        <w:t>Andrea Whitworth</w:t>
      </w:r>
      <w:r>
        <w:rPr>
          <w:rFonts w:ascii="Verdana" w:hAnsi="Verdana"/>
          <w:sz w:val="20"/>
        </w:rPr>
        <w:tab/>
        <w:t>BEIS</w:t>
      </w:r>
    </w:p>
    <w:p w:rsidR="00C55014" w:rsidRPr="00227885" w:rsidRDefault="00C55014" w:rsidP="00C55014">
      <w:pPr>
        <w:tabs>
          <w:tab w:val="right" w:pos="9214"/>
        </w:tabs>
        <w:rPr>
          <w:rFonts w:ascii="Verdana" w:hAnsi="Verdana"/>
          <w:sz w:val="20"/>
        </w:rPr>
      </w:pPr>
      <w:r>
        <w:rPr>
          <w:rFonts w:ascii="Verdana" w:hAnsi="Verdana"/>
          <w:sz w:val="20"/>
        </w:rPr>
        <w:t>Simon Ablewhite</w:t>
      </w:r>
      <w:r>
        <w:rPr>
          <w:rFonts w:ascii="Verdana" w:hAnsi="Verdana"/>
          <w:sz w:val="20"/>
        </w:rPr>
        <w:tab/>
        <w:t>Staffordshire County Council</w:t>
      </w:r>
    </w:p>
    <w:p w:rsidR="00C55014" w:rsidRPr="000D7683" w:rsidRDefault="00C55014" w:rsidP="00C55014">
      <w:pPr>
        <w:tabs>
          <w:tab w:val="center" w:pos="4635"/>
          <w:tab w:val="left" w:pos="6735"/>
          <w:tab w:val="right" w:pos="9214"/>
        </w:tabs>
        <w:ind w:left="2127" w:hanging="2127"/>
        <w:rPr>
          <w:rFonts w:ascii="Verdana" w:hAnsi="Verdana"/>
          <w:sz w:val="20"/>
        </w:rPr>
      </w:pPr>
      <w:r w:rsidRPr="000D7683">
        <w:rPr>
          <w:rFonts w:ascii="Verdana" w:hAnsi="Verdana"/>
          <w:sz w:val="20"/>
        </w:rPr>
        <w:t xml:space="preserve">Sophie </w:t>
      </w:r>
      <w:proofErr w:type="spellStart"/>
      <w:r w:rsidRPr="000D7683">
        <w:rPr>
          <w:rFonts w:ascii="Verdana" w:hAnsi="Verdana"/>
          <w:sz w:val="20"/>
        </w:rPr>
        <w:t>McFie</w:t>
      </w:r>
      <w:r>
        <w:rPr>
          <w:rFonts w:ascii="Verdana" w:hAnsi="Verdana"/>
          <w:sz w:val="20"/>
        </w:rPr>
        <w:t>-Hyland</w:t>
      </w:r>
      <w:proofErr w:type="spellEnd"/>
      <w:r>
        <w:rPr>
          <w:rFonts w:ascii="Verdana" w:hAnsi="Verdana"/>
          <w:sz w:val="20"/>
        </w:rPr>
        <w:t xml:space="preserve"> </w:t>
      </w:r>
      <w:r>
        <w:rPr>
          <w:rFonts w:ascii="Verdana" w:hAnsi="Verdana"/>
          <w:sz w:val="20"/>
        </w:rPr>
        <w:tab/>
        <w:t xml:space="preserve">                                                            Staffordshire County Council</w:t>
      </w:r>
      <w:r>
        <w:rPr>
          <w:rFonts w:ascii="Verdana" w:hAnsi="Verdana"/>
          <w:sz w:val="20"/>
        </w:rPr>
        <w:tab/>
      </w:r>
      <w:r>
        <w:rPr>
          <w:rFonts w:ascii="Verdana" w:hAnsi="Verdana"/>
          <w:sz w:val="20"/>
        </w:rPr>
        <w:tab/>
      </w:r>
    </w:p>
    <w:p w:rsidR="00C55014" w:rsidRDefault="00C55014" w:rsidP="00C55014">
      <w:pPr>
        <w:tabs>
          <w:tab w:val="center" w:pos="4635"/>
          <w:tab w:val="left" w:pos="6735"/>
          <w:tab w:val="right" w:pos="9214"/>
        </w:tabs>
        <w:ind w:left="2127" w:hanging="2127"/>
        <w:rPr>
          <w:rFonts w:ascii="Verdana" w:hAnsi="Verdana"/>
          <w:b/>
          <w:sz w:val="20"/>
          <w:u w:val="single"/>
        </w:rPr>
      </w:pPr>
    </w:p>
    <w:p w:rsidR="00C55014" w:rsidRPr="00227885" w:rsidRDefault="00C55014" w:rsidP="00C55014">
      <w:pPr>
        <w:tabs>
          <w:tab w:val="center" w:pos="4635"/>
          <w:tab w:val="left" w:pos="6735"/>
          <w:tab w:val="right" w:pos="9214"/>
        </w:tabs>
        <w:ind w:left="2127" w:hanging="2127"/>
        <w:rPr>
          <w:rFonts w:ascii="Verdana" w:hAnsi="Verdana"/>
          <w:b/>
          <w:sz w:val="20"/>
          <w:u w:val="single"/>
        </w:rPr>
      </w:pPr>
      <w:r w:rsidRPr="00227885">
        <w:rPr>
          <w:rFonts w:ascii="Verdana" w:hAnsi="Verdana"/>
          <w:b/>
          <w:sz w:val="20"/>
          <w:u w:val="single"/>
        </w:rPr>
        <w:t>Apologies</w:t>
      </w:r>
    </w:p>
    <w:p w:rsidR="00C55014" w:rsidRDefault="00C55014" w:rsidP="00C55014">
      <w:pPr>
        <w:tabs>
          <w:tab w:val="right" w:pos="9214"/>
        </w:tabs>
        <w:rPr>
          <w:rFonts w:ascii="Verdana" w:hAnsi="Verdana"/>
          <w:sz w:val="20"/>
        </w:rPr>
      </w:pPr>
      <w:r>
        <w:rPr>
          <w:rFonts w:ascii="Verdana" w:hAnsi="Verdana"/>
          <w:sz w:val="20"/>
        </w:rPr>
        <w:lastRenderedPageBreak/>
        <w:tab/>
      </w:r>
    </w:p>
    <w:p w:rsidR="00C55014" w:rsidRPr="00227885" w:rsidRDefault="00C55014" w:rsidP="00C55014">
      <w:pPr>
        <w:tabs>
          <w:tab w:val="right" w:pos="9214"/>
        </w:tabs>
        <w:rPr>
          <w:rFonts w:ascii="Verdana" w:hAnsi="Verdana"/>
          <w:sz w:val="20"/>
        </w:rPr>
      </w:pPr>
      <w:r>
        <w:rPr>
          <w:rFonts w:ascii="Verdana" w:hAnsi="Verdana"/>
          <w:sz w:val="20"/>
        </w:rPr>
        <w:t>Mohammed Ahmed</w:t>
      </w:r>
      <w:r>
        <w:rPr>
          <w:rFonts w:ascii="Verdana" w:hAnsi="Verdana"/>
          <w:sz w:val="20"/>
        </w:rPr>
        <w:tab/>
      </w:r>
      <w:proofErr w:type="spellStart"/>
      <w:r>
        <w:rPr>
          <w:rFonts w:ascii="Verdana" w:hAnsi="Verdana"/>
          <w:sz w:val="20"/>
        </w:rPr>
        <w:t>Homeserve</w:t>
      </w:r>
      <w:proofErr w:type="spellEnd"/>
    </w:p>
    <w:p w:rsidR="00C55014" w:rsidRPr="00227885" w:rsidRDefault="00C55014" w:rsidP="00C55014">
      <w:pPr>
        <w:tabs>
          <w:tab w:val="right" w:pos="9214"/>
        </w:tabs>
        <w:rPr>
          <w:rFonts w:ascii="Verdana" w:hAnsi="Verdana"/>
          <w:sz w:val="20"/>
        </w:rPr>
      </w:pPr>
      <w:r>
        <w:rPr>
          <w:rFonts w:ascii="Verdana" w:hAnsi="Verdana"/>
          <w:sz w:val="20"/>
        </w:rPr>
        <w:t xml:space="preserve">James Leavesley </w:t>
      </w:r>
      <w:r>
        <w:rPr>
          <w:rFonts w:ascii="Verdana" w:hAnsi="Verdana"/>
          <w:sz w:val="20"/>
        </w:rPr>
        <w:tab/>
      </w:r>
      <w:proofErr w:type="spellStart"/>
      <w:r>
        <w:rPr>
          <w:rFonts w:ascii="Verdana" w:hAnsi="Verdana"/>
          <w:sz w:val="20"/>
        </w:rPr>
        <w:t>Leavesley</w:t>
      </w:r>
      <w:proofErr w:type="spellEnd"/>
      <w:r>
        <w:rPr>
          <w:rFonts w:ascii="Verdana" w:hAnsi="Verdana"/>
          <w:sz w:val="20"/>
        </w:rPr>
        <w:t xml:space="preserve"> Group</w:t>
      </w:r>
      <w:r>
        <w:rPr>
          <w:rFonts w:ascii="Verdana" w:hAnsi="Verdana"/>
          <w:sz w:val="20"/>
        </w:rPr>
        <w:tab/>
      </w:r>
    </w:p>
    <w:p w:rsidR="00C55014" w:rsidRDefault="00C55014" w:rsidP="00C55014">
      <w:pPr>
        <w:tabs>
          <w:tab w:val="right" w:pos="9214"/>
        </w:tabs>
        <w:rPr>
          <w:rFonts w:ascii="Verdana" w:hAnsi="Verdana"/>
          <w:sz w:val="20"/>
        </w:rPr>
      </w:pPr>
      <w:r>
        <w:rPr>
          <w:rFonts w:ascii="Verdana" w:hAnsi="Verdana"/>
          <w:sz w:val="20"/>
        </w:rPr>
        <w:t xml:space="preserve">John Henderson </w:t>
      </w:r>
      <w:r>
        <w:rPr>
          <w:rFonts w:ascii="Verdana" w:hAnsi="Verdana"/>
          <w:sz w:val="20"/>
        </w:rPr>
        <w:tab/>
        <w:t>Staffordshire County Council</w:t>
      </w:r>
    </w:p>
    <w:p w:rsidR="00C55014" w:rsidRPr="00227885" w:rsidRDefault="00C55014" w:rsidP="00C55014">
      <w:pPr>
        <w:tabs>
          <w:tab w:val="right" w:pos="9214"/>
        </w:tabs>
        <w:rPr>
          <w:rFonts w:ascii="Verdana" w:hAnsi="Verdana"/>
          <w:sz w:val="20"/>
        </w:rPr>
      </w:pPr>
    </w:p>
    <w:p w:rsidR="00C55014" w:rsidRDefault="00C55014" w:rsidP="00C55014">
      <w:pPr>
        <w:spacing w:after="120"/>
        <w:ind w:left="567" w:hanging="567"/>
        <w:jc w:val="both"/>
        <w:rPr>
          <w:rFonts w:ascii="Verdana" w:hAnsi="Verdana"/>
          <w:b/>
          <w:sz w:val="20"/>
        </w:rPr>
      </w:pPr>
      <w:r>
        <w:rPr>
          <w:rFonts w:ascii="Verdana" w:hAnsi="Verdana"/>
          <w:b/>
          <w:sz w:val="20"/>
        </w:rPr>
        <w:t>7.</w:t>
      </w:r>
      <w:r>
        <w:rPr>
          <w:rFonts w:ascii="Verdana" w:hAnsi="Verdana"/>
          <w:b/>
          <w:sz w:val="20"/>
        </w:rPr>
        <w:tab/>
        <w:t xml:space="preserve">City &amp; Growth Programme Deal Programme </w:t>
      </w:r>
    </w:p>
    <w:p w:rsidR="00C55014" w:rsidRDefault="00C55014" w:rsidP="00C55014">
      <w:pPr>
        <w:ind w:left="567" w:hanging="567"/>
        <w:rPr>
          <w:rFonts w:ascii="Verdana" w:hAnsi="Verdana"/>
          <w:i/>
          <w:sz w:val="20"/>
        </w:rPr>
      </w:pPr>
      <w:r>
        <w:rPr>
          <w:rFonts w:ascii="Verdana" w:hAnsi="Verdana"/>
          <w:b/>
          <w:sz w:val="20"/>
        </w:rPr>
        <w:tab/>
      </w:r>
      <w:r w:rsidRPr="006E3AE5">
        <w:rPr>
          <w:rFonts w:ascii="Verdana" w:hAnsi="Verdana"/>
          <w:b/>
          <w:i/>
          <w:sz w:val="20"/>
        </w:rPr>
        <w:t>Confidential</w:t>
      </w:r>
      <w:r>
        <w:rPr>
          <w:rFonts w:ascii="Verdana" w:hAnsi="Verdana"/>
          <w:b/>
          <w:sz w:val="20"/>
        </w:rPr>
        <w:t xml:space="preserve"> </w:t>
      </w:r>
      <w:r w:rsidRPr="001E441F">
        <w:rPr>
          <w:rFonts w:ascii="Verdana" w:hAnsi="Verdana"/>
          <w:i/>
          <w:sz w:val="20"/>
        </w:rPr>
        <w:t>Growth Deal open call</w:t>
      </w:r>
      <w:r>
        <w:rPr>
          <w:rFonts w:ascii="Verdana" w:hAnsi="Verdana"/>
          <w:b/>
          <w:sz w:val="20"/>
        </w:rPr>
        <w:t xml:space="preserve">. </w:t>
      </w:r>
      <w:r w:rsidRPr="001E441F">
        <w:rPr>
          <w:rFonts w:ascii="Verdana" w:hAnsi="Verdana"/>
          <w:i/>
          <w:sz w:val="20"/>
        </w:rPr>
        <w:t>The board</w:t>
      </w:r>
      <w:r>
        <w:rPr>
          <w:rFonts w:ascii="Verdana" w:hAnsi="Verdana"/>
          <w:i/>
          <w:sz w:val="20"/>
        </w:rPr>
        <w:t xml:space="preserve"> agreed that the following projects should go forward to produce a full business case:</w:t>
      </w:r>
      <w:r>
        <w:rPr>
          <w:rFonts w:ascii="Verdana" w:hAnsi="Verdana"/>
          <w:i/>
          <w:sz w:val="20"/>
        </w:rPr>
        <w:br/>
      </w:r>
    </w:p>
    <w:p w:rsidR="00C55014" w:rsidRDefault="00C55014" w:rsidP="00C55014">
      <w:pPr>
        <w:ind w:left="567"/>
        <w:rPr>
          <w:rFonts w:ascii="Verdana" w:hAnsi="Verdana"/>
          <w:sz w:val="20"/>
        </w:rPr>
      </w:pPr>
      <w:r w:rsidRPr="001E441F">
        <w:rPr>
          <w:rFonts w:ascii="Verdana" w:hAnsi="Verdana"/>
          <w:noProof/>
          <w:sz w:val="22"/>
        </w:rPr>
        <w:drawing>
          <wp:inline distT="0" distB="0" distL="0" distR="0">
            <wp:extent cx="57340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90650"/>
                    </a:xfrm>
                    <a:prstGeom prst="rect">
                      <a:avLst/>
                    </a:prstGeom>
                    <a:noFill/>
                    <a:ln>
                      <a:noFill/>
                    </a:ln>
                  </pic:spPr>
                </pic:pic>
              </a:graphicData>
            </a:graphic>
          </wp:inline>
        </w:drawing>
      </w:r>
    </w:p>
    <w:p w:rsidR="00C55014" w:rsidRPr="00C55014" w:rsidRDefault="00C55014" w:rsidP="00C55014">
      <w:pPr>
        <w:spacing w:after="120"/>
        <w:ind w:left="567" w:hanging="567"/>
        <w:jc w:val="both"/>
        <w:rPr>
          <w:rFonts w:eastAsiaTheme="minorHAnsi"/>
          <w:b/>
        </w:rPr>
      </w:pPr>
      <w:r w:rsidRPr="00386430">
        <w:rPr>
          <w:rFonts w:ascii="Verdana" w:hAnsi="Verdana"/>
          <w:b/>
          <w:sz w:val="20"/>
        </w:rPr>
        <w:tab/>
      </w:r>
      <w:r>
        <w:rPr>
          <w:rFonts w:ascii="Verdana" w:hAnsi="Verdana"/>
          <w:b/>
          <w:sz w:val="20"/>
        </w:rPr>
        <w:br/>
      </w:r>
      <w:bookmarkStart w:id="1" w:name="_GoBack"/>
      <w:bookmarkEnd w:id="1"/>
    </w:p>
    <w:p w:rsidR="000B24D9" w:rsidRPr="00EF6BF8" w:rsidRDefault="00D0115B" w:rsidP="005701D3">
      <w:pPr>
        <w:pStyle w:val="ListParagraph"/>
        <w:numPr>
          <w:ilvl w:val="0"/>
          <w:numId w:val="5"/>
        </w:numPr>
        <w:spacing w:after="200" w:line="276" w:lineRule="auto"/>
        <w:rPr>
          <w:rFonts w:eastAsiaTheme="minorHAnsi"/>
          <w:b/>
        </w:rPr>
      </w:pPr>
      <w:r>
        <w:rPr>
          <w:rFonts w:eastAsiaTheme="minorHAnsi"/>
          <w:b/>
        </w:rPr>
        <w:t>Blythe Business Park Extension</w:t>
      </w:r>
    </w:p>
    <w:p w:rsidR="000B24D9" w:rsidRPr="000B24D9" w:rsidRDefault="00A416DE" w:rsidP="005701D3">
      <w:pPr>
        <w:spacing w:after="200" w:line="276" w:lineRule="auto"/>
        <w:ind w:left="709" w:hanging="709"/>
      </w:pPr>
      <w:r>
        <w:rPr>
          <w:rFonts w:eastAsiaTheme="minorHAnsi"/>
          <w:sz w:val="22"/>
          <w:szCs w:val="22"/>
        </w:rPr>
        <w:t>3</w:t>
      </w:r>
      <w:r w:rsidR="000B24D9" w:rsidRPr="000B24D9">
        <w:rPr>
          <w:rFonts w:eastAsiaTheme="minorHAnsi"/>
          <w:sz w:val="22"/>
          <w:szCs w:val="22"/>
        </w:rPr>
        <w:t>.1</w:t>
      </w:r>
      <w:r w:rsidR="000B24D9" w:rsidRPr="000B24D9">
        <w:rPr>
          <w:rFonts w:eastAsiaTheme="minorHAnsi"/>
          <w:sz w:val="22"/>
          <w:szCs w:val="22"/>
        </w:rPr>
        <w:tab/>
      </w:r>
      <w:r w:rsidR="000B24D9" w:rsidRPr="000B24D9">
        <w:t xml:space="preserve">The Growing Places Fund continues to develop and attract interest from projects that would otherwise find difficulty in securing full development funding. One of the main strengths of the manner the Growing Places Fund has been managed is the adoption of maximum flexibility so as not to impose unnecessary economic constraints on developing businesses. </w:t>
      </w:r>
    </w:p>
    <w:p w:rsidR="00EF6BF8" w:rsidRDefault="00A416DE" w:rsidP="005701D3">
      <w:pPr>
        <w:spacing w:after="200" w:line="276" w:lineRule="auto"/>
        <w:ind w:left="709" w:hanging="709"/>
      </w:pPr>
      <w:r>
        <w:t>3.</w:t>
      </w:r>
      <w:r w:rsidR="00EF6BF8">
        <w:t>2</w:t>
      </w:r>
      <w:r w:rsidR="000B24D9" w:rsidRPr="000B24D9">
        <w:tab/>
        <w:t xml:space="preserve">This flexibility has helped a further project, </w:t>
      </w:r>
      <w:r w:rsidR="00EF6BF8">
        <w:t>Blythe Business Park Extension, Sandon Road, Cresswell</w:t>
      </w:r>
      <w:r w:rsidR="000B24D9" w:rsidRPr="000B24D9">
        <w:t xml:space="preserve"> </w:t>
      </w:r>
      <w:r w:rsidR="00D0115B">
        <w:t xml:space="preserve">(M J Barrett Group) </w:t>
      </w:r>
      <w:r w:rsidR="000B24D9" w:rsidRPr="000B24D9">
        <w:t xml:space="preserve">to approach the budget-holders for funding.  </w:t>
      </w:r>
    </w:p>
    <w:p w:rsidR="00A416DE" w:rsidRDefault="00A416DE" w:rsidP="005701D3">
      <w:pPr>
        <w:ind w:left="720" w:hanging="720"/>
        <w:rPr>
          <w:rFonts w:eastAsiaTheme="minorHAnsi" w:cs="Calibri"/>
          <w:szCs w:val="22"/>
        </w:rPr>
      </w:pPr>
      <w:r>
        <w:t>3</w:t>
      </w:r>
      <w:r w:rsidR="00EF6BF8">
        <w:t>.3</w:t>
      </w:r>
      <w:r w:rsidR="00EF6BF8">
        <w:tab/>
        <w:t xml:space="preserve">The project successfully secured Growth Deal funding to the value of £1.25M from a request for 1.67M (Appendix 1) and initially approached the </w:t>
      </w:r>
      <w:r w:rsidR="00D0115B">
        <w:t xml:space="preserve">Growing Places Fund </w:t>
      </w:r>
      <w:r w:rsidR="00EF6BF8">
        <w:t>budget-holder for 300K to fund the gap.  Since then the request has been increased to £1.4M</w:t>
      </w:r>
      <w:r w:rsidRPr="00A416DE">
        <w:t xml:space="preserve"> </w:t>
      </w:r>
      <w:r>
        <w:t>due to the deal for the residential land with Galliford Try collapsing. Income from the land sale has therefore been pushed back</w:t>
      </w:r>
      <w:r w:rsidR="00165CAE">
        <w:t>.</w:t>
      </w:r>
    </w:p>
    <w:p w:rsidR="000B24D9" w:rsidRPr="000B24D9" w:rsidRDefault="000B24D9" w:rsidP="005701D3">
      <w:pPr>
        <w:spacing w:after="200" w:line="276" w:lineRule="auto"/>
        <w:ind w:left="709" w:hanging="709"/>
      </w:pPr>
    </w:p>
    <w:p w:rsidR="000B24D9" w:rsidRPr="00A416DE" w:rsidRDefault="00A416DE" w:rsidP="005701D3">
      <w:pPr>
        <w:spacing w:after="200" w:line="276" w:lineRule="auto"/>
        <w:rPr>
          <w:b/>
        </w:rPr>
      </w:pPr>
      <w:r>
        <w:t>4</w:t>
      </w:r>
      <w:r w:rsidR="000B24D9" w:rsidRPr="000B24D9">
        <w:t>.</w:t>
      </w:r>
      <w:r w:rsidR="000B24D9" w:rsidRPr="000B24D9">
        <w:tab/>
      </w:r>
      <w:r w:rsidR="000B24D9" w:rsidRPr="00A416DE">
        <w:rPr>
          <w:b/>
        </w:rPr>
        <w:t>Recommendations</w:t>
      </w:r>
    </w:p>
    <w:p w:rsidR="000B24D9" w:rsidRPr="000B24D9" w:rsidRDefault="00A416DE" w:rsidP="005701D3">
      <w:pPr>
        <w:spacing w:after="200" w:line="276" w:lineRule="auto"/>
        <w:ind w:left="720" w:hanging="720"/>
      </w:pPr>
      <w:r>
        <w:t>4</w:t>
      </w:r>
      <w:r w:rsidR="000B24D9" w:rsidRPr="000B24D9">
        <w:t>.1</w:t>
      </w:r>
      <w:r w:rsidR="000B24D9" w:rsidRPr="000B24D9">
        <w:tab/>
        <w:t xml:space="preserve">The </w:t>
      </w:r>
      <w:r>
        <w:t>SSLEP Board</w:t>
      </w:r>
      <w:r w:rsidR="000B24D9" w:rsidRPr="000B24D9">
        <w:t xml:space="preserve"> is recommended to consider approval of </w:t>
      </w:r>
      <w:r>
        <w:t>Blythe Business Park Extension</w:t>
      </w:r>
      <w:r w:rsidR="000B24D9" w:rsidRPr="000B24D9">
        <w:t xml:space="preserve"> for a Growing Places Fund loan</w:t>
      </w:r>
      <w:r>
        <w:t xml:space="preserve"> (subject to due diligence)</w:t>
      </w:r>
      <w:r w:rsidR="000B24D9" w:rsidRPr="000B24D9">
        <w:t xml:space="preserve"> and to give Staffordshire County Council, as accountable body for the funds, authority to issue a funding agreement to release the loan applied for by the project. SSLEP approval would be subject to the satisfactory completion of the final elements of the legal funding agreement which governs loan security.</w:t>
      </w:r>
    </w:p>
    <w:p w:rsidR="000B24D9" w:rsidRPr="00A416DE" w:rsidRDefault="00A416DE" w:rsidP="005701D3">
      <w:pPr>
        <w:spacing w:after="200" w:line="276" w:lineRule="auto"/>
        <w:rPr>
          <w:b/>
        </w:rPr>
      </w:pPr>
      <w:r w:rsidRPr="00A416DE">
        <w:rPr>
          <w:b/>
        </w:rPr>
        <w:t>5</w:t>
      </w:r>
      <w:r w:rsidR="000B24D9" w:rsidRPr="00A416DE">
        <w:rPr>
          <w:b/>
        </w:rPr>
        <w:t>.</w:t>
      </w:r>
      <w:r w:rsidR="000B24D9" w:rsidRPr="00A416DE">
        <w:rPr>
          <w:b/>
        </w:rPr>
        <w:tab/>
        <w:t>Background and scheme details</w:t>
      </w:r>
    </w:p>
    <w:p w:rsidR="000B24D9" w:rsidRPr="00D0115B" w:rsidRDefault="00C74C43" w:rsidP="005701D3">
      <w:pPr>
        <w:pStyle w:val="ListParagraph"/>
        <w:numPr>
          <w:ilvl w:val="1"/>
          <w:numId w:val="17"/>
        </w:numPr>
        <w:spacing w:after="200" w:line="276" w:lineRule="auto"/>
      </w:pPr>
      <w:r>
        <w:lastRenderedPageBreak/>
        <w:t xml:space="preserve">      </w:t>
      </w:r>
      <w:r w:rsidR="000B24D9" w:rsidRPr="00D0115B">
        <w:t>Key details of the scheme are as follows:</w:t>
      </w:r>
    </w:p>
    <w:p w:rsidR="00A416DE" w:rsidRPr="00D0115B" w:rsidRDefault="000B24D9" w:rsidP="005701D3">
      <w:pPr>
        <w:numPr>
          <w:ilvl w:val="0"/>
          <w:numId w:val="11"/>
        </w:numPr>
        <w:spacing w:after="200" w:line="276" w:lineRule="auto"/>
        <w:ind w:left="1134" w:hanging="283"/>
        <w:contextualSpacing/>
        <w:rPr>
          <w:rFonts w:eastAsiaTheme="minorHAnsi"/>
          <w:b/>
          <w:i/>
        </w:rPr>
      </w:pPr>
      <w:r w:rsidRPr="00D0115B">
        <w:rPr>
          <w:rFonts w:eastAsiaTheme="minorHAnsi"/>
          <w:b/>
          <w:i/>
        </w:rPr>
        <w:t xml:space="preserve">The proposal was recommended for approval at the Growing Places Fund Panel </w:t>
      </w:r>
      <w:r w:rsidR="005701D3">
        <w:rPr>
          <w:rFonts w:eastAsiaTheme="minorHAnsi"/>
          <w:b/>
          <w:i/>
        </w:rPr>
        <w:t>m</w:t>
      </w:r>
      <w:r w:rsidRPr="00D0115B">
        <w:rPr>
          <w:rFonts w:eastAsiaTheme="minorHAnsi"/>
          <w:b/>
          <w:i/>
        </w:rPr>
        <w:t xml:space="preserve">eeting held on </w:t>
      </w:r>
      <w:r w:rsidR="00A416DE" w:rsidRPr="00D0115B">
        <w:rPr>
          <w:rFonts w:eastAsiaTheme="minorHAnsi"/>
          <w:b/>
          <w:i/>
        </w:rPr>
        <w:t>13</w:t>
      </w:r>
      <w:r w:rsidRPr="00D0115B">
        <w:rPr>
          <w:rFonts w:eastAsiaTheme="minorHAnsi"/>
          <w:b/>
          <w:i/>
        </w:rPr>
        <w:t xml:space="preserve">th </w:t>
      </w:r>
      <w:r w:rsidR="00A416DE" w:rsidRPr="00D0115B">
        <w:rPr>
          <w:rFonts w:eastAsiaTheme="minorHAnsi"/>
          <w:b/>
          <w:i/>
        </w:rPr>
        <w:t>June</w:t>
      </w:r>
      <w:r w:rsidRPr="00D0115B">
        <w:rPr>
          <w:rFonts w:eastAsiaTheme="minorHAnsi"/>
          <w:b/>
          <w:i/>
        </w:rPr>
        <w:t xml:space="preserve"> 2019</w:t>
      </w:r>
      <w:r w:rsidR="00A416DE" w:rsidRPr="00D0115B">
        <w:rPr>
          <w:rFonts w:eastAsiaTheme="minorHAnsi"/>
          <w:b/>
          <w:i/>
        </w:rPr>
        <w:t>, subject to the following conditions –</w:t>
      </w:r>
    </w:p>
    <w:p w:rsidR="00165CAE" w:rsidRPr="00D0115B" w:rsidRDefault="00A416DE" w:rsidP="005701D3">
      <w:pPr>
        <w:numPr>
          <w:ilvl w:val="0"/>
          <w:numId w:val="14"/>
        </w:numPr>
        <w:spacing w:after="200" w:line="276" w:lineRule="auto"/>
        <w:contextualSpacing/>
        <w:rPr>
          <w:rFonts w:eastAsiaTheme="minorHAnsi"/>
          <w:b/>
          <w:i/>
        </w:rPr>
      </w:pPr>
      <w:r w:rsidRPr="00D0115B">
        <w:rPr>
          <w:rFonts w:eastAsiaTheme="minorHAnsi"/>
          <w:b/>
          <w:i/>
        </w:rPr>
        <w:t xml:space="preserve">A default interest rate of 8% over bank interest rate to be imposed </w:t>
      </w:r>
      <w:r w:rsidR="00165CAE" w:rsidRPr="00D0115B">
        <w:rPr>
          <w:rFonts w:eastAsiaTheme="minorHAnsi"/>
          <w:b/>
          <w:i/>
        </w:rPr>
        <w:t xml:space="preserve">after the </w:t>
      </w:r>
      <w:proofErr w:type="gramStart"/>
      <w:r w:rsidR="00165CAE" w:rsidRPr="00D0115B">
        <w:rPr>
          <w:rFonts w:eastAsiaTheme="minorHAnsi"/>
          <w:b/>
          <w:i/>
        </w:rPr>
        <w:t>2 year</w:t>
      </w:r>
      <w:proofErr w:type="gramEnd"/>
      <w:r w:rsidR="00165CAE" w:rsidRPr="00D0115B">
        <w:rPr>
          <w:rFonts w:eastAsiaTheme="minorHAnsi"/>
          <w:b/>
          <w:i/>
        </w:rPr>
        <w:t xml:space="preserve"> interest</w:t>
      </w:r>
      <w:r w:rsidR="005701D3">
        <w:rPr>
          <w:rFonts w:eastAsiaTheme="minorHAnsi"/>
          <w:b/>
          <w:i/>
        </w:rPr>
        <w:t>-</w:t>
      </w:r>
      <w:r w:rsidR="00165CAE" w:rsidRPr="00D0115B">
        <w:rPr>
          <w:rFonts w:eastAsiaTheme="minorHAnsi"/>
          <w:b/>
          <w:i/>
        </w:rPr>
        <w:t xml:space="preserve">free period </w:t>
      </w:r>
      <w:r w:rsidRPr="00D0115B">
        <w:rPr>
          <w:rFonts w:eastAsiaTheme="minorHAnsi"/>
          <w:b/>
          <w:i/>
        </w:rPr>
        <w:t xml:space="preserve">should the beneficiary fail to repay the loan </w:t>
      </w:r>
    </w:p>
    <w:p w:rsidR="00A416DE" w:rsidRPr="00D0115B" w:rsidRDefault="00A416DE" w:rsidP="005701D3">
      <w:pPr>
        <w:numPr>
          <w:ilvl w:val="0"/>
          <w:numId w:val="14"/>
        </w:numPr>
        <w:spacing w:after="200" w:line="276" w:lineRule="auto"/>
        <w:contextualSpacing/>
        <w:rPr>
          <w:rFonts w:eastAsiaTheme="minorHAnsi"/>
          <w:b/>
          <w:i/>
        </w:rPr>
      </w:pPr>
      <w:r w:rsidRPr="00D0115B">
        <w:rPr>
          <w:rFonts w:eastAsiaTheme="minorHAnsi"/>
          <w:b/>
          <w:i/>
        </w:rPr>
        <w:t>Any dividends paid during the interest-free loan period should be paid at an appropriate rate.</w:t>
      </w:r>
    </w:p>
    <w:p w:rsidR="000B24D9" w:rsidRPr="00D0115B" w:rsidRDefault="000B24D9" w:rsidP="005701D3">
      <w:pPr>
        <w:numPr>
          <w:ilvl w:val="0"/>
          <w:numId w:val="11"/>
        </w:numPr>
        <w:spacing w:after="200" w:line="276" w:lineRule="auto"/>
        <w:ind w:left="1134" w:hanging="283"/>
        <w:contextualSpacing/>
        <w:rPr>
          <w:rFonts w:eastAsiaTheme="minorHAnsi"/>
          <w:b/>
          <w:i/>
        </w:rPr>
      </w:pPr>
      <w:r w:rsidRPr="00D0115B">
        <w:rPr>
          <w:rFonts w:eastAsiaTheme="minorHAnsi"/>
          <w:b/>
          <w:i/>
        </w:rPr>
        <w:t>The loan amount requested is £</w:t>
      </w:r>
      <w:r w:rsidR="00165CAE" w:rsidRPr="00D0115B">
        <w:rPr>
          <w:rFonts w:eastAsiaTheme="minorHAnsi"/>
          <w:b/>
          <w:i/>
        </w:rPr>
        <w:t>1.4M</w:t>
      </w:r>
      <w:r w:rsidRPr="00D0115B">
        <w:rPr>
          <w:rFonts w:eastAsiaTheme="minorHAnsi"/>
          <w:b/>
          <w:i/>
        </w:rPr>
        <w:t xml:space="preserve"> (5</w:t>
      </w:r>
      <w:r w:rsidR="00D0115B" w:rsidRPr="00D0115B">
        <w:rPr>
          <w:rFonts w:eastAsiaTheme="minorHAnsi"/>
          <w:b/>
          <w:i/>
        </w:rPr>
        <w:t>2</w:t>
      </w:r>
      <w:r w:rsidRPr="00D0115B">
        <w:rPr>
          <w:rFonts w:eastAsiaTheme="minorHAnsi"/>
          <w:b/>
          <w:i/>
        </w:rPr>
        <w:t xml:space="preserve">% of the total </w:t>
      </w:r>
      <w:r w:rsidR="00D0115B" w:rsidRPr="00D0115B">
        <w:rPr>
          <w:rFonts w:eastAsiaTheme="minorHAnsi"/>
          <w:b/>
          <w:i/>
        </w:rPr>
        <w:t xml:space="preserve">infrastructure </w:t>
      </w:r>
      <w:r w:rsidRPr="00D0115B">
        <w:rPr>
          <w:rFonts w:eastAsiaTheme="minorHAnsi"/>
          <w:b/>
          <w:i/>
        </w:rPr>
        <w:t>scheme costs of £</w:t>
      </w:r>
      <w:r w:rsidR="00D0115B" w:rsidRPr="00D0115B">
        <w:rPr>
          <w:rFonts w:eastAsiaTheme="minorHAnsi"/>
          <w:b/>
          <w:i/>
        </w:rPr>
        <w:t>2.65M</w:t>
      </w:r>
      <w:r w:rsidRPr="00D0115B">
        <w:rPr>
          <w:rFonts w:eastAsiaTheme="minorHAnsi"/>
          <w:b/>
          <w:i/>
        </w:rPr>
        <w:t>), repayable after 2 years.</w:t>
      </w:r>
    </w:p>
    <w:p w:rsidR="000B24D9" w:rsidRPr="00D0115B" w:rsidRDefault="000B24D9" w:rsidP="005701D3">
      <w:pPr>
        <w:numPr>
          <w:ilvl w:val="0"/>
          <w:numId w:val="11"/>
        </w:numPr>
        <w:spacing w:after="200" w:line="276" w:lineRule="auto"/>
        <w:ind w:left="1134" w:hanging="283"/>
        <w:contextualSpacing/>
        <w:rPr>
          <w:rFonts w:eastAsiaTheme="minorHAnsi"/>
          <w:b/>
          <w:i/>
        </w:rPr>
      </w:pPr>
      <w:r w:rsidRPr="00D0115B">
        <w:rPr>
          <w:rFonts w:eastAsiaTheme="minorHAnsi"/>
          <w:b/>
          <w:i/>
        </w:rPr>
        <w:t>The remaining 4</w:t>
      </w:r>
      <w:r w:rsidR="00D0115B" w:rsidRPr="00D0115B">
        <w:rPr>
          <w:rFonts w:eastAsiaTheme="minorHAnsi"/>
          <w:b/>
          <w:i/>
        </w:rPr>
        <w:t>8</w:t>
      </w:r>
      <w:r w:rsidRPr="00D0115B">
        <w:rPr>
          <w:rFonts w:eastAsiaTheme="minorHAnsi"/>
          <w:b/>
          <w:i/>
        </w:rPr>
        <w:t>% (£</w:t>
      </w:r>
      <w:r w:rsidR="00D0115B" w:rsidRPr="00D0115B">
        <w:rPr>
          <w:rFonts w:eastAsiaTheme="minorHAnsi"/>
          <w:b/>
          <w:i/>
        </w:rPr>
        <w:t>1.25M</w:t>
      </w:r>
      <w:r w:rsidRPr="00D0115B">
        <w:rPr>
          <w:rFonts w:eastAsiaTheme="minorHAnsi"/>
          <w:b/>
          <w:i/>
        </w:rPr>
        <w:t xml:space="preserve">) of the scheme costs will be met by way of </w:t>
      </w:r>
      <w:r w:rsidR="00D0115B" w:rsidRPr="00D0115B">
        <w:rPr>
          <w:rFonts w:eastAsiaTheme="minorHAnsi"/>
          <w:b/>
          <w:i/>
        </w:rPr>
        <w:t>Growth Deal</w:t>
      </w:r>
      <w:r w:rsidRPr="00D0115B">
        <w:rPr>
          <w:rFonts w:eastAsiaTheme="minorHAnsi"/>
          <w:b/>
          <w:i/>
        </w:rPr>
        <w:t xml:space="preserve"> grant.</w:t>
      </w:r>
    </w:p>
    <w:p w:rsidR="000B24D9" w:rsidRPr="00D0115B" w:rsidRDefault="000B24D9" w:rsidP="005701D3">
      <w:pPr>
        <w:numPr>
          <w:ilvl w:val="0"/>
          <w:numId w:val="11"/>
        </w:numPr>
        <w:spacing w:after="200" w:line="276" w:lineRule="auto"/>
        <w:ind w:left="1134" w:hanging="283"/>
        <w:contextualSpacing/>
        <w:rPr>
          <w:rFonts w:eastAsiaTheme="minorHAnsi"/>
          <w:b/>
          <w:i/>
        </w:rPr>
      </w:pPr>
      <w:r w:rsidRPr="00D0115B">
        <w:rPr>
          <w:rFonts w:eastAsiaTheme="minorHAnsi"/>
          <w:b/>
          <w:i/>
        </w:rPr>
        <w:t>Security for the loan will be offered via Parent Company Guarantee</w:t>
      </w:r>
      <w:r w:rsidR="00D0115B" w:rsidRPr="00D0115B">
        <w:rPr>
          <w:rFonts w:eastAsiaTheme="minorHAnsi"/>
          <w:b/>
          <w:i/>
        </w:rPr>
        <w:t>.</w:t>
      </w:r>
    </w:p>
    <w:p w:rsidR="000B24D9" w:rsidRPr="00D0115B" w:rsidRDefault="000B24D9" w:rsidP="005701D3">
      <w:pPr>
        <w:spacing w:after="200" w:line="276" w:lineRule="auto"/>
        <w:ind w:left="567" w:hanging="567"/>
        <w:rPr>
          <w:rFonts w:eastAsiaTheme="minorHAnsi"/>
          <w:b/>
          <w:i/>
        </w:rPr>
      </w:pPr>
    </w:p>
    <w:p w:rsidR="000B24D9" w:rsidRPr="005701D3" w:rsidRDefault="00D0115B" w:rsidP="005701D3">
      <w:pPr>
        <w:spacing w:after="200" w:line="276" w:lineRule="auto"/>
        <w:ind w:left="720" w:hanging="720"/>
        <w:rPr>
          <w:rFonts w:eastAsiaTheme="minorHAnsi"/>
        </w:rPr>
      </w:pPr>
      <w:r w:rsidRPr="005701D3">
        <w:rPr>
          <w:rFonts w:eastAsiaTheme="minorHAnsi"/>
          <w:b/>
        </w:rPr>
        <w:t>5.2</w:t>
      </w:r>
      <w:r w:rsidRPr="005701D3">
        <w:rPr>
          <w:rFonts w:eastAsiaTheme="minorHAnsi"/>
          <w:b/>
        </w:rPr>
        <w:tab/>
      </w:r>
      <w:r w:rsidR="000B24D9" w:rsidRPr="005701D3">
        <w:rPr>
          <w:rFonts w:eastAsiaTheme="minorHAnsi"/>
          <w:b/>
        </w:rPr>
        <w:t>Scheme description</w:t>
      </w:r>
      <w:r w:rsidR="000B24D9" w:rsidRPr="005701D3">
        <w:rPr>
          <w:rFonts w:eastAsiaTheme="minorHAnsi"/>
        </w:rPr>
        <w:t xml:space="preserve">: </w:t>
      </w:r>
      <w:r w:rsidRPr="005701D3">
        <w:rPr>
          <w:rFonts w:eastAsiaTheme="minorHAnsi"/>
        </w:rPr>
        <w:t xml:space="preserve">Blythe Business Park Extension will ultimately create 350,000 </w:t>
      </w:r>
      <w:proofErr w:type="spellStart"/>
      <w:r w:rsidRPr="005701D3">
        <w:rPr>
          <w:rFonts w:eastAsiaTheme="minorHAnsi"/>
        </w:rPr>
        <w:t>sq</w:t>
      </w:r>
      <w:proofErr w:type="spellEnd"/>
      <w:r w:rsidRPr="005701D3">
        <w:rPr>
          <w:rFonts w:eastAsiaTheme="minorHAnsi"/>
        </w:rPr>
        <w:t xml:space="preserve"> ft of commercial buildings and 168 (55 affordable) homes through an expansion of their existing site.</w:t>
      </w:r>
    </w:p>
    <w:p w:rsidR="000B24D9" w:rsidRPr="005701D3" w:rsidRDefault="000B24D9" w:rsidP="005701D3">
      <w:pPr>
        <w:spacing w:after="200" w:line="276" w:lineRule="auto"/>
        <w:ind w:left="709"/>
        <w:rPr>
          <w:rFonts w:eastAsiaTheme="minorHAnsi"/>
        </w:rPr>
      </w:pPr>
      <w:r w:rsidRPr="005701D3">
        <w:rPr>
          <w:rFonts w:eastAsiaTheme="minorHAnsi"/>
        </w:rPr>
        <w:t xml:space="preserve">The applicant </w:t>
      </w:r>
      <w:r w:rsidR="00D0115B" w:rsidRPr="005701D3">
        <w:rPr>
          <w:rFonts w:eastAsiaTheme="minorHAnsi"/>
        </w:rPr>
        <w:t>is applying for a Growing Places Fund loan to fund the S278 off site works to address the immediate infrastructure requirements to unlock the site</w:t>
      </w:r>
      <w:r w:rsidRPr="005701D3">
        <w:rPr>
          <w:rFonts w:eastAsiaTheme="minorHAnsi"/>
        </w:rPr>
        <w:t xml:space="preserve">.  </w:t>
      </w:r>
    </w:p>
    <w:p w:rsidR="000B24D9" w:rsidRPr="005701D3" w:rsidRDefault="000B24D9" w:rsidP="005701D3">
      <w:pPr>
        <w:spacing w:after="200" w:line="276" w:lineRule="auto"/>
        <w:ind w:left="709"/>
        <w:rPr>
          <w:rFonts w:eastAsiaTheme="minorHAnsi"/>
        </w:rPr>
      </w:pPr>
      <w:r w:rsidRPr="005701D3">
        <w:rPr>
          <w:rFonts w:eastAsiaTheme="minorHAnsi"/>
          <w:b/>
        </w:rPr>
        <w:t>Scheme outputs</w:t>
      </w:r>
      <w:r w:rsidRPr="005701D3">
        <w:rPr>
          <w:rFonts w:eastAsiaTheme="minorHAnsi"/>
        </w:rPr>
        <w:t xml:space="preserve">: Expansion will create </w:t>
      </w:r>
      <w:r w:rsidR="00D0115B" w:rsidRPr="005701D3">
        <w:rPr>
          <w:rFonts w:eastAsiaTheme="minorHAnsi"/>
        </w:rPr>
        <w:t>3</w:t>
      </w:r>
      <w:r w:rsidRPr="005701D3">
        <w:rPr>
          <w:rFonts w:eastAsiaTheme="minorHAnsi"/>
        </w:rPr>
        <w:t>50</w:t>
      </w:r>
      <w:r w:rsidR="00D0115B" w:rsidRPr="005701D3">
        <w:rPr>
          <w:rFonts w:eastAsiaTheme="minorHAnsi"/>
        </w:rPr>
        <w:t xml:space="preserve">,000 </w:t>
      </w:r>
      <w:proofErr w:type="spellStart"/>
      <w:r w:rsidR="00D0115B" w:rsidRPr="005701D3">
        <w:rPr>
          <w:rFonts w:eastAsiaTheme="minorHAnsi"/>
        </w:rPr>
        <w:t>sq</w:t>
      </w:r>
      <w:proofErr w:type="spellEnd"/>
      <w:r w:rsidR="00D0115B" w:rsidRPr="005701D3">
        <w:rPr>
          <w:rFonts w:eastAsiaTheme="minorHAnsi"/>
        </w:rPr>
        <w:t xml:space="preserve"> ft commercial space, 168 (55 affordable) homes</w:t>
      </w:r>
      <w:r w:rsidRPr="005701D3">
        <w:rPr>
          <w:rFonts w:eastAsiaTheme="minorHAnsi"/>
        </w:rPr>
        <w:t>.</w:t>
      </w:r>
    </w:p>
    <w:p w:rsidR="000B24D9" w:rsidRPr="005701D3" w:rsidRDefault="000B24D9" w:rsidP="005701D3">
      <w:pPr>
        <w:spacing w:after="200" w:line="276" w:lineRule="auto"/>
        <w:ind w:left="709"/>
        <w:rPr>
          <w:rFonts w:eastAsiaTheme="minorHAnsi"/>
        </w:rPr>
      </w:pPr>
      <w:r w:rsidRPr="005701D3">
        <w:rPr>
          <w:rFonts w:eastAsiaTheme="minorHAnsi"/>
          <w:b/>
        </w:rPr>
        <w:t>Scheme outcomes</w:t>
      </w:r>
      <w:r w:rsidRPr="005701D3">
        <w:rPr>
          <w:rFonts w:eastAsiaTheme="minorHAnsi"/>
        </w:rPr>
        <w:t xml:space="preserve">: </w:t>
      </w:r>
      <w:r w:rsidR="00D0115B" w:rsidRPr="005701D3">
        <w:rPr>
          <w:rFonts w:eastAsiaTheme="minorHAnsi"/>
        </w:rPr>
        <w:t>Expansion will create upwards of 450 indirect FTEs</w:t>
      </w:r>
      <w:r w:rsidRPr="005701D3">
        <w:rPr>
          <w:rFonts w:eastAsiaTheme="minorHAnsi"/>
        </w:rPr>
        <w:t>.</w:t>
      </w:r>
    </w:p>
    <w:p w:rsidR="000B24D9" w:rsidRPr="005701D3" w:rsidRDefault="000B24D9" w:rsidP="005701D3">
      <w:pPr>
        <w:spacing w:after="200" w:line="276" w:lineRule="auto"/>
        <w:ind w:left="709"/>
        <w:rPr>
          <w:rFonts w:eastAsiaTheme="minorHAnsi"/>
        </w:rPr>
      </w:pPr>
      <w:r w:rsidRPr="005701D3">
        <w:rPr>
          <w:rFonts w:eastAsiaTheme="minorHAnsi"/>
          <w:b/>
        </w:rPr>
        <w:t>Requested GPF investment</w:t>
      </w:r>
      <w:r w:rsidRPr="005701D3">
        <w:rPr>
          <w:rFonts w:eastAsiaTheme="minorHAnsi"/>
        </w:rPr>
        <w:t xml:space="preserve">: </w:t>
      </w:r>
      <w:r w:rsidRPr="005701D3">
        <w:rPr>
          <w:rFonts w:eastAsiaTheme="minorHAnsi"/>
          <w:b/>
          <w:u w:val="single"/>
        </w:rPr>
        <w:t>£</w:t>
      </w:r>
      <w:r w:rsidR="00D0115B" w:rsidRPr="005701D3">
        <w:rPr>
          <w:rFonts w:eastAsiaTheme="minorHAnsi"/>
          <w:b/>
          <w:u w:val="single"/>
        </w:rPr>
        <w:t>1.4M</w:t>
      </w:r>
      <w:r w:rsidRPr="005701D3">
        <w:rPr>
          <w:rFonts w:eastAsiaTheme="minorHAnsi"/>
        </w:rPr>
        <w:t xml:space="preserve"> (5</w:t>
      </w:r>
      <w:r w:rsidR="00D0115B" w:rsidRPr="005701D3">
        <w:rPr>
          <w:rFonts w:eastAsiaTheme="minorHAnsi"/>
        </w:rPr>
        <w:t>2</w:t>
      </w:r>
      <w:r w:rsidRPr="005701D3">
        <w:rPr>
          <w:rFonts w:eastAsiaTheme="minorHAnsi"/>
        </w:rPr>
        <w:t>% of total</w:t>
      </w:r>
      <w:r w:rsidR="00D0115B" w:rsidRPr="005701D3">
        <w:rPr>
          <w:rFonts w:eastAsiaTheme="minorHAnsi"/>
        </w:rPr>
        <w:t xml:space="preserve"> infrastructure phase of</w:t>
      </w:r>
      <w:r w:rsidRPr="005701D3">
        <w:rPr>
          <w:rFonts w:eastAsiaTheme="minorHAnsi"/>
        </w:rPr>
        <w:t xml:space="preserve"> scheme)</w:t>
      </w:r>
    </w:p>
    <w:p w:rsidR="000B24D9" w:rsidRPr="005701D3" w:rsidRDefault="000B24D9" w:rsidP="005701D3">
      <w:pPr>
        <w:spacing w:after="200" w:line="276" w:lineRule="auto"/>
        <w:ind w:left="709"/>
        <w:rPr>
          <w:rFonts w:eastAsiaTheme="minorHAnsi"/>
        </w:rPr>
      </w:pPr>
    </w:p>
    <w:p w:rsidR="00D5439F" w:rsidRDefault="00D5439F" w:rsidP="005701D3">
      <w:pPr>
        <w:pStyle w:val="ListParagraph"/>
        <w:numPr>
          <w:ilvl w:val="0"/>
          <w:numId w:val="19"/>
        </w:numPr>
        <w:spacing w:after="200" w:line="276" w:lineRule="auto"/>
        <w:rPr>
          <w:rFonts w:eastAsiaTheme="minorHAnsi"/>
          <w:b/>
        </w:rPr>
      </w:pPr>
      <w:r>
        <w:rPr>
          <w:rFonts w:eastAsiaTheme="minorHAnsi"/>
          <w:b/>
        </w:rPr>
        <w:t>Canalside Farm</w:t>
      </w:r>
      <w:r w:rsidRPr="00D5439F">
        <w:rPr>
          <w:rFonts w:eastAsiaTheme="minorHAnsi"/>
          <w:b/>
        </w:rPr>
        <w:t xml:space="preserve"> Business Park Extension</w:t>
      </w:r>
    </w:p>
    <w:p w:rsidR="00D5439F" w:rsidRPr="00D5439F" w:rsidRDefault="00D5439F" w:rsidP="005701D3">
      <w:pPr>
        <w:pStyle w:val="ListParagraph"/>
        <w:spacing w:after="200" w:line="276" w:lineRule="auto"/>
        <w:rPr>
          <w:rFonts w:eastAsiaTheme="minorHAnsi"/>
          <w:b/>
        </w:rPr>
      </w:pPr>
    </w:p>
    <w:p w:rsidR="00D5439F" w:rsidRDefault="00D5439F" w:rsidP="005701D3">
      <w:pPr>
        <w:pStyle w:val="ListParagraph"/>
        <w:numPr>
          <w:ilvl w:val="1"/>
          <w:numId w:val="19"/>
        </w:numPr>
        <w:spacing w:line="276" w:lineRule="auto"/>
      </w:pPr>
      <w:r>
        <w:t>On</w:t>
      </w:r>
      <w:r w:rsidRPr="00D5439F">
        <w:t xml:space="preserve"> 13th December 2018</w:t>
      </w:r>
      <w:r>
        <w:t>, t</w:t>
      </w:r>
      <w:r w:rsidRPr="000B24D9">
        <w:t xml:space="preserve">he </w:t>
      </w:r>
      <w:r>
        <w:t>LEP Executive Board approved the issue of a Growing Places fund loan</w:t>
      </w:r>
      <w:r w:rsidRPr="000B24D9">
        <w:t xml:space="preserve"> </w:t>
      </w:r>
      <w:r w:rsidR="00665957">
        <w:t xml:space="preserve">for £300,000 </w:t>
      </w:r>
      <w:r>
        <w:t xml:space="preserve">to Canalside Farm, Great Haywood, </w:t>
      </w:r>
      <w:r w:rsidRPr="00D5439F">
        <w:t>subject to the satisfactory completion of the final elements of the legal funding agreements which govern loan security.</w:t>
      </w:r>
    </w:p>
    <w:p w:rsidR="00D5439F" w:rsidRDefault="00D5439F" w:rsidP="005701D3">
      <w:pPr>
        <w:pStyle w:val="ListParagraph"/>
        <w:numPr>
          <w:ilvl w:val="1"/>
          <w:numId w:val="19"/>
        </w:numPr>
        <w:spacing w:line="276" w:lineRule="auto"/>
      </w:pPr>
      <w:proofErr w:type="gramStart"/>
      <w:r>
        <w:t>In the course of</w:t>
      </w:r>
      <w:proofErr w:type="gramEnd"/>
      <w:r>
        <w:t xml:space="preserve"> establishing the security as dictated above, the property was valued in 2015 at £1,450,000</w:t>
      </w:r>
      <w:r w:rsidR="00665957">
        <w:t xml:space="preserve">.  The lenders Lloyds bank originally requested priority of £1,500,000 which left insufficient equity to provide security for the second charge which GPF would register.  Lloyds have since agreed to reduce their priority to £1,200,000.  This leaves a shortfall </w:t>
      </w:r>
      <w:r w:rsidR="00665957">
        <w:lastRenderedPageBreak/>
        <w:t xml:space="preserve">of £50,000.  On the request of the LEP chair, GPF panel member and chair James Leavesley and Mohammed Ahmed were asked for their view on the risk.  Having carried out a site visit, the panel members have </w:t>
      </w:r>
      <w:r w:rsidR="005701D3">
        <w:t>offered their</w:t>
      </w:r>
      <w:r w:rsidR="00665957">
        <w:t xml:space="preserve"> recommendation to contract on the basis that there is </w:t>
      </w:r>
      <w:proofErr w:type="gramStart"/>
      <w:r w:rsidR="00665957">
        <w:t>sufficient</w:t>
      </w:r>
      <w:proofErr w:type="gramEnd"/>
      <w:r w:rsidR="00665957">
        <w:t xml:space="preserve"> latent value in the site (fixtures and fittings etc) to cover the £50,000 shortfall.</w:t>
      </w:r>
    </w:p>
    <w:p w:rsidR="005701D3" w:rsidRDefault="005701D3" w:rsidP="005701D3">
      <w:pPr>
        <w:spacing w:line="276" w:lineRule="auto"/>
      </w:pPr>
    </w:p>
    <w:p w:rsidR="005701D3" w:rsidRDefault="005701D3" w:rsidP="005701D3">
      <w:pPr>
        <w:spacing w:line="276" w:lineRule="auto"/>
      </w:pPr>
    </w:p>
    <w:p w:rsidR="00665957" w:rsidRDefault="00665957" w:rsidP="005701D3">
      <w:pPr>
        <w:pStyle w:val="ListParagraph"/>
        <w:spacing w:line="276" w:lineRule="auto"/>
        <w:ind w:left="1080"/>
      </w:pPr>
    </w:p>
    <w:p w:rsidR="00665957" w:rsidRDefault="00665957" w:rsidP="005701D3">
      <w:pPr>
        <w:pStyle w:val="ListParagraph"/>
        <w:numPr>
          <w:ilvl w:val="0"/>
          <w:numId w:val="19"/>
        </w:numPr>
        <w:spacing w:after="200" w:line="276" w:lineRule="auto"/>
        <w:rPr>
          <w:b/>
        </w:rPr>
      </w:pPr>
      <w:r w:rsidRPr="00665957">
        <w:rPr>
          <w:b/>
        </w:rPr>
        <w:t>Re</w:t>
      </w:r>
      <w:r>
        <w:rPr>
          <w:b/>
        </w:rPr>
        <w:t>quest for Authorisation</w:t>
      </w:r>
    </w:p>
    <w:p w:rsidR="00665957" w:rsidRPr="00665957" w:rsidRDefault="00665957" w:rsidP="005701D3">
      <w:pPr>
        <w:pStyle w:val="ListParagraph"/>
        <w:spacing w:after="200" w:line="276" w:lineRule="auto"/>
        <w:rPr>
          <w:b/>
        </w:rPr>
      </w:pPr>
    </w:p>
    <w:p w:rsidR="00665957" w:rsidRPr="000B24D9" w:rsidRDefault="00665957" w:rsidP="005701D3">
      <w:pPr>
        <w:pStyle w:val="ListParagraph"/>
        <w:numPr>
          <w:ilvl w:val="1"/>
          <w:numId w:val="19"/>
        </w:numPr>
        <w:spacing w:after="200" w:line="276" w:lineRule="auto"/>
      </w:pPr>
      <w:r w:rsidRPr="000B24D9">
        <w:t xml:space="preserve">The </w:t>
      </w:r>
      <w:r>
        <w:t xml:space="preserve">budget-holder requests authorisation from the SSLEP board to support the recommendation of the GPF panel members that the value in the site is sufficient to cover the £50,000 shortfall in </w:t>
      </w:r>
      <w:r w:rsidR="00A837C5">
        <w:t>GPF loan to equity value</w:t>
      </w:r>
      <w:r w:rsidR="005701D3">
        <w:t xml:space="preserve"> to allow the completion of the contracting of the loan</w:t>
      </w:r>
      <w:r w:rsidR="00A837C5">
        <w:t>.</w:t>
      </w:r>
    </w:p>
    <w:p w:rsidR="00885774" w:rsidRPr="00D0115B" w:rsidRDefault="00885774" w:rsidP="005701D3">
      <w:pPr>
        <w:rPr>
          <w:color w:val="FF0000"/>
        </w:rPr>
      </w:pPr>
    </w:p>
    <w:sectPr w:rsidR="00885774" w:rsidRPr="00D011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014" w:rsidRDefault="00C55014" w:rsidP="00606714">
      <w:r>
        <w:separator/>
      </w:r>
    </w:p>
  </w:endnote>
  <w:endnote w:type="continuationSeparator" w:id="0">
    <w:p w:rsidR="00C55014" w:rsidRDefault="00C55014" w:rsidP="0060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14" w:rsidRDefault="00C55014">
    <w:pPr>
      <w:pStyle w:val="Footer"/>
    </w:pPr>
  </w:p>
  <w:p w:rsidR="00C55014" w:rsidRDefault="00C5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014" w:rsidRDefault="00C55014" w:rsidP="00606714">
      <w:r>
        <w:separator/>
      </w:r>
    </w:p>
  </w:footnote>
  <w:footnote w:type="continuationSeparator" w:id="0">
    <w:p w:rsidR="00C55014" w:rsidRDefault="00C55014" w:rsidP="0060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14" w:rsidRPr="0079135F" w:rsidRDefault="00C55014" w:rsidP="0079135F">
    <w:pPr>
      <w:pStyle w:val="Header"/>
      <w:jc w:val="right"/>
      <w:rPr>
        <w:b/>
      </w:rPr>
    </w:pPr>
    <w:r w:rsidRPr="0079135F">
      <w:rPr>
        <w:b/>
      </w:rPr>
      <w:t>Item 10</w:t>
    </w:r>
  </w:p>
  <w:p w:rsidR="00C55014" w:rsidRDefault="00C55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7E"/>
    <w:multiLevelType w:val="hybridMultilevel"/>
    <w:tmpl w:val="5B787352"/>
    <w:lvl w:ilvl="0" w:tplc="FF40CD7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1920"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FC6D86"/>
    <w:multiLevelType w:val="multilevel"/>
    <w:tmpl w:val="EEBAE7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8105E"/>
    <w:multiLevelType w:val="multilevel"/>
    <w:tmpl w:val="252A2FD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sz w:val="22"/>
      </w:rPr>
    </w:lvl>
    <w:lvl w:ilvl="2">
      <w:start w:val="1"/>
      <w:numFmt w:val="decimal"/>
      <w:isLgl/>
      <w:lvlText w:val="%1.%2.%3"/>
      <w:lvlJc w:val="left"/>
      <w:pPr>
        <w:ind w:left="1080" w:hanging="720"/>
      </w:pPr>
      <w:rPr>
        <w:rFonts w:eastAsiaTheme="minorHAnsi" w:hint="default"/>
        <w:sz w:val="22"/>
      </w:rPr>
    </w:lvl>
    <w:lvl w:ilvl="3">
      <w:start w:val="1"/>
      <w:numFmt w:val="decimal"/>
      <w:isLgl/>
      <w:lvlText w:val="%1.%2.%3.%4"/>
      <w:lvlJc w:val="left"/>
      <w:pPr>
        <w:ind w:left="1440" w:hanging="108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800" w:hanging="1440"/>
      </w:pPr>
      <w:rPr>
        <w:rFonts w:eastAsiaTheme="minorHAnsi" w:hint="default"/>
        <w:sz w:val="22"/>
      </w:rPr>
    </w:lvl>
    <w:lvl w:ilvl="6">
      <w:start w:val="1"/>
      <w:numFmt w:val="decimal"/>
      <w:isLgl/>
      <w:lvlText w:val="%1.%2.%3.%4.%5.%6.%7"/>
      <w:lvlJc w:val="left"/>
      <w:pPr>
        <w:ind w:left="1800" w:hanging="1440"/>
      </w:pPr>
      <w:rPr>
        <w:rFonts w:eastAsiaTheme="minorHAnsi" w:hint="default"/>
        <w:sz w:val="22"/>
      </w:rPr>
    </w:lvl>
    <w:lvl w:ilvl="7">
      <w:start w:val="1"/>
      <w:numFmt w:val="decimal"/>
      <w:isLgl/>
      <w:lvlText w:val="%1.%2.%3.%4.%5.%6.%7.%8"/>
      <w:lvlJc w:val="left"/>
      <w:pPr>
        <w:ind w:left="2160" w:hanging="1800"/>
      </w:pPr>
      <w:rPr>
        <w:rFonts w:eastAsiaTheme="minorHAnsi" w:hint="default"/>
        <w:sz w:val="22"/>
      </w:rPr>
    </w:lvl>
    <w:lvl w:ilvl="8">
      <w:start w:val="1"/>
      <w:numFmt w:val="decimal"/>
      <w:isLgl/>
      <w:lvlText w:val="%1.%2.%3.%4.%5.%6.%7.%8.%9"/>
      <w:lvlJc w:val="left"/>
      <w:pPr>
        <w:ind w:left="2160" w:hanging="1800"/>
      </w:pPr>
      <w:rPr>
        <w:rFonts w:eastAsiaTheme="minorHAnsi" w:hint="default"/>
        <w:sz w:val="22"/>
      </w:rPr>
    </w:lvl>
  </w:abstractNum>
  <w:abstractNum w:abstractNumId="3" w15:restartNumberingAfterBreak="0">
    <w:nsid w:val="07A61895"/>
    <w:multiLevelType w:val="hybridMultilevel"/>
    <w:tmpl w:val="345E8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33E46"/>
    <w:multiLevelType w:val="hybridMultilevel"/>
    <w:tmpl w:val="1B26EBF2"/>
    <w:lvl w:ilvl="0" w:tplc="6088A3CE">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6088A3CE">
      <w:start w:val="1"/>
      <w:numFmt w:val="bullet"/>
      <w:lvlText w:val="o"/>
      <w:lvlJc w:val="left"/>
      <w:pPr>
        <w:tabs>
          <w:tab w:val="num" w:pos="3600"/>
        </w:tabs>
        <w:ind w:left="3600" w:hanging="360"/>
      </w:pPr>
      <w:rPr>
        <w:rFonts w:ascii="Courier New" w:hAnsi="Courier New"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FC2606"/>
    <w:multiLevelType w:val="hybridMultilevel"/>
    <w:tmpl w:val="4C32918C"/>
    <w:lvl w:ilvl="0" w:tplc="82AED8DE">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B9F480C"/>
    <w:multiLevelType w:val="multilevel"/>
    <w:tmpl w:val="D30C104C"/>
    <w:lvl w:ilvl="0">
      <w:start w:val="3"/>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DBA1CDE"/>
    <w:multiLevelType w:val="hybridMultilevel"/>
    <w:tmpl w:val="3A8EA9B6"/>
    <w:lvl w:ilvl="0" w:tplc="D1928904">
      <w:start w:val="1"/>
      <w:numFmt w:val="bullet"/>
      <w:lvlText w:val=""/>
      <w:lvlJc w:val="left"/>
      <w:pPr>
        <w:tabs>
          <w:tab w:val="num" w:pos="2160"/>
        </w:tabs>
        <w:ind w:left="2160" w:hanging="360"/>
      </w:pPr>
      <w:rPr>
        <w:rFonts w:ascii="Symbol" w:hAnsi="Symbol" w:hint="default"/>
        <w:color w:val="auto"/>
        <w:u w:color="FF0000"/>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D1083C"/>
    <w:multiLevelType w:val="multilevel"/>
    <w:tmpl w:val="28FCA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6A3C11"/>
    <w:multiLevelType w:val="hybridMultilevel"/>
    <w:tmpl w:val="93B85F4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B75"/>
    <w:multiLevelType w:val="multilevel"/>
    <w:tmpl w:val="6F7C43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E414B0"/>
    <w:multiLevelType w:val="multilevel"/>
    <w:tmpl w:val="ADA2C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185990"/>
    <w:multiLevelType w:val="hybridMultilevel"/>
    <w:tmpl w:val="C292F5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B3213D9"/>
    <w:multiLevelType w:val="hybridMultilevel"/>
    <w:tmpl w:val="AEC2D1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1920"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39E2032"/>
    <w:multiLevelType w:val="hybridMultilevel"/>
    <w:tmpl w:val="90AC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A263D"/>
    <w:multiLevelType w:val="hybridMultilevel"/>
    <w:tmpl w:val="5FBAD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613082"/>
    <w:multiLevelType w:val="hybridMultilevel"/>
    <w:tmpl w:val="580E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D2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C6CC5"/>
    <w:multiLevelType w:val="multilevel"/>
    <w:tmpl w:val="276A98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2"/>
  </w:num>
  <w:num w:numId="4">
    <w:abstractNumId w:val="4"/>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3"/>
  </w:num>
  <w:num w:numId="10">
    <w:abstractNumId w:val="6"/>
  </w:num>
  <w:num w:numId="11">
    <w:abstractNumId w:val="13"/>
  </w:num>
  <w:num w:numId="12">
    <w:abstractNumId w:val="10"/>
  </w:num>
  <w:num w:numId="13">
    <w:abstractNumId w:val="8"/>
  </w:num>
  <w:num w:numId="14">
    <w:abstractNumId w:val="0"/>
  </w:num>
  <w:num w:numId="15">
    <w:abstractNumId w:val="18"/>
  </w:num>
  <w:num w:numId="16">
    <w:abstractNumId w:val="1"/>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0D"/>
    <w:rsid w:val="00003AE4"/>
    <w:rsid w:val="0001664F"/>
    <w:rsid w:val="000670AE"/>
    <w:rsid w:val="000B24D9"/>
    <w:rsid w:val="00165CAE"/>
    <w:rsid w:val="001C586A"/>
    <w:rsid w:val="001E002B"/>
    <w:rsid w:val="001F5DCE"/>
    <w:rsid w:val="002146B7"/>
    <w:rsid w:val="00216210"/>
    <w:rsid w:val="002E4CC8"/>
    <w:rsid w:val="002F65A8"/>
    <w:rsid w:val="00302B7F"/>
    <w:rsid w:val="003A3684"/>
    <w:rsid w:val="00416B5B"/>
    <w:rsid w:val="00443ADC"/>
    <w:rsid w:val="0044432B"/>
    <w:rsid w:val="004650F0"/>
    <w:rsid w:val="004C1F71"/>
    <w:rsid w:val="004D0EC1"/>
    <w:rsid w:val="005701D3"/>
    <w:rsid w:val="005A4CA1"/>
    <w:rsid w:val="005A7939"/>
    <w:rsid w:val="006013A3"/>
    <w:rsid w:val="00606714"/>
    <w:rsid w:val="00635CB1"/>
    <w:rsid w:val="00636873"/>
    <w:rsid w:val="00636A0A"/>
    <w:rsid w:val="00652EBE"/>
    <w:rsid w:val="00665957"/>
    <w:rsid w:val="006712DC"/>
    <w:rsid w:val="007303D6"/>
    <w:rsid w:val="00761970"/>
    <w:rsid w:val="0079135F"/>
    <w:rsid w:val="007F4E82"/>
    <w:rsid w:val="007F7E8A"/>
    <w:rsid w:val="00885264"/>
    <w:rsid w:val="00885774"/>
    <w:rsid w:val="008C2C6A"/>
    <w:rsid w:val="00962C60"/>
    <w:rsid w:val="00984F8F"/>
    <w:rsid w:val="009B427B"/>
    <w:rsid w:val="009C3733"/>
    <w:rsid w:val="00A416DE"/>
    <w:rsid w:val="00A57447"/>
    <w:rsid w:val="00A837C5"/>
    <w:rsid w:val="00AF0270"/>
    <w:rsid w:val="00B9094D"/>
    <w:rsid w:val="00BE01BA"/>
    <w:rsid w:val="00BE3E52"/>
    <w:rsid w:val="00BE7D0D"/>
    <w:rsid w:val="00BF7E10"/>
    <w:rsid w:val="00C23AA5"/>
    <w:rsid w:val="00C413BE"/>
    <w:rsid w:val="00C508DE"/>
    <w:rsid w:val="00C52A87"/>
    <w:rsid w:val="00C55014"/>
    <w:rsid w:val="00C74C43"/>
    <w:rsid w:val="00CD4037"/>
    <w:rsid w:val="00CF0FE4"/>
    <w:rsid w:val="00D0115B"/>
    <w:rsid w:val="00D46A52"/>
    <w:rsid w:val="00D5439F"/>
    <w:rsid w:val="00DA649D"/>
    <w:rsid w:val="00E03CC0"/>
    <w:rsid w:val="00E26BB9"/>
    <w:rsid w:val="00EF472C"/>
    <w:rsid w:val="00EF6BF8"/>
    <w:rsid w:val="00F27A64"/>
    <w:rsid w:val="00F66003"/>
    <w:rsid w:val="00F779AA"/>
    <w:rsid w:val="00F8034F"/>
    <w:rsid w:val="00FA09BD"/>
    <w:rsid w:val="00FB666F"/>
    <w:rsid w:val="00FF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3BA87"/>
  <w15:docId w15:val="{8708D43B-2B5C-4235-88D9-C73B96C6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D0D"/>
    <w:pPr>
      <w:spacing w:after="0" w:line="240" w:lineRule="auto"/>
    </w:pPr>
    <w:rPr>
      <w:rFonts w:eastAsia="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60"/>
    <w:pPr>
      <w:ind w:left="720"/>
      <w:contextualSpacing/>
    </w:pPr>
  </w:style>
  <w:style w:type="paragraph" w:styleId="Header">
    <w:name w:val="header"/>
    <w:basedOn w:val="Normal"/>
    <w:link w:val="HeaderChar"/>
    <w:uiPriority w:val="99"/>
    <w:unhideWhenUsed/>
    <w:rsid w:val="00606714"/>
    <w:pPr>
      <w:tabs>
        <w:tab w:val="center" w:pos="4513"/>
        <w:tab w:val="right" w:pos="9026"/>
      </w:tabs>
    </w:pPr>
  </w:style>
  <w:style w:type="character" w:customStyle="1" w:styleId="HeaderChar">
    <w:name w:val="Header Char"/>
    <w:basedOn w:val="DefaultParagraphFont"/>
    <w:link w:val="Header"/>
    <w:uiPriority w:val="99"/>
    <w:rsid w:val="00606714"/>
    <w:rPr>
      <w:rFonts w:eastAsia="Calibri" w:cs="Arial"/>
      <w:szCs w:val="24"/>
    </w:rPr>
  </w:style>
  <w:style w:type="paragraph" w:styleId="Footer">
    <w:name w:val="footer"/>
    <w:basedOn w:val="Normal"/>
    <w:link w:val="FooterChar"/>
    <w:uiPriority w:val="99"/>
    <w:unhideWhenUsed/>
    <w:rsid w:val="00606714"/>
    <w:pPr>
      <w:tabs>
        <w:tab w:val="center" w:pos="4513"/>
        <w:tab w:val="right" w:pos="9026"/>
      </w:tabs>
    </w:pPr>
  </w:style>
  <w:style w:type="character" w:customStyle="1" w:styleId="FooterChar">
    <w:name w:val="Footer Char"/>
    <w:basedOn w:val="DefaultParagraphFont"/>
    <w:link w:val="Footer"/>
    <w:uiPriority w:val="99"/>
    <w:rsid w:val="00606714"/>
    <w:rPr>
      <w:rFonts w:eastAsia="Calibri" w:cs="Arial"/>
      <w:szCs w:val="24"/>
    </w:rPr>
  </w:style>
  <w:style w:type="paragraph" w:styleId="BalloonText">
    <w:name w:val="Balloon Text"/>
    <w:basedOn w:val="Normal"/>
    <w:link w:val="BalloonTextChar"/>
    <w:uiPriority w:val="99"/>
    <w:semiHidden/>
    <w:unhideWhenUsed/>
    <w:rsid w:val="00606714"/>
    <w:rPr>
      <w:rFonts w:ascii="Tahoma" w:hAnsi="Tahoma" w:cs="Tahoma"/>
      <w:sz w:val="16"/>
      <w:szCs w:val="16"/>
    </w:rPr>
  </w:style>
  <w:style w:type="character" w:customStyle="1" w:styleId="BalloonTextChar">
    <w:name w:val="Balloon Text Char"/>
    <w:basedOn w:val="DefaultParagraphFont"/>
    <w:link w:val="BalloonText"/>
    <w:uiPriority w:val="99"/>
    <w:semiHidden/>
    <w:rsid w:val="00606714"/>
    <w:rPr>
      <w:rFonts w:ascii="Tahoma" w:eastAsia="Calibri" w:hAnsi="Tahoma" w:cs="Tahoma"/>
      <w:sz w:val="16"/>
      <w:szCs w:val="16"/>
    </w:rPr>
  </w:style>
  <w:style w:type="character" w:styleId="CommentReference">
    <w:name w:val="annotation reference"/>
    <w:basedOn w:val="DefaultParagraphFont"/>
    <w:uiPriority w:val="99"/>
    <w:semiHidden/>
    <w:unhideWhenUsed/>
    <w:rsid w:val="00A57447"/>
    <w:rPr>
      <w:sz w:val="16"/>
      <w:szCs w:val="16"/>
    </w:rPr>
  </w:style>
  <w:style w:type="paragraph" w:styleId="CommentText">
    <w:name w:val="annotation text"/>
    <w:basedOn w:val="Normal"/>
    <w:link w:val="CommentTextChar"/>
    <w:uiPriority w:val="99"/>
    <w:semiHidden/>
    <w:unhideWhenUsed/>
    <w:rsid w:val="00A57447"/>
    <w:rPr>
      <w:sz w:val="20"/>
      <w:szCs w:val="20"/>
    </w:rPr>
  </w:style>
  <w:style w:type="character" w:customStyle="1" w:styleId="CommentTextChar">
    <w:name w:val="Comment Text Char"/>
    <w:basedOn w:val="DefaultParagraphFont"/>
    <w:link w:val="CommentText"/>
    <w:uiPriority w:val="99"/>
    <w:semiHidden/>
    <w:rsid w:val="00A57447"/>
    <w:rPr>
      <w:rFonts w:eastAsia="Calibri" w:cs="Arial"/>
      <w:sz w:val="20"/>
      <w:szCs w:val="20"/>
    </w:rPr>
  </w:style>
  <w:style w:type="paragraph" w:styleId="CommentSubject">
    <w:name w:val="annotation subject"/>
    <w:basedOn w:val="CommentText"/>
    <w:next w:val="CommentText"/>
    <w:link w:val="CommentSubjectChar"/>
    <w:uiPriority w:val="99"/>
    <w:semiHidden/>
    <w:unhideWhenUsed/>
    <w:rsid w:val="00A57447"/>
    <w:rPr>
      <w:b/>
      <w:bCs/>
    </w:rPr>
  </w:style>
  <w:style w:type="character" w:customStyle="1" w:styleId="CommentSubjectChar">
    <w:name w:val="Comment Subject Char"/>
    <w:basedOn w:val="CommentTextChar"/>
    <w:link w:val="CommentSubject"/>
    <w:uiPriority w:val="99"/>
    <w:semiHidden/>
    <w:rsid w:val="00A57447"/>
    <w:rPr>
      <w:rFonts w:eastAsia="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075">
      <w:bodyDiv w:val="1"/>
      <w:marLeft w:val="0"/>
      <w:marRight w:val="0"/>
      <w:marTop w:val="0"/>
      <w:marBottom w:val="0"/>
      <w:divBdr>
        <w:top w:val="none" w:sz="0" w:space="0" w:color="auto"/>
        <w:left w:val="none" w:sz="0" w:space="0" w:color="auto"/>
        <w:bottom w:val="none" w:sz="0" w:space="0" w:color="auto"/>
        <w:right w:val="none" w:sz="0" w:space="0" w:color="auto"/>
      </w:divBdr>
    </w:div>
    <w:div w:id="822282529">
      <w:bodyDiv w:val="1"/>
      <w:marLeft w:val="0"/>
      <w:marRight w:val="0"/>
      <w:marTop w:val="0"/>
      <w:marBottom w:val="0"/>
      <w:divBdr>
        <w:top w:val="none" w:sz="0" w:space="0" w:color="auto"/>
        <w:left w:val="none" w:sz="0" w:space="0" w:color="auto"/>
        <w:bottom w:val="none" w:sz="0" w:space="0" w:color="auto"/>
        <w:right w:val="none" w:sz="0" w:space="0" w:color="auto"/>
      </w:divBdr>
    </w:div>
    <w:div w:id="851577166">
      <w:bodyDiv w:val="1"/>
      <w:marLeft w:val="0"/>
      <w:marRight w:val="0"/>
      <w:marTop w:val="0"/>
      <w:marBottom w:val="0"/>
      <w:divBdr>
        <w:top w:val="none" w:sz="0" w:space="0" w:color="auto"/>
        <w:left w:val="none" w:sz="0" w:space="0" w:color="auto"/>
        <w:bottom w:val="none" w:sz="0" w:space="0" w:color="auto"/>
        <w:right w:val="none" w:sz="0" w:space="0" w:color="auto"/>
      </w:divBdr>
    </w:div>
    <w:div w:id="1063523537">
      <w:bodyDiv w:val="1"/>
      <w:marLeft w:val="0"/>
      <w:marRight w:val="0"/>
      <w:marTop w:val="0"/>
      <w:marBottom w:val="0"/>
      <w:divBdr>
        <w:top w:val="none" w:sz="0" w:space="0" w:color="auto"/>
        <w:left w:val="none" w:sz="0" w:space="0" w:color="auto"/>
        <w:bottom w:val="none" w:sz="0" w:space="0" w:color="auto"/>
        <w:right w:val="none" w:sz="0" w:space="0" w:color="auto"/>
      </w:divBdr>
    </w:div>
    <w:div w:id="1134062866">
      <w:bodyDiv w:val="1"/>
      <w:marLeft w:val="0"/>
      <w:marRight w:val="0"/>
      <w:marTop w:val="0"/>
      <w:marBottom w:val="0"/>
      <w:divBdr>
        <w:top w:val="none" w:sz="0" w:space="0" w:color="auto"/>
        <w:left w:val="none" w:sz="0" w:space="0" w:color="auto"/>
        <w:bottom w:val="none" w:sz="0" w:space="0" w:color="auto"/>
        <w:right w:val="none" w:sz="0" w:space="0" w:color="auto"/>
      </w:divBdr>
    </w:div>
    <w:div w:id="1422528211">
      <w:bodyDiv w:val="1"/>
      <w:marLeft w:val="0"/>
      <w:marRight w:val="0"/>
      <w:marTop w:val="0"/>
      <w:marBottom w:val="0"/>
      <w:divBdr>
        <w:top w:val="none" w:sz="0" w:space="0" w:color="auto"/>
        <w:left w:val="none" w:sz="0" w:space="0" w:color="auto"/>
        <w:bottom w:val="none" w:sz="0" w:space="0" w:color="auto"/>
        <w:right w:val="none" w:sz="0" w:space="0" w:color="auto"/>
      </w:divBdr>
    </w:div>
    <w:div w:id="1428959013">
      <w:bodyDiv w:val="1"/>
      <w:marLeft w:val="0"/>
      <w:marRight w:val="0"/>
      <w:marTop w:val="0"/>
      <w:marBottom w:val="0"/>
      <w:divBdr>
        <w:top w:val="none" w:sz="0" w:space="0" w:color="auto"/>
        <w:left w:val="none" w:sz="0" w:space="0" w:color="auto"/>
        <w:bottom w:val="none" w:sz="0" w:space="0" w:color="auto"/>
        <w:right w:val="none" w:sz="0" w:space="0" w:color="auto"/>
      </w:divBdr>
    </w:div>
    <w:div w:id="1636596383">
      <w:bodyDiv w:val="1"/>
      <w:marLeft w:val="0"/>
      <w:marRight w:val="0"/>
      <w:marTop w:val="0"/>
      <w:marBottom w:val="0"/>
      <w:divBdr>
        <w:top w:val="none" w:sz="0" w:space="0" w:color="auto"/>
        <w:left w:val="none" w:sz="0" w:space="0" w:color="auto"/>
        <w:bottom w:val="none" w:sz="0" w:space="0" w:color="auto"/>
        <w:right w:val="none" w:sz="0" w:space="0" w:color="auto"/>
      </w:divBdr>
    </w:div>
    <w:div w:id="20898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Sarah (Place)</dc:creator>
  <cp:lastModifiedBy>Casey, Jacqui (E,I&amp;S)</cp:lastModifiedBy>
  <cp:revision>3</cp:revision>
  <dcterms:created xsi:type="dcterms:W3CDTF">2019-06-14T12:49:00Z</dcterms:created>
  <dcterms:modified xsi:type="dcterms:W3CDTF">2019-06-14T13:43:00Z</dcterms:modified>
</cp:coreProperties>
</file>